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60"/>
        <w:rPr/>
      </w:pPr>
      <w:r>
        <w:rPr/>
        <w:t>Behavioral Feature Engineering &amp; Feed-Forward Module — Notes</w:t>
      </w:r>
    </w:p>
    <w:p>
      <w:pPr>
        <w:pStyle w:val="Title"/>
        <w:spacing w:before="0" w:after="160"/>
        <w:rPr>
          <w:sz w:val="28"/>
          <w:szCs w:val="28"/>
        </w:rPr>
      </w:pPr>
      <w:r>
        <w:rPr>
          <w:sz w:val="21"/>
          <w:szCs w:val="21"/>
        </w:rPr>
        <w:t>github:</w:t>
      </w:r>
      <w:r>
        <w:rPr>
          <w:sz w:val="28"/>
          <w:szCs w:val="28"/>
        </w:rPr>
        <w:t xml:space="preserve"> </w:t>
      </w:r>
      <w:r>
        <w:rPr>
          <w:sz w:val="21"/>
          <w:szCs w:val="21"/>
        </w:rPr>
        <w:t>https://github.com/FahadAftab14/Phishing-Detection</w:t>
      </w:r>
    </w:p>
    <w:p>
      <w:pPr>
        <w:pStyle w:val="Heading1"/>
        <w:spacing w:before="200" w:after="100"/>
        <w:rPr/>
      </w:pPr>
      <w:r>
        <w:rPr/>
        <w:t>1. Behavioral Feature Engineering (Task 1)</w:t>
      </w:r>
    </w:p>
    <w:p>
      <w:pPr>
        <w:pStyle w:val="Normal"/>
        <w:spacing w:before="0" w:after="100"/>
        <w:rPr/>
      </w:pPr>
      <w:r>
        <w:rPr/>
        <w:t>Domain age/reputation, SPF/DKIM/DMARC, and sender IP reputation were already built in the earlier synthetic data phase. Sender comm history (volume) was also already present.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Prior interaction patterns (sender-recipient relationship signals) were missing -- everything so far only measured how often a sender sent mail, not who they were sending it to or whether that was a repeat contact. Recipient data had never been merged into the unified table, same class of gap as subject and temporal_anomaly before 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Added: unique_recipient_count, is_repeat_correspondent (has this sender-recipient pair emailed before this point in time), recipient_reuse_ratio, and sender_prior_unique_recipients. Built as a causal, sequential per-sender pass so no feature could see into the sender's future emails.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Enron's recipient field required parsing -- comma-separated, multi-recipient, with embedded newlines/tabs and inconsistent formatting (e.g. 'credit &lt;.williams@enron.com&gt;'). Cleaned via whitespace normalization before splitting.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Result: benign senders reuse recipients 71% of the time (ratio 0.68) with ~114 prior contacts on average; phishing senders reuse only 23% of the time with ~3.6 prior contacts. Strong, legitimate new signal.</w:t>
      </w:r>
    </w:p>
    <w:p>
      <w:pPr>
        <w:pStyle w:val="Heading1"/>
        <w:spacing w:before="200" w:after="100"/>
        <w:rPr/>
      </w:pPr>
      <w:r>
        <w:rPr/>
        <w:t>2. Feed-Forward Network (Task 2)</w:t>
      </w:r>
    </w:p>
    <w:p>
      <w:pPr>
        <w:pStyle w:val="Normal"/>
        <w:spacing w:before="0" w:after="100"/>
        <w:rPr/>
      </w:pPr>
      <w:r>
        <w:rPr/>
        <w:t>Goal: combine all behavioral/synthetic features (domain, auth, IP, comm history, correspondence, URL structure) into one embedding for the fusion model.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23 input features total, standardized (scaler fit on train only, to avoid test-set leakage into the scaling step).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Missing values handled by source: domain/auth fields (43 rows with no sender_domain) median/zero-filled with an explicit domain_unknown flag; URL fields filled with 0 where has_url = 0, since that's a real 'no URL present' value, not missing data.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2-hidden-layer network (64 to 32 units, ReLU, dropout 0.2), weighted cross-entropy loss (class weight ~42.5 for phishing), 10 epochs. Loss dropped from 0.184 to 0.048.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Classification head discarded after training; 32-dim final hidden layer extracted and saved per email as the reusable behavioral embedding.</w:t>
      </w:r>
    </w:p>
    <w:p>
      <w:pPr>
        <w:pStyle w:val="Heading1"/>
        <w:spacing w:before="200" w:after="100"/>
        <w:rPr/>
      </w:pPr>
      <w:r>
        <w:rPr/>
        <w:t>3. Results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ROC-AUC: 0.9990  |  PR-AUC: 0.9628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Phishing: precision 0.310, recall 0.992, F1 0.472  |  Benign: precision 0.9999, recall 0.974</w:t>
      </w:r>
    </w:p>
    <w:p>
      <w:pPr>
        <w:pStyle w:val="Normal"/>
        <w:spacing w:before="0" w:after="100"/>
        <w:rPr/>
      </w:pPr>
      <w:r>
        <w:rPr/>
        <w:t>Strongest-performing branch so far. Precision on phishing is low at the default threshold because the aggressive class weight pushes the model toward flagging broadly -- same pattern as the LSTM branch, and same reasoning applies: this branch's job is producing a good embedding for fusion, not standing alone as a deployable classifier.</w:t>
      </w:r>
    </w:p>
    <w:p>
      <w:pPr>
        <w:pStyle w:val="Heading1"/>
        <w:spacing w:before="200" w:after="100"/>
        <w:rPr/>
      </w:pPr>
      <w:r>
        <w:rPr/>
        <w:t>4. Weaknesses, Gaps, and Plan of Action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Caution on the strong result: part of this branch's separability comes from synthetic features built using class-conditioned probability distributions (e.g. phishing domains skewed young, benign skewed old/DMARC-protected). Near-perfect separation on data partly constructed to be separable is expected, and is not the same as real-world, adversarial performance -- real attackers would adapt to whatever signal a detector relies on. Caveat to carry into the discussion chapter.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The correspondence features are real and strong, but only as good as the recipient field parsing -- messy Enron formatting (malformed addresses, mailing-list blasts with 50+ recipients) was cleaned heuristically, not validated exhaustively. A spot-check of parsed recipient lists is still outstanding.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Same row-level (not sender-level) train/test split limitation carried over from the temporal branch applies here too, for the same reason -- a sender's correspondence history could span both splits.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Class weight (42.5) reused as-is from prior branches, not tuned specifically for this feature set. To revisit once the fusion model is built.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Next step: concatenate contextual (768-dim), temporal (64-dim), and behavioral (32-dim) embeddings into the fusion architecture, add a final classification layer, and run an ablation study (with/without each branch) to empirically justify the multimodal design rather than relying on assumption alone.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2</Pages>
  <Words>601</Words>
  <Characters>3617</Characters>
  <CharactersWithSpaces>4184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2026-08-08T11:59:58Z</dcterms:created>
  <dc:creator>Un-named</dc:creator>
  <dc:description/>
  <dc:language>en-US</dc:language>
  <cp:lastModifiedBy/>
  <dcterms:modified xsi:type="dcterms:W3CDTF">2026-08-09T02:01:55Z</dcterms:modified>
  <cp:revision>2</cp:revision>
  <dc:subject/>
  <dc:title/>
</cp:coreProperties>
</file>