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3CF" w:rsidRPr="003433CF" w:rsidRDefault="003433CF" w:rsidP="003433CF">
      <w:pPr>
        <w:pStyle w:val="Articletitle"/>
        <w:jc w:val="center"/>
      </w:pPr>
      <w:r w:rsidRPr="003433CF">
        <w:t>Improving Access to Healthcare: Strategies for Addressing Health Disparities and Ensuring Equitable Care</w:t>
      </w:r>
    </w:p>
    <w:p w:rsidR="00CE5497" w:rsidRPr="007B4250" w:rsidRDefault="000C418D" w:rsidP="00CE5497">
      <w:pPr>
        <w:pStyle w:val="Authornames"/>
      </w:pPr>
      <w:r>
        <w:t>Fahad Ali</w:t>
      </w:r>
      <w:r w:rsidR="00CE5497">
        <w:t xml:space="preserve">, </w:t>
      </w:r>
      <w:r w:rsidR="00CB54EE" w:rsidRPr="007B4250">
        <w:t>Dr. Tahreem</w:t>
      </w:r>
      <w:r w:rsidR="007B4250" w:rsidRPr="007B4250">
        <w:t xml:space="preserve"> Riaz</w:t>
      </w:r>
    </w:p>
    <w:p w:rsidR="00997B0F" w:rsidRPr="00CE5497" w:rsidRDefault="00B42E85" w:rsidP="00CE5497">
      <w:pPr>
        <w:pStyle w:val="Authornames"/>
        <w:rPr>
          <w:i/>
          <w:iCs/>
        </w:rPr>
      </w:pPr>
      <w:r>
        <w:rPr>
          <w:i/>
          <w:iCs/>
        </w:rPr>
        <w:t>Computer Science</w:t>
      </w:r>
      <w:r w:rsidR="00B64FA3" w:rsidRPr="00CE5497">
        <w:rPr>
          <w:i/>
          <w:iCs/>
        </w:rPr>
        <w:t>, University</w:t>
      </w:r>
      <w:r w:rsidR="00CE5497" w:rsidRPr="00CE5497">
        <w:rPr>
          <w:i/>
          <w:iCs/>
        </w:rPr>
        <w:t xml:space="preserve"> of Agriculture Faisalabad</w:t>
      </w:r>
      <w:r w:rsidR="00B64FA3" w:rsidRPr="00CE5497">
        <w:rPr>
          <w:i/>
          <w:iCs/>
        </w:rPr>
        <w:t xml:space="preserve">, </w:t>
      </w:r>
    </w:p>
    <w:p w:rsidR="00C14585" w:rsidRDefault="00000000" w:rsidP="005E2EEA">
      <w:pPr>
        <w:pStyle w:val="Notesoncontributors"/>
      </w:pPr>
      <w:hyperlink r:id="rId8" w:history="1">
        <w:r w:rsidR="003F6927" w:rsidRPr="00460C90">
          <w:rPr>
            <w:rStyle w:val="Hyperlink"/>
          </w:rPr>
          <w:t>fahadali0839@outlook.com</w:t>
        </w:r>
      </w:hyperlink>
    </w:p>
    <w:p w:rsidR="003F6927" w:rsidRDefault="003F6927" w:rsidP="005E2EEA">
      <w:pPr>
        <w:pStyle w:val="Notesoncontributors"/>
      </w:pPr>
      <w:r>
        <w:t>+923032602607</w:t>
      </w:r>
    </w:p>
    <w:p w:rsidR="00C246C5" w:rsidRDefault="000C418D" w:rsidP="00DA682B">
      <w:pPr>
        <w:pStyle w:val="Heading1"/>
      </w:pPr>
      <w:r>
        <w:t>A</w:t>
      </w:r>
      <w:r w:rsidR="0029657E">
        <w:t>bstract</w:t>
      </w:r>
    </w:p>
    <w:p w:rsidR="005453C6" w:rsidRPr="005453C6" w:rsidRDefault="005453C6" w:rsidP="005453C6">
      <w:pPr>
        <w:pStyle w:val="Keywords"/>
      </w:pPr>
      <w:r w:rsidRPr="005453C6">
        <w:t>Access to healthcare is a fundamental right, yet millions of people around the world face barriers to accessing quality healthcare. Health disparities and inequitable care exist across different populations, often driven by social determinants of health and healthcare provider biases. This article provides an overview of health disparities and inequitable care, including their context and background information, their impact on health outcomes, and the barriers to accessing healthcare. We discuss strategies for addressing health disparities through policy and community-driven solutions, including policy-level interventions, community-based interventions, innovative approaches to healthcare delivery, cultural competency and diversity training for healthcare providers, and patient education and health literacy. We also highlight successful programs and initiatives, the role of healthcare providers in promoting equitable care, ongoing research and future directions, the impact of COVID-19 on healthcare access and disparities, and the unique challenges faced by specific marginalized communities. We conclude by emphasizing the ongoing need for collaboration and innovation in improving access to healthcare and addressing health disparities, including the importance of advocacy and policy change.</w:t>
      </w:r>
    </w:p>
    <w:p w:rsidR="003E74B9" w:rsidRPr="00DA682B" w:rsidRDefault="00997B0F" w:rsidP="00DA682B">
      <w:pPr>
        <w:pStyle w:val="Heading1"/>
      </w:pPr>
      <w:r w:rsidRPr="00CE5497">
        <w:t xml:space="preserve">Keywords: </w:t>
      </w:r>
    </w:p>
    <w:p w:rsidR="00AA2379" w:rsidRPr="00AA2379" w:rsidRDefault="00AA2379" w:rsidP="00AA2379">
      <w:pPr>
        <w:pStyle w:val="Keywords"/>
        <w:ind w:left="0"/>
      </w:pPr>
      <w:r w:rsidRPr="00AA2379">
        <w:t>Fasting, Cancer Treatment, Chemotherapy, Combination Therapy, Personalized Medicine, Islamic Fasting</w:t>
      </w:r>
    </w:p>
    <w:p w:rsidR="0067587B" w:rsidRPr="00DA682B" w:rsidRDefault="00AE409D" w:rsidP="00DA682B">
      <w:pPr>
        <w:pStyle w:val="Heading1"/>
      </w:pPr>
      <w:r>
        <w:lastRenderedPageBreak/>
        <w:t xml:space="preserve">I. </w:t>
      </w:r>
      <w:r w:rsidR="0067587B" w:rsidRPr="00DA682B">
        <w:t>Introduction</w:t>
      </w:r>
    </w:p>
    <w:p w:rsidR="0067587B" w:rsidRPr="0067587B" w:rsidRDefault="0067587B" w:rsidP="00DE339B">
      <w:pPr>
        <w:pStyle w:val="Paragraph"/>
        <w:spacing w:line="276" w:lineRule="auto"/>
        <w:jc w:val="both"/>
      </w:pPr>
      <w:r w:rsidRPr="0067587B">
        <w:t>Fasting has been a part of human tradition for centuries, with various cultural and religious contexts. In recent years, there has been growing interest in the role of fasting in cancer treatment. This paper explores the cultural, religious, and medical perspectives on fasting in the context of cancer treatment.</w:t>
      </w:r>
    </w:p>
    <w:p w:rsidR="0067587B" w:rsidRPr="00533120" w:rsidRDefault="0067587B">
      <w:pPr>
        <w:pStyle w:val="Heading1"/>
        <w:numPr>
          <w:ilvl w:val="0"/>
          <w:numId w:val="4"/>
        </w:numPr>
        <w:rPr>
          <w:b w:val="0"/>
          <w:bCs w:val="0"/>
        </w:rPr>
      </w:pPr>
      <w:r w:rsidRPr="00533120">
        <w:rPr>
          <w:b w:val="0"/>
          <w:bCs w:val="0"/>
        </w:rPr>
        <w:t>Definition of fasting</w:t>
      </w:r>
    </w:p>
    <w:p w:rsidR="0067587B" w:rsidRPr="0067587B" w:rsidRDefault="0067587B" w:rsidP="006456A5">
      <w:pPr>
        <w:pStyle w:val="Paragraph"/>
        <w:spacing w:line="276" w:lineRule="auto"/>
        <w:ind w:left="720"/>
        <w:jc w:val="both"/>
      </w:pPr>
      <w:r w:rsidRPr="0067587B">
        <w:t>Going without food and drink voluntarily for a certain amount of time is called fasting. Fasting is a common practice in many cultures and religions, including Islam, Christianity, Judaism, and Buddhism.</w:t>
      </w:r>
    </w:p>
    <w:p w:rsidR="0067587B" w:rsidRPr="00533120" w:rsidRDefault="0067587B">
      <w:pPr>
        <w:pStyle w:val="Heading1"/>
        <w:numPr>
          <w:ilvl w:val="0"/>
          <w:numId w:val="4"/>
        </w:numPr>
        <w:rPr>
          <w:b w:val="0"/>
          <w:bCs w:val="0"/>
        </w:rPr>
      </w:pPr>
      <w:r w:rsidRPr="00533120">
        <w:rPr>
          <w:b w:val="0"/>
          <w:bCs w:val="0"/>
        </w:rPr>
        <w:t>Overview of cancer treatment</w:t>
      </w:r>
    </w:p>
    <w:p w:rsidR="0067587B" w:rsidRPr="0067587B" w:rsidRDefault="0067587B" w:rsidP="006456A5">
      <w:pPr>
        <w:pStyle w:val="Paragraph"/>
        <w:spacing w:line="276" w:lineRule="auto"/>
        <w:ind w:left="720"/>
        <w:jc w:val="both"/>
      </w:pPr>
      <w:r w:rsidRPr="0067587B">
        <w:t>Cancer treatment involves various medical procedures, including chemotherapy, radiation therapy, and surgery. These treatments can cause side effects such as nausea, vomiting, and fatigue, which can impact patients' quality of life.</w:t>
      </w:r>
    </w:p>
    <w:p w:rsidR="0067587B" w:rsidRPr="00533120" w:rsidRDefault="0067587B">
      <w:pPr>
        <w:pStyle w:val="Heading1"/>
        <w:numPr>
          <w:ilvl w:val="0"/>
          <w:numId w:val="4"/>
        </w:numPr>
        <w:rPr>
          <w:b w:val="0"/>
          <w:bCs w:val="0"/>
        </w:rPr>
      </w:pPr>
      <w:r w:rsidRPr="00533120">
        <w:rPr>
          <w:b w:val="0"/>
          <w:bCs w:val="0"/>
        </w:rPr>
        <w:t>The relationship between fasting and cancer treatment</w:t>
      </w:r>
    </w:p>
    <w:p w:rsidR="0067587B" w:rsidRPr="0067587B" w:rsidRDefault="0067587B" w:rsidP="006456A5">
      <w:pPr>
        <w:pStyle w:val="Paragraph"/>
        <w:spacing w:line="276" w:lineRule="auto"/>
        <w:ind w:left="720"/>
        <w:jc w:val="both"/>
      </w:pPr>
      <w:r w:rsidRPr="0067587B">
        <w:t>There is growing evidence that fasting may have benefits for cancer patients. Fasting has been shown to enhance the effectiveness of cancer treatments, improve patients' tolerance to chemotherapy and radiation therapy, and reduce the risk of side effects. Additionally, fasting may help boost the immune system and increase the body's ability to fight cancer.</w:t>
      </w:r>
    </w:p>
    <w:p w:rsidR="00F46788" w:rsidRDefault="0067587B" w:rsidP="003433CF">
      <w:pPr>
        <w:pStyle w:val="Paragraph"/>
        <w:spacing w:line="276" w:lineRule="auto"/>
        <w:jc w:val="both"/>
      </w:pPr>
      <w:r w:rsidRPr="0067587B">
        <w:t>This paper will explore the cultural, religious, and medical perspectives on fasting in the context of cancer treatment, with a focus on Islamic fasting practices and guidelines, the importance of fasting for human health, and the potential advantages and challenges of fasting during cancer treatment.</w:t>
      </w:r>
    </w:p>
    <w:p w:rsidR="003433CF" w:rsidRDefault="003433CF" w:rsidP="003433CF">
      <w:pPr>
        <w:pStyle w:val="Newparagraph"/>
        <w:ind w:firstLine="0"/>
      </w:pPr>
    </w:p>
    <w:p w:rsidR="003433CF" w:rsidRPr="003433CF" w:rsidRDefault="003433CF" w:rsidP="003433CF">
      <w:pPr>
        <w:pStyle w:val="Heading1"/>
      </w:pPr>
      <w:r w:rsidRPr="003433CF">
        <w:lastRenderedPageBreak/>
        <w:t>I. Introduction</w:t>
      </w:r>
    </w:p>
    <w:p w:rsidR="003433CF" w:rsidRPr="003433CF" w:rsidRDefault="003433CF" w:rsidP="00FF2BBF">
      <w:pPr>
        <w:pStyle w:val="Heading1"/>
        <w:numPr>
          <w:ilvl w:val="0"/>
          <w:numId w:val="28"/>
        </w:numPr>
        <w:rPr>
          <w:b w:val="0"/>
          <w:bCs w:val="0"/>
        </w:rPr>
      </w:pPr>
      <w:r w:rsidRPr="003433CF">
        <w:rPr>
          <w:b w:val="0"/>
          <w:bCs w:val="0"/>
        </w:rPr>
        <w:t xml:space="preserve">Importance of Access to Healthcare </w:t>
      </w:r>
    </w:p>
    <w:p w:rsidR="003433CF" w:rsidRPr="003433CF" w:rsidRDefault="003433CF" w:rsidP="00FF2BBF">
      <w:pPr>
        <w:pStyle w:val="Heading1"/>
        <w:numPr>
          <w:ilvl w:val="0"/>
          <w:numId w:val="28"/>
        </w:numPr>
        <w:rPr>
          <w:b w:val="0"/>
          <w:bCs w:val="0"/>
        </w:rPr>
      </w:pPr>
      <w:r w:rsidRPr="003433CF">
        <w:rPr>
          <w:b w:val="0"/>
          <w:bCs w:val="0"/>
        </w:rPr>
        <w:t xml:space="preserve">Overview of Health Disparities and Inequitable </w:t>
      </w:r>
      <w:r w:rsidR="00B81162">
        <w:rPr>
          <w:b w:val="0"/>
          <w:bCs w:val="0"/>
        </w:rPr>
        <w:t>Care</w:t>
      </w:r>
    </w:p>
    <w:p w:rsidR="003433CF" w:rsidRPr="003433CF" w:rsidRDefault="003433CF" w:rsidP="00FF2BBF">
      <w:pPr>
        <w:pStyle w:val="Heading1"/>
        <w:numPr>
          <w:ilvl w:val="0"/>
          <w:numId w:val="28"/>
        </w:numPr>
        <w:rPr>
          <w:b w:val="0"/>
          <w:bCs w:val="0"/>
        </w:rPr>
      </w:pPr>
      <w:r w:rsidRPr="003433CF">
        <w:rPr>
          <w:b w:val="0"/>
          <w:bCs w:val="0"/>
        </w:rPr>
        <w:t>Context and Background Information on Health Disparities and Inequities</w:t>
      </w:r>
    </w:p>
    <w:p w:rsidR="004B17A5" w:rsidRPr="004B17A5" w:rsidRDefault="004B17A5" w:rsidP="00FF2BBF">
      <w:pPr>
        <w:pStyle w:val="Heading1"/>
        <w:numPr>
          <w:ilvl w:val="0"/>
          <w:numId w:val="28"/>
        </w:numPr>
        <w:rPr>
          <w:b w:val="0"/>
          <w:bCs w:val="0"/>
        </w:rPr>
      </w:pPr>
      <w:r w:rsidRPr="004B17A5">
        <w:rPr>
          <w:b w:val="0"/>
          <w:bCs w:val="0"/>
        </w:rPr>
        <w:t>Strategies for Addressing Health Disparities: Policy and Community-driven Solutions</w:t>
      </w:r>
    </w:p>
    <w:p w:rsidR="003433CF" w:rsidRPr="003433CF" w:rsidRDefault="003433CF" w:rsidP="003433CF">
      <w:pPr>
        <w:pStyle w:val="Heading1"/>
      </w:pPr>
      <w:r w:rsidRPr="003433CF">
        <w:t>II. Understanding Health Disparities</w:t>
      </w:r>
    </w:p>
    <w:p w:rsidR="003433CF" w:rsidRPr="003433CF" w:rsidRDefault="003433CF" w:rsidP="00FF2BBF">
      <w:pPr>
        <w:pStyle w:val="Heading1"/>
        <w:numPr>
          <w:ilvl w:val="0"/>
          <w:numId w:val="29"/>
        </w:numPr>
        <w:rPr>
          <w:b w:val="0"/>
          <w:bCs w:val="0"/>
        </w:rPr>
      </w:pPr>
      <w:r w:rsidRPr="003433CF">
        <w:rPr>
          <w:b w:val="0"/>
          <w:bCs w:val="0"/>
        </w:rPr>
        <w:t>Social Determinants of Health</w:t>
      </w:r>
    </w:p>
    <w:p w:rsidR="003433CF" w:rsidRPr="003433CF" w:rsidRDefault="00282799" w:rsidP="00FF2BBF">
      <w:pPr>
        <w:pStyle w:val="Heading1"/>
        <w:numPr>
          <w:ilvl w:val="0"/>
          <w:numId w:val="29"/>
        </w:numPr>
        <w:rPr>
          <w:b w:val="0"/>
          <w:bCs w:val="0"/>
        </w:rPr>
      </w:pPr>
      <w:r>
        <w:rPr>
          <w:b w:val="0"/>
          <w:bCs w:val="0"/>
        </w:rPr>
        <w:t xml:space="preserve">Health </w:t>
      </w:r>
      <w:r w:rsidR="003433CF" w:rsidRPr="003433CF">
        <w:rPr>
          <w:b w:val="0"/>
          <w:bCs w:val="0"/>
        </w:rPr>
        <w:t>Disparities in Different Populations</w:t>
      </w:r>
    </w:p>
    <w:p w:rsidR="003433CF" w:rsidRPr="003433CF" w:rsidRDefault="003433CF" w:rsidP="00FF2BBF">
      <w:pPr>
        <w:pStyle w:val="Heading1"/>
        <w:numPr>
          <w:ilvl w:val="0"/>
          <w:numId w:val="29"/>
        </w:numPr>
        <w:rPr>
          <w:b w:val="0"/>
          <w:bCs w:val="0"/>
        </w:rPr>
      </w:pPr>
      <w:r w:rsidRPr="003433CF">
        <w:rPr>
          <w:b w:val="0"/>
          <w:bCs w:val="0"/>
        </w:rPr>
        <w:t>Impact of Health Disparities on Health Outcomes</w:t>
      </w:r>
    </w:p>
    <w:p w:rsidR="003433CF" w:rsidRPr="003433CF" w:rsidRDefault="003433CF" w:rsidP="003433CF">
      <w:pPr>
        <w:pStyle w:val="Heading1"/>
      </w:pPr>
      <w:r w:rsidRPr="003433CF">
        <w:t>III. Barriers to Accessing Healthcare</w:t>
      </w:r>
    </w:p>
    <w:p w:rsidR="00282799" w:rsidRPr="00282799" w:rsidRDefault="003433CF" w:rsidP="00FF2BBF">
      <w:pPr>
        <w:pStyle w:val="Heading1"/>
        <w:numPr>
          <w:ilvl w:val="0"/>
          <w:numId w:val="30"/>
        </w:numPr>
        <w:rPr>
          <w:b w:val="0"/>
          <w:bCs w:val="0"/>
        </w:rPr>
      </w:pPr>
      <w:r w:rsidRPr="00282799">
        <w:rPr>
          <w:b w:val="0"/>
          <w:bCs w:val="0"/>
        </w:rPr>
        <w:t>Common Barriers to Accessing Healthcare</w:t>
      </w:r>
    </w:p>
    <w:p w:rsidR="00282799" w:rsidRPr="00282799" w:rsidRDefault="003433CF" w:rsidP="00FF2BBF">
      <w:pPr>
        <w:pStyle w:val="Heading1"/>
        <w:numPr>
          <w:ilvl w:val="0"/>
          <w:numId w:val="30"/>
        </w:numPr>
        <w:rPr>
          <w:b w:val="0"/>
          <w:bCs w:val="0"/>
        </w:rPr>
      </w:pPr>
      <w:r w:rsidRPr="00282799">
        <w:rPr>
          <w:b w:val="0"/>
          <w:bCs w:val="0"/>
        </w:rPr>
        <w:t>Disproportionate Impact of Barriers on Certain Populations</w:t>
      </w:r>
    </w:p>
    <w:p w:rsidR="003433CF" w:rsidRPr="00282799" w:rsidRDefault="003433CF" w:rsidP="00FF2BBF">
      <w:pPr>
        <w:pStyle w:val="Heading1"/>
        <w:numPr>
          <w:ilvl w:val="0"/>
          <w:numId w:val="30"/>
        </w:numPr>
        <w:rPr>
          <w:b w:val="0"/>
          <w:bCs w:val="0"/>
        </w:rPr>
      </w:pPr>
      <w:r w:rsidRPr="00282799">
        <w:rPr>
          <w:b w:val="0"/>
          <w:bCs w:val="0"/>
        </w:rPr>
        <w:t>Impact of Healthcare Provider Biases on Access to Care</w:t>
      </w:r>
    </w:p>
    <w:p w:rsidR="00702516" w:rsidRPr="00702516" w:rsidRDefault="00702516" w:rsidP="00702516">
      <w:pPr>
        <w:pStyle w:val="Heading1"/>
      </w:pPr>
      <w:r w:rsidRPr="00702516">
        <w:t>IV. Strategies for Improving Access to Healthcare</w:t>
      </w:r>
      <w:r w:rsidR="00B264B8" w:rsidRPr="00B264B8">
        <w:t>: Policy, Community, and Patient-focused Solutions</w:t>
      </w:r>
    </w:p>
    <w:p w:rsidR="00FF2BBF" w:rsidRPr="00FF2BBF" w:rsidRDefault="00FF2BBF" w:rsidP="00FF2BBF">
      <w:pPr>
        <w:pStyle w:val="Heading1"/>
        <w:numPr>
          <w:ilvl w:val="0"/>
          <w:numId w:val="35"/>
        </w:numPr>
        <w:rPr>
          <w:b w:val="0"/>
          <w:bCs w:val="0"/>
        </w:rPr>
      </w:pPr>
      <w:r w:rsidRPr="00FF2BBF">
        <w:rPr>
          <w:b w:val="0"/>
          <w:bCs w:val="0"/>
        </w:rPr>
        <w:t>Policy-Level Interventions: Overview of governmental and organizational-level interventions</w:t>
      </w:r>
    </w:p>
    <w:p w:rsidR="00FF2BBF" w:rsidRPr="00FF2BBF" w:rsidRDefault="00FF2BBF" w:rsidP="00FF2BBF">
      <w:pPr>
        <w:pStyle w:val="Heading1"/>
        <w:numPr>
          <w:ilvl w:val="0"/>
          <w:numId w:val="35"/>
        </w:numPr>
        <w:rPr>
          <w:b w:val="0"/>
          <w:bCs w:val="0"/>
        </w:rPr>
      </w:pPr>
      <w:r w:rsidRPr="00FF2BBF">
        <w:rPr>
          <w:b w:val="0"/>
          <w:bCs w:val="0"/>
        </w:rPr>
        <w:t>Community-Based Interventions: Examples of community-driven initiatives</w:t>
      </w:r>
    </w:p>
    <w:p w:rsidR="00FF2BBF" w:rsidRPr="00FF2BBF" w:rsidRDefault="00FF2BBF" w:rsidP="00FF2BBF">
      <w:pPr>
        <w:pStyle w:val="Heading1"/>
        <w:numPr>
          <w:ilvl w:val="0"/>
          <w:numId w:val="35"/>
        </w:numPr>
        <w:rPr>
          <w:b w:val="0"/>
          <w:bCs w:val="0"/>
        </w:rPr>
      </w:pPr>
      <w:r w:rsidRPr="00FF2BBF">
        <w:rPr>
          <w:b w:val="0"/>
          <w:bCs w:val="0"/>
        </w:rPr>
        <w:t>Innovative Approaches to Healthcare Delivery: Emerging technologies and novel approaches</w:t>
      </w:r>
    </w:p>
    <w:p w:rsidR="00FF2BBF" w:rsidRPr="00FF2BBF" w:rsidRDefault="00FF2BBF" w:rsidP="00FF2BBF">
      <w:pPr>
        <w:pStyle w:val="Heading1"/>
        <w:numPr>
          <w:ilvl w:val="0"/>
          <w:numId w:val="35"/>
        </w:numPr>
        <w:rPr>
          <w:b w:val="0"/>
          <w:bCs w:val="0"/>
        </w:rPr>
      </w:pPr>
      <w:r w:rsidRPr="00FF2BBF">
        <w:rPr>
          <w:b w:val="0"/>
          <w:bCs w:val="0"/>
        </w:rPr>
        <w:t>Cultural Competency and Diversity Training for Healthcare Providers: Importance of training healthcare providers in cultural competency and diversity</w:t>
      </w:r>
    </w:p>
    <w:p w:rsidR="00FF2BBF" w:rsidRPr="00FF2BBF" w:rsidRDefault="00FF2BBF" w:rsidP="00FF2BBF">
      <w:pPr>
        <w:pStyle w:val="Heading1"/>
        <w:numPr>
          <w:ilvl w:val="0"/>
          <w:numId w:val="35"/>
        </w:numPr>
        <w:rPr>
          <w:b w:val="0"/>
          <w:bCs w:val="0"/>
        </w:rPr>
      </w:pPr>
      <w:r w:rsidRPr="00FF2BBF">
        <w:rPr>
          <w:b w:val="0"/>
          <w:bCs w:val="0"/>
        </w:rPr>
        <w:t>Patient Education and Health Literacy: Strategies to improve patient understanding and empowerment</w:t>
      </w:r>
    </w:p>
    <w:p w:rsidR="00883279" w:rsidRPr="00883279" w:rsidRDefault="004B17A5" w:rsidP="00883279">
      <w:pPr>
        <w:pStyle w:val="Heading1"/>
      </w:pPr>
      <w:r w:rsidRPr="00883279">
        <w:t>V. Addressing Health Disparities in Practice</w:t>
      </w:r>
    </w:p>
    <w:p w:rsidR="00883279" w:rsidRPr="00883279" w:rsidRDefault="004B17A5" w:rsidP="00FF2BBF">
      <w:pPr>
        <w:pStyle w:val="Heading1"/>
        <w:numPr>
          <w:ilvl w:val="0"/>
          <w:numId w:val="32"/>
        </w:numPr>
        <w:rPr>
          <w:b w:val="0"/>
          <w:bCs w:val="0"/>
        </w:rPr>
      </w:pPr>
      <w:r w:rsidRPr="00883279">
        <w:rPr>
          <w:b w:val="0"/>
          <w:bCs w:val="0"/>
        </w:rPr>
        <w:t>Examples of Successful Programs and Initiatives: Real-world examples of successful interventions</w:t>
      </w:r>
    </w:p>
    <w:p w:rsidR="00883279" w:rsidRPr="00883279" w:rsidRDefault="004B17A5" w:rsidP="00FF2BBF">
      <w:pPr>
        <w:pStyle w:val="Heading1"/>
        <w:numPr>
          <w:ilvl w:val="0"/>
          <w:numId w:val="32"/>
        </w:numPr>
        <w:rPr>
          <w:b w:val="0"/>
          <w:bCs w:val="0"/>
        </w:rPr>
      </w:pPr>
      <w:r w:rsidRPr="00883279">
        <w:rPr>
          <w:b w:val="0"/>
          <w:bCs w:val="0"/>
        </w:rPr>
        <w:t>Role of Healthcare Providers in Promoting Equitable Care: Importance of healthcare providers' role</w:t>
      </w:r>
    </w:p>
    <w:p w:rsidR="00883279" w:rsidRPr="00883279" w:rsidRDefault="004B17A5" w:rsidP="00FF2BBF">
      <w:pPr>
        <w:pStyle w:val="Heading1"/>
        <w:numPr>
          <w:ilvl w:val="0"/>
          <w:numId w:val="32"/>
        </w:numPr>
        <w:rPr>
          <w:b w:val="0"/>
          <w:bCs w:val="0"/>
        </w:rPr>
      </w:pPr>
      <w:r w:rsidRPr="00883279">
        <w:rPr>
          <w:b w:val="0"/>
          <w:bCs w:val="0"/>
        </w:rPr>
        <w:lastRenderedPageBreak/>
        <w:t>Current Research and Future Directions for Addressing Health Disparities: Overview of current research and future directions</w:t>
      </w:r>
    </w:p>
    <w:p w:rsidR="00883279" w:rsidRPr="00883279" w:rsidRDefault="004B17A5" w:rsidP="00FF2BBF">
      <w:pPr>
        <w:pStyle w:val="Heading1"/>
        <w:numPr>
          <w:ilvl w:val="0"/>
          <w:numId w:val="32"/>
        </w:numPr>
        <w:rPr>
          <w:b w:val="0"/>
          <w:bCs w:val="0"/>
        </w:rPr>
      </w:pPr>
      <w:r w:rsidRPr="00883279">
        <w:rPr>
          <w:b w:val="0"/>
          <w:bCs w:val="0"/>
        </w:rPr>
        <w:t>Impact of COVID-19 on Healthcare Access and Disparities: Impact of the COVID-19 pandemic on healthcare access and disparities</w:t>
      </w:r>
    </w:p>
    <w:p w:rsidR="004B17A5" w:rsidRPr="00883279" w:rsidRDefault="004B17A5" w:rsidP="00FF2BBF">
      <w:pPr>
        <w:pStyle w:val="Heading1"/>
        <w:numPr>
          <w:ilvl w:val="0"/>
          <w:numId w:val="32"/>
        </w:numPr>
        <w:rPr>
          <w:b w:val="0"/>
          <w:bCs w:val="0"/>
        </w:rPr>
      </w:pPr>
      <w:r w:rsidRPr="00883279">
        <w:rPr>
          <w:b w:val="0"/>
          <w:bCs w:val="0"/>
        </w:rPr>
        <w:t>Impact of Health Disparities on Specific Marginalized Communities: Overview of specific marginalized communities and their unique challenges</w:t>
      </w:r>
    </w:p>
    <w:p w:rsidR="00883279" w:rsidRPr="00883279" w:rsidRDefault="004B17A5" w:rsidP="00883279">
      <w:pPr>
        <w:pStyle w:val="Heading1"/>
      </w:pPr>
      <w:r w:rsidRPr="00883279">
        <w:t>VI. Conclusion</w:t>
      </w:r>
    </w:p>
    <w:p w:rsidR="00883279" w:rsidRPr="00883279" w:rsidRDefault="004B17A5" w:rsidP="00FF2BBF">
      <w:pPr>
        <w:pStyle w:val="Heading1"/>
        <w:numPr>
          <w:ilvl w:val="0"/>
          <w:numId w:val="33"/>
        </w:numPr>
        <w:rPr>
          <w:b w:val="0"/>
          <w:bCs w:val="0"/>
        </w:rPr>
      </w:pPr>
      <w:r w:rsidRPr="00883279">
        <w:rPr>
          <w:b w:val="0"/>
          <w:bCs w:val="0"/>
        </w:rPr>
        <w:t>Importance of Improving Access to Healthcare and Addressing Health Disparities: Recap of the importance of addressing health disparities and improving access to healthcare</w:t>
      </w:r>
    </w:p>
    <w:p w:rsidR="00883279" w:rsidRPr="00883279" w:rsidRDefault="004B17A5" w:rsidP="00FF2BBF">
      <w:pPr>
        <w:pStyle w:val="Heading1"/>
        <w:numPr>
          <w:ilvl w:val="0"/>
          <w:numId w:val="33"/>
        </w:numPr>
        <w:rPr>
          <w:b w:val="0"/>
          <w:bCs w:val="0"/>
        </w:rPr>
      </w:pPr>
      <w:r w:rsidRPr="00883279">
        <w:rPr>
          <w:b w:val="0"/>
          <w:bCs w:val="0"/>
        </w:rPr>
        <w:t>Ongoing Need for Collaboration and Innovation: Emphasizes the need for continued collaboration and innovation</w:t>
      </w:r>
    </w:p>
    <w:p w:rsidR="003433CF" w:rsidRPr="00883279" w:rsidRDefault="004B17A5" w:rsidP="00FF2BBF">
      <w:pPr>
        <w:pStyle w:val="Heading1"/>
        <w:numPr>
          <w:ilvl w:val="0"/>
          <w:numId w:val="33"/>
        </w:numPr>
        <w:rPr>
          <w:b w:val="0"/>
          <w:bCs w:val="0"/>
        </w:rPr>
      </w:pPr>
      <w:r w:rsidRPr="00883279">
        <w:rPr>
          <w:b w:val="0"/>
          <w:bCs w:val="0"/>
        </w:rPr>
        <w:t>Importance of Advocacy and Policy Change: Discussion on the role of advocacy and policy change in addressing health disparities.</w:t>
      </w:r>
    </w:p>
    <w:sectPr w:rsidR="003433CF" w:rsidRPr="00883279" w:rsidSect="00074B81">
      <w:headerReference w:type="even" r:id="rId9"/>
      <w:headerReference w:type="default" r:id="rId10"/>
      <w:footerReference w:type="even" r:id="rId11"/>
      <w:footerReference w:type="default" r:id="rId12"/>
      <w:headerReference w:type="first" r:id="rId13"/>
      <w:footerReference w:type="first" r:id="rId14"/>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3BFF" w:rsidRDefault="00AB3BFF" w:rsidP="00AF2C92">
      <w:r>
        <w:separator/>
      </w:r>
    </w:p>
  </w:endnote>
  <w:endnote w:type="continuationSeparator" w:id="0">
    <w:p w:rsidR="00AB3BFF" w:rsidRDefault="00AB3BF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3BFF" w:rsidRDefault="00AB3BFF" w:rsidP="00AF2C92">
      <w:r>
        <w:separator/>
      </w:r>
    </w:p>
  </w:footnote>
  <w:footnote w:type="continuationSeparator" w:id="0">
    <w:p w:rsidR="00AB3BFF" w:rsidRDefault="00AB3BFF"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D9C"/>
    <w:multiLevelType w:val="hybridMultilevel"/>
    <w:tmpl w:val="0360D5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F3E96"/>
    <w:multiLevelType w:val="hybridMultilevel"/>
    <w:tmpl w:val="837A423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571FF1"/>
    <w:multiLevelType w:val="hybridMultilevel"/>
    <w:tmpl w:val="36FE21E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75F52"/>
    <w:multiLevelType w:val="hybridMultilevel"/>
    <w:tmpl w:val="AF9698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85326"/>
    <w:multiLevelType w:val="hybridMultilevel"/>
    <w:tmpl w:val="B5FAB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829A4"/>
    <w:multiLevelType w:val="hybridMultilevel"/>
    <w:tmpl w:val="80604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57668"/>
    <w:multiLevelType w:val="hybridMultilevel"/>
    <w:tmpl w:val="B6D6B9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27303C"/>
    <w:multiLevelType w:val="multilevel"/>
    <w:tmpl w:val="61D4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D5253"/>
    <w:multiLevelType w:val="hybridMultilevel"/>
    <w:tmpl w:val="23F4A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B3EE7"/>
    <w:multiLevelType w:val="hybridMultilevel"/>
    <w:tmpl w:val="EC74D8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A0B93"/>
    <w:multiLevelType w:val="hybridMultilevel"/>
    <w:tmpl w:val="8FB820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4345D"/>
    <w:multiLevelType w:val="hybridMultilevel"/>
    <w:tmpl w:val="028AE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2698C"/>
    <w:multiLevelType w:val="hybridMultilevel"/>
    <w:tmpl w:val="FA8C71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C3E34"/>
    <w:multiLevelType w:val="hybridMultilevel"/>
    <w:tmpl w:val="1F8E0C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11D5F"/>
    <w:multiLevelType w:val="hybridMultilevel"/>
    <w:tmpl w:val="8020B5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C4CEA"/>
    <w:multiLevelType w:val="hybridMultilevel"/>
    <w:tmpl w:val="81B2ED4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325AC2"/>
    <w:multiLevelType w:val="hybridMultilevel"/>
    <w:tmpl w:val="0ADE4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0D7561"/>
    <w:multiLevelType w:val="hybridMultilevel"/>
    <w:tmpl w:val="B4CEB0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F03C11"/>
    <w:multiLevelType w:val="hybridMultilevel"/>
    <w:tmpl w:val="A448C6A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611ED1"/>
    <w:multiLevelType w:val="hybridMultilevel"/>
    <w:tmpl w:val="416EAE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E234C"/>
    <w:multiLevelType w:val="hybridMultilevel"/>
    <w:tmpl w:val="756651BC"/>
    <w:lvl w:ilvl="0" w:tplc="F4DE6F70">
      <w:start w:val="1"/>
      <w:numFmt w:val="upperLetter"/>
      <w:lvlText w:val="%1."/>
      <w:lvlJc w:val="left"/>
      <w:pPr>
        <w:ind w:left="720" w:hanging="360"/>
      </w:pPr>
      <w:rPr>
        <w:rFonts w:ascii="Times New Roman" w:eastAsia="Times New Roma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22735"/>
    <w:multiLevelType w:val="hybridMultilevel"/>
    <w:tmpl w:val="945C2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AC6915"/>
    <w:multiLevelType w:val="hybridMultilevel"/>
    <w:tmpl w:val="4AB69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551D0"/>
    <w:multiLevelType w:val="hybridMultilevel"/>
    <w:tmpl w:val="CABC17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476F75"/>
    <w:multiLevelType w:val="hybridMultilevel"/>
    <w:tmpl w:val="F2E61CB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351A58"/>
    <w:multiLevelType w:val="hybridMultilevel"/>
    <w:tmpl w:val="FCBEAD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6825A8"/>
    <w:multiLevelType w:val="hybridMultilevel"/>
    <w:tmpl w:val="D6AAB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D3855"/>
    <w:multiLevelType w:val="hybridMultilevel"/>
    <w:tmpl w:val="0FBCF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24005"/>
    <w:multiLevelType w:val="hybridMultilevel"/>
    <w:tmpl w:val="D06E8F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D5DFB"/>
    <w:multiLevelType w:val="hybridMultilevel"/>
    <w:tmpl w:val="EE02527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661857"/>
    <w:multiLevelType w:val="hybridMultilevel"/>
    <w:tmpl w:val="8D3E00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306D3"/>
    <w:multiLevelType w:val="hybridMultilevel"/>
    <w:tmpl w:val="6D7CB3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F9543A"/>
    <w:multiLevelType w:val="hybridMultilevel"/>
    <w:tmpl w:val="0FF6BEC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4240313">
    <w:abstractNumId w:val="16"/>
  </w:num>
  <w:num w:numId="2" w16cid:durableId="58604161">
    <w:abstractNumId w:val="25"/>
  </w:num>
  <w:num w:numId="3" w16cid:durableId="405537503">
    <w:abstractNumId w:val="22"/>
  </w:num>
  <w:num w:numId="4" w16cid:durableId="46492669">
    <w:abstractNumId w:val="8"/>
  </w:num>
  <w:num w:numId="5" w16cid:durableId="652105688">
    <w:abstractNumId w:val="13"/>
  </w:num>
  <w:num w:numId="6" w16cid:durableId="101461917">
    <w:abstractNumId w:val="24"/>
  </w:num>
  <w:num w:numId="7" w16cid:durableId="1187913193">
    <w:abstractNumId w:val="12"/>
  </w:num>
  <w:num w:numId="8" w16cid:durableId="1664233363">
    <w:abstractNumId w:val="23"/>
  </w:num>
  <w:num w:numId="9" w16cid:durableId="301816504">
    <w:abstractNumId w:val="5"/>
  </w:num>
  <w:num w:numId="10" w16cid:durableId="1983072175">
    <w:abstractNumId w:val="18"/>
  </w:num>
  <w:num w:numId="11" w16cid:durableId="1221332092">
    <w:abstractNumId w:val="10"/>
  </w:num>
  <w:num w:numId="12" w16cid:durableId="620842219">
    <w:abstractNumId w:val="29"/>
  </w:num>
  <w:num w:numId="13" w16cid:durableId="1797334291">
    <w:abstractNumId w:val="31"/>
  </w:num>
  <w:num w:numId="14" w16cid:durableId="1041590709">
    <w:abstractNumId w:val="2"/>
  </w:num>
  <w:num w:numId="15" w16cid:durableId="610629377">
    <w:abstractNumId w:val="14"/>
  </w:num>
  <w:num w:numId="16" w16cid:durableId="674117498">
    <w:abstractNumId w:val="0"/>
  </w:num>
  <w:num w:numId="17" w16cid:durableId="1918438793">
    <w:abstractNumId w:val="28"/>
  </w:num>
  <w:num w:numId="18" w16cid:durableId="1483037295">
    <w:abstractNumId w:val="20"/>
  </w:num>
  <w:num w:numId="19" w16cid:durableId="1365329263">
    <w:abstractNumId w:val="30"/>
  </w:num>
  <w:num w:numId="20" w16cid:durableId="2117090981">
    <w:abstractNumId w:val="27"/>
  </w:num>
  <w:num w:numId="21" w16cid:durableId="1119837006">
    <w:abstractNumId w:val="11"/>
  </w:num>
  <w:num w:numId="22" w16cid:durableId="631325816">
    <w:abstractNumId w:val="17"/>
  </w:num>
  <w:num w:numId="23" w16cid:durableId="814837369">
    <w:abstractNumId w:val="3"/>
  </w:num>
  <w:num w:numId="24" w16cid:durableId="694236386">
    <w:abstractNumId w:val="21"/>
  </w:num>
  <w:num w:numId="25" w16cid:durableId="674921094">
    <w:abstractNumId w:val="32"/>
  </w:num>
  <w:num w:numId="26" w16cid:durableId="1175222074">
    <w:abstractNumId w:val="33"/>
  </w:num>
  <w:num w:numId="27" w16cid:durableId="1224869367">
    <w:abstractNumId w:val="9"/>
  </w:num>
  <w:num w:numId="28" w16cid:durableId="1944678577">
    <w:abstractNumId w:val="34"/>
  </w:num>
  <w:num w:numId="29" w16cid:durableId="243145290">
    <w:abstractNumId w:val="19"/>
  </w:num>
  <w:num w:numId="30" w16cid:durableId="1102919071">
    <w:abstractNumId w:val="6"/>
  </w:num>
  <w:num w:numId="31" w16cid:durableId="800072912">
    <w:abstractNumId w:val="26"/>
  </w:num>
  <w:num w:numId="32" w16cid:durableId="1821917553">
    <w:abstractNumId w:val="15"/>
  </w:num>
  <w:num w:numId="33" w16cid:durableId="918369371">
    <w:abstractNumId w:val="1"/>
  </w:num>
  <w:num w:numId="34" w16cid:durableId="619530357">
    <w:abstractNumId w:val="7"/>
  </w:num>
  <w:num w:numId="35" w16cid:durableId="1889106053">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14"/>
    <w:rsid w:val="00001899"/>
    <w:rsid w:val="000049AD"/>
    <w:rsid w:val="0000681B"/>
    <w:rsid w:val="000133C0"/>
    <w:rsid w:val="00014C4E"/>
    <w:rsid w:val="00017107"/>
    <w:rsid w:val="000202E2"/>
    <w:rsid w:val="00022441"/>
    <w:rsid w:val="0002261E"/>
    <w:rsid w:val="00024839"/>
    <w:rsid w:val="00026871"/>
    <w:rsid w:val="00037A98"/>
    <w:rsid w:val="00040614"/>
    <w:rsid w:val="000427FB"/>
    <w:rsid w:val="00043AFA"/>
    <w:rsid w:val="0004455E"/>
    <w:rsid w:val="00047CB5"/>
    <w:rsid w:val="000504AC"/>
    <w:rsid w:val="00051FAA"/>
    <w:rsid w:val="000572A9"/>
    <w:rsid w:val="00061325"/>
    <w:rsid w:val="000672B9"/>
    <w:rsid w:val="000733AC"/>
    <w:rsid w:val="00073D8A"/>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418D"/>
    <w:rsid w:val="000C554F"/>
    <w:rsid w:val="000D0DC5"/>
    <w:rsid w:val="000D15FF"/>
    <w:rsid w:val="000D28DF"/>
    <w:rsid w:val="000D488B"/>
    <w:rsid w:val="000D68DF"/>
    <w:rsid w:val="000E0885"/>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5202D"/>
    <w:rsid w:val="001533C8"/>
    <w:rsid w:val="00160628"/>
    <w:rsid w:val="00161344"/>
    <w:rsid w:val="00162195"/>
    <w:rsid w:val="0016322A"/>
    <w:rsid w:val="00165A21"/>
    <w:rsid w:val="001705CE"/>
    <w:rsid w:val="00174601"/>
    <w:rsid w:val="0017714B"/>
    <w:rsid w:val="001804DF"/>
    <w:rsid w:val="00181BDC"/>
    <w:rsid w:val="00181DB0"/>
    <w:rsid w:val="001829E3"/>
    <w:rsid w:val="001924C0"/>
    <w:rsid w:val="0019731E"/>
    <w:rsid w:val="001A09FE"/>
    <w:rsid w:val="001A67C9"/>
    <w:rsid w:val="001A69DE"/>
    <w:rsid w:val="001A713C"/>
    <w:rsid w:val="001B1C7C"/>
    <w:rsid w:val="001B398F"/>
    <w:rsid w:val="001B44DE"/>
    <w:rsid w:val="001B46C6"/>
    <w:rsid w:val="001B4B48"/>
    <w:rsid w:val="001B4D1F"/>
    <w:rsid w:val="001B7681"/>
    <w:rsid w:val="001B7CAE"/>
    <w:rsid w:val="001C0772"/>
    <w:rsid w:val="001C0D34"/>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1F7CA3"/>
    <w:rsid w:val="00203C9C"/>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77217"/>
    <w:rsid w:val="00282799"/>
    <w:rsid w:val="00282F83"/>
    <w:rsid w:val="00283B41"/>
    <w:rsid w:val="00285F28"/>
    <w:rsid w:val="00286398"/>
    <w:rsid w:val="0029657E"/>
    <w:rsid w:val="002A3C42"/>
    <w:rsid w:val="002A5D75"/>
    <w:rsid w:val="002B1B1A"/>
    <w:rsid w:val="002B7228"/>
    <w:rsid w:val="002C53EE"/>
    <w:rsid w:val="002C54F6"/>
    <w:rsid w:val="002D24F7"/>
    <w:rsid w:val="002D2799"/>
    <w:rsid w:val="002D2CD7"/>
    <w:rsid w:val="002D4DDC"/>
    <w:rsid w:val="002D4F75"/>
    <w:rsid w:val="002D6493"/>
    <w:rsid w:val="002D7AB6"/>
    <w:rsid w:val="002E06D0"/>
    <w:rsid w:val="002E3C27"/>
    <w:rsid w:val="002E403A"/>
    <w:rsid w:val="002E7F3A"/>
    <w:rsid w:val="002F4EDB"/>
    <w:rsid w:val="002F52D6"/>
    <w:rsid w:val="002F6054"/>
    <w:rsid w:val="00302ECB"/>
    <w:rsid w:val="00310514"/>
    <w:rsid w:val="00310E13"/>
    <w:rsid w:val="00313085"/>
    <w:rsid w:val="00315713"/>
    <w:rsid w:val="0031686C"/>
    <w:rsid w:val="00316FE0"/>
    <w:rsid w:val="003204D2"/>
    <w:rsid w:val="0032605E"/>
    <w:rsid w:val="003275D1"/>
    <w:rsid w:val="00330B2A"/>
    <w:rsid w:val="00331E17"/>
    <w:rsid w:val="00333063"/>
    <w:rsid w:val="0033536E"/>
    <w:rsid w:val="003408E3"/>
    <w:rsid w:val="003433CF"/>
    <w:rsid w:val="00343480"/>
    <w:rsid w:val="00345E89"/>
    <w:rsid w:val="003522A1"/>
    <w:rsid w:val="0035254B"/>
    <w:rsid w:val="00353555"/>
    <w:rsid w:val="003565D4"/>
    <w:rsid w:val="003607FB"/>
    <w:rsid w:val="00360FD5"/>
    <w:rsid w:val="0036340D"/>
    <w:rsid w:val="003634A5"/>
    <w:rsid w:val="00366868"/>
    <w:rsid w:val="00367506"/>
    <w:rsid w:val="00370085"/>
    <w:rsid w:val="00370E34"/>
    <w:rsid w:val="0037277F"/>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E74B9"/>
    <w:rsid w:val="003F193A"/>
    <w:rsid w:val="003F4207"/>
    <w:rsid w:val="003F5C46"/>
    <w:rsid w:val="003F6927"/>
    <w:rsid w:val="003F7CBB"/>
    <w:rsid w:val="003F7D34"/>
    <w:rsid w:val="0040423C"/>
    <w:rsid w:val="00412C8E"/>
    <w:rsid w:val="0041518D"/>
    <w:rsid w:val="0042221D"/>
    <w:rsid w:val="00424DD3"/>
    <w:rsid w:val="004269C5"/>
    <w:rsid w:val="00435114"/>
    <w:rsid w:val="00435939"/>
    <w:rsid w:val="00437CC7"/>
    <w:rsid w:val="00442B9C"/>
    <w:rsid w:val="00445EFA"/>
    <w:rsid w:val="0044738A"/>
    <w:rsid w:val="004473D3"/>
    <w:rsid w:val="00452231"/>
    <w:rsid w:val="00460C13"/>
    <w:rsid w:val="00463228"/>
    <w:rsid w:val="00463782"/>
    <w:rsid w:val="004667E0"/>
    <w:rsid w:val="0046760E"/>
    <w:rsid w:val="00470E10"/>
    <w:rsid w:val="00472601"/>
    <w:rsid w:val="00477A97"/>
    <w:rsid w:val="00481343"/>
    <w:rsid w:val="0048549E"/>
    <w:rsid w:val="004930C6"/>
    <w:rsid w:val="00493347"/>
    <w:rsid w:val="00496092"/>
    <w:rsid w:val="00496663"/>
    <w:rsid w:val="004A08DB"/>
    <w:rsid w:val="004A25D0"/>
    <w:rsid w:val="004A37E8"/>
    <w:rsid w:val="004A7549"/>
    <w:rsid w:val="004B09D4"/>
    <w:rsid w:val="004B17A5"/>
    <w:rsid w:val="004B309D"/>
    <w:rsid w:val="004B330A"/>
    <w:rsid w:val="004B7C8E"/>
    <w:rsid w:val="004C3D3C"/>
    <w:rsid w:val="004D0EDC"/>
    <w:rsid w:val="004D1220"/>
    <w:rsid w:val="004D14B3"/>
    <w:rsid w:val="004D1529"/>
    <w:rsid w:val="004D2253"/>
    <w:rsid w:val="004D5514"/>
    <w:rsid w:val="004D56C3"/>
    <w:rsid w:val="004D78D5"/>
    <w:rsid w:val="004E0338"/>
    <w:rsid w:val="004E4935"/>
    <w:rsid w:val="004E4FF3"/>
    <w:rsid w:val="004E56A8"/>
    <w:rsid w:val="004F2ED2"/>
    <w:rsid w:val="004F3B55"/>
    <w:rsid w:val="004F428E"/>
    <w:rsid w:val="004F4E46"/>
    <w:rsid w:val="004F6B7D"/>
    <w:rsid w:val="005015F6"/>
    <w:rsid w:val="005030C4"/>
    <w:rsid w:val="005031C5"/>
    <w:rsid w:val="00504FDC"/>
    <w:rsid w:val="005120CC"/>
    <w:rsid w:val="00512B7B"/>
    <w:rsid w:val="00514EA1"/>
    <w:rsid w:val="0051798B"/>
    <w:rsid w:val="00521F5A"/>
    <w:rsid w:val="00525E06"/>
    <w:rsid w:val="00526454"/>
    <w:rsid w:val="00531823"/>
    <w:rsid w:val="00533120"/>
    <w:rsid w:val="00534ECC"/>
    <w:rsid w:val="0053720D"/>
    <w:rsid w:val="00540EF5"/>
    <w:rsid w:val="00541BF3"/>
    <w:rsid w:val="00541CD3"/>
    <w:rsid w:val="005453C6"/>
    <w:rsid w:val="00546006"/>
    <w:rsid w:val="005476FA"/>
    <w:rsid w:val="0055595E"/>
    <w:rsid w:val="005571E1"/>
    <w:rsid w:val="00557988"/>
    <w:rsid w:val="00562C49"/>
    <w:rsid w:val="00562DEF"/>
    <w:rsid w:val="0056321A"/>
    <w:rsid w:val="00563A35"/>
    <w:rsid w:val="00566596"/>
    <w:rsid w:val="005741E9"/>
    <w:rsid w:val="005748CF"/>
    <w:rsid w:val="00581413"/>
    <w:rsid w:val="00584270"/>
    <w:rsid w:val="00584738"/>
    <w:rsid w:val="005920B0"/>
    <w:rsid w:val="0059380D"/>
    <w:rsid w:val="00595A8F"/>
    <w:rsid w:val="005977C2"/>
    <w:rsid w:val="00597BF2"/>
    <w:rsid w:val="005A1F54"/>
    <w:rsid w:val="005A3020"/>
    <w:rsid w:val="005B134E"/>
    <w:rsid w:val="005B1F12"/>
    <w:rsid w:val="005B2039"/>
    <w:rsid w:val="005B344F"/>
    <w:rsid w:val="005B3FBA"/>
    <w:rsid w:val="005B4A1D"/>
    <w:rsid w:val="005B674D"/>
    <w:rsid w:val="005C056D"/>
    <w:rsid w:val="005C0CBE"/>
    <w:rsid w:val="005C1FCF"/>
    <w:rsid w:val="005C3F41"/>
    <w:rsid w:val="005C5B36"/>
    <w:rsid w:val="005D1885"/>
    <w:rsid w:val="005D4A38"/>
    <w:rsid w:val="005E2EEA"/>
    <w:rsid w:val="005E3708"/>
    <w:rsid w:val="005E3CCD"/>
    <w:rsid w:val="005E3D6B"/>
    <w:rsid w:val="005E5B55"/>
    <w:rsid w:val="005E5E4A"/>
    <w:rsid w:val="005E5F00"/>
    <w:rsid w:val="005E693D"/>
    <w:rsid w:val="005E75BF"/>
    <w:rsid w:val="005F57BA"/>
    <w:rsid w:val="005F61E6"/>
    <w:rsid w:val="005F6C45"/>
    <w:rsid w:val="00605A69"/>
    <w:rsid w:val="00606C54"/>
    <w:rsid w:val="00607B00"/>
    <w:rsid w:val="00614375"/>
    <w:rsid w:val="00615B0A"/>
    <w:rsid w:val="006168CF"/>
    <w:rsid w:val="0062011B"/>
    <w:rsid w:val="00626DE0"/>
    <w:rsid w:val="00630901"/>
    <w:rsid w:val="00631F8E"/>
    <w:rsid w:val="006328D8"/>
    <w:rsid w:val="006334B4"/>
    <w:rsid w:val="00636EE9"/>
    <w:rsid w:val="00637ED9"/>
    <w:rsid w:val="00640950"/>
    <w:rsid w:val="00641AE7"/>
    <w:rsid w:val="00642629"/>
    <w:rsid w:val="00642D63"/>
    <w:rsid w:val="006456A5"/>
    <w:rsid w:val="0064782B"/>
    <w:rsid w:val="0065293D"/>
    <w:rsid w:val="00653EFC"/>
    <w:rsid w:val="00654021"/>
    <w:rsid w:val="00656884"/>
    <w:rsid w:val="00661045"/>
    <w:rsid w:val="00666DA8"/>
    <w:rsid w:val="00671057"/>
    <w:rsid w:val="0067587B"/>
    <w:rsid w:val="00675AAF"/>
    <w:rsid w:val="0068031A"/>
    <w:rsid w:val="00681B2F"/>
    <w:rsid w:val="0068335F"/>
    <w:rsid w:val="00687217"/>
    <w:rsid w:val="00693302"/>
    <w:rsid w:val="0069640B"/>
    <w:rsid w:val="006A1B83"/>
    <w:rsid w:val="006A21CD"/>
    <w:rsid w:val="006A5918"/>
    <w:rsid w:val="006A6FCD"/>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0713"/>
    <w:rsid w:val="006F231A"/>
    <w:rsid w:val="006F6B55"/>
    <w:rsid w:val="006F788D"/>
    <w:rsid w:val="006F78E1"/>
    <w:rsid w:val="00701072"/>
    <w:rsid w:val="00702054"/>
    <w:rsid w:val="00702516"/>
    <w:rsid w:val="007035A4"/>
    <w:rsid w:val="00711799"/>
    <w:rsid w:val="00712B78"/>
    <w:rsid w:val="0071393B"/>
    <w:rsid w:val="00713EE2"/>
    <w:rsid w:val="007177FC"/>
    <w:rsid w:val="00720C5E"/>
    <w:rsid w:val="00721701"/>
    <w:rsid w:val="00731835"/>
    <w:rsid w:val="00731E40"/>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207F"/>
    <w:rsid w:val="00773D59"/>
    <w:rsid w:val="00781003"/>
    <w:rsid w:val="00790E3D"/>
    <w:rsid w:val="007911FD"/>
    <w:rsid w:val="00793930"/>
    <w:rsid w:val="00793DD1"/>
    <w:rsid w:val="00794FEC"/>
    <w:rsid w:val="007A003E"/>
    <w:rsid w:val="007A1965"/>
    <w:rsid w:val="007A2ED1"/>
    <w:rsid w:val="007A4BE6"/>
    <w:rsid w:val="007B0DC6"/>
    <w:rsid w:val="007B1094"/>
    <w:rsid w:val="007B1762"/>
    <w:rsid w:val="007B2F7F"/>
    <w:rsid w:val="007B3320"/>
    <w:rsid w:val="007B4250"/>
    <w:rsid w:val="007C301F"/>
    <w:rsid w:val="007C4540"/>
    <w:rsid w:val="007C65AF"/>
    <w:rsid w:val="007D135D"/>
    <w:rsid w:val="007D730F"/>
    <w:rsid w:val="007D7428"/>
    <w:rsid w:val="007D7CD8"/>
    <w:rsid w:val="007E1C83"/>
    <w:rsid w:val="007E3AA7"/>
    <w:rsid w:val="007F0352"/>
    <w:rsid w:val="007F0F8D"/>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3310"/>
    <w:rsid w:val="00864B2E"/>
    <w:rsid w:val="00865963"/>
    <w:rsid w:val="00871C1D"/>
    <w:rsid w:val="0087450E"/>
    <w:rsid w:val="00875A82"/>
    <w:rsid w:val="00876CA3"/>
    <w:rsid w:val="008772FE"/>
    <w:rsid w:val="008775F1"/>
    <w:rsid w:val="008821AE"/>
    <w:rsid w:val="00883279"/>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1B4"/>
    <w:rsid w:val="008F755D"/>
    <w:rsid w:val="008F7A39"/>
    <w:rsid w:val="009021E8"/>
    <w:rsid w:val="00902C59"/>
    <w:rsid w:val="00904677"/>
    <w:rsid w:val="00905EE2"/>
    <w:rsid w:val="00911440"/>
    <w:rsid w:val="00911712"/>
    <w:rsid w:val="00911B27"/>
    <w:rsid w:val="009170BE"/>
    <w:rsid w:val="00920B55"/>
    <w:rsid w:val="00924313"/>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2FF9"/>
    <w:rsid w:val="009B4EBC"/>
    <w:rsid w:val="009B5ABB"/>
    <w:rsid w:val="009B73CE"/>
    <w:rsid w:val="009C04BB"/>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52DA"/>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65C96"/>
    <w:rsid w:val="00A71361"/>
    <w:rsid w:val="00A746E2"/>
    <w:rsid w:val="00A81FF2"/>
    <w:rsid w:val="00A83904"/>
    <w:rsid w:val="00A90A79"/>
    <w:rsid w:val="00A96B30"/>
    <w:rsid w:val="00AA2379"/>
    <w:rsid w:val="00AA3B69"/>
    <w:rsid w:val="00AA442D"/>
    <w:rsid w:val="00AA59B5"/>
    <w:rsid w:val="00AA7777"/>
    <w:rsid w:val="00AA7B84"/>
    <w:rsid w:val="00AB3BFF"/>
    <w:rsid w:val="00AC0B4C"/>
    <w:rsid w:val="00AC1164"/>
    <w:rsid w:val="00AC137A"/>
    <w:rsid w:val="00AC2296"/>
    <w:rsid w:val="00AC2754"/>
    <w:rsid w:val="00AC48B0"/>
    <w:rsid w:val="00AC4ACD"/>
    <w:rsid w:val="00AC5DFB"/>
    <w:rsid w:val="00AD13DC"/>
    <w:rsid w:val="00AD42CD"/>
    <w:rsid w:val="00AD6DE2"/>
    <w:rsid w:val="00AE0A40"/>
    <w:rsid w:val="00AE1ED4"/>
    <w:rsid w:val="00AE21E1"/>
    <w:rsid w:val="00AE2F8D"/>
    <w:rsid w:val="00AE3BAE"/>
    <w:rsid w:val="00AE409D"/>
    <w:rsid w:val="00AE6A21"/>
    <w:rsid w:val="00AE717D"/>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264B8"/>
    <w:rsid w:val="00B34079"/>
    <w:rsid w:val="00B3793A"/>
    <w:rsid w:val="00B401BA"/>
    <w:rsid w:val="00B407E4"/>
    <w:rsid w:val="00B425B6"/>
    <w:rsid w:val="00B42A72"/>
    <w:rsid w:val="00B42E85"/>
    <w:rsid w:val="00B441AE"/>
    <w:rsid w:val="00B45A65"/>
    <w:rsid w:val="00B45F33"/>
    <w:rsid w:val="00B46D50"/>
    <w:rsid w:val="00B53170"/>
    <w:rsid w:val="00B53272"/>
    <w:rsid w:val="00B548B9"/>
    <w:rsid w:val="00B56DBE"/>
    <w:rsid w:val="00B62999"/>
    <w:rsid w:val="00B63BE3"/>
    <w:rsid w:val="00B64885"/>
    <w:rsid w:val="00B64FA3"/>
    <w:rsid w:val="00B66810"/>
    <w:rsid w:val="00B72BE3"/>
    <w:rsid w:val="00B73B80"/>
    <w:rsid w:val="00B770C7"/>
    <w:rsid w:val="00B80C7A"/>
    <w:rsid w:val="00B80F26"/>
    <w:rsid w:val="00B81162"/>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58A6"/>
    <w:rsid w:val="00C963C5"/>
    <w:rsid w:val="00CA030C"/>
    <w:rsid w:val="00CA19D8"/>
    <w:rsid w:val="00CA1F41"/>
    <w:rsid w:val="00CA32EE"/>
    <w:rsid w:val="00CA5771"/>
    <w:rsid w:val="00CA6A1A"/>
    <w:rsid w:val="00CB54EE"/>
    <w:rsid w:val="00CC1E75"/>
    <w:rsid w:val="00CC2E0E"/>
    <w:rsid w:val="00CC361C"/>
    <w:rsid w:val="00CC474B"/>
    <w:rsid w:val="00CC658C"/>
    <w:rsid w:val="00CC67BF"/>
    <w:rsid w:val="00CD0843"/>
    <w:rsid w:val="00CD4E31"/>
    <w:rsid w:val="00CD5A45"/>
    <w:rsid w:val="00CD5A78"/>
    <w:rsid w:val="00CD7345"/>
    <w:rsid w:val="00CE372E"/>
    <w:rsid w:val="00CE48B7"/>
    <w:rsid w:val="00CE5497"/>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1AD9"/>
    <w:rsid w:val="00D528B9"/>
    <w:rsid w:val="00D53186"/>
    <w:rsid w:val="00D5487D"/>
    <w:rsid w:val="00D60140"/>
    <w:rsid w:val="00D6024A"/>
    <w:rsid w:val="00D608B5"/>
    <w:rsid w:val="00D64739"/>
    <w:rsid w:val="00D71F99"/>
    <w:rsid w:val="00D73CA4"/>
    <w:rsid w:val="00D73D71"/>
    <w:rsid w:val="00D74396"/>
    <w:rsid w:val="00D74F1F"/>
    <w:rsid w:val="00D80284"/>
    <w:rsid w:val="00D81F71"/>
    <w:rsid w:val="00D8642D"/>
    <w:rsid w:val="00D87AAF"/>
    <w:rsid w:val="00D90A5E"/>
    <w:rsid w:val="00D91A68"/>
    <w:rsid w:val="00D92A26"/>
    <w:rsid w:val="00D95A68"/>
    <w:rsid w:val="00D95C8B"/>
    <w:rsid w:val="00DA17C7"/>
    <w:rsid w:val="00DA682B"/>
    <w:rsid w:val="00DA6A9A"/>
    <w:rsid w:val="00DB1EFD"/>
    <w:rsid w:val="00DB3EAF"/>
    <w:rsid w:val="00DB46C6"/>
    <w:rsid w:val="00DC0CDF"/>
    <w:rsid w:val="00DC3203"/>
    <w:rsid w:val="00DC3C99"/>
    <w:rsid w:val="00DC52F5"/>
    <w:rsid w:val="00DC5FD0"/>
    <w:rsid w:val="00DC6DAA"/>
    <w:rsid w:val="00DD0354"/>
    <w:rsid w:val="00DD27D7"/>
    <w:rsid w:val="00DD2995"/>
    <w:rsid w:val="00DD458C"/>
    <w:rsid w:val="00DD5749"/>
    <w:rsid w:val="00DD72E9"/>
    <w:rsid w:val="00DD7605"/>
    <w:rsid w:val="00DE2020"/>
    <w:rsid w:val="00DE339B"/>
    <w:rsid w:val="00DE3476"/>
    <w:rsid w:val="00DE7BEA"/>
    <w:rsid w:val="00DF0396"/>
    <w:rsid w:val="00DF5B84"/>
    <w:rsid w:val="00DF6D5B"/>
    <w:rsid w:val="00DF771B"/>
    <w:rsid w:val="00DF7EE2"/>
    <w:rsid w:val="00E01BAA"/>
    <w:rsid w:val="00E0282A"/>
    <w:rsid w:val="00E02F9B"/>
    <w:rsid w:val="00E07E14"/>
    <w:rsid w:val="00E105A2"/>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11F4"/>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3636"/>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02F"/>
    <w:rsid w:val="00F43B9D"/>
    <w:rsid w:val="00F44D5E"/>
    <w:rsid w:val="00F46788"/>
    <w:rsid w:val="00F53A35"/>
    <w:rsid w:val="00F543CB"/>
    <w:rsid w:val="00F55A3D"/>
    <w:rsid w:val="00F5744B"/>
    <w:rsid w:val="00F61209"/>
    <w:rsid w:val="00F6259E"/>
    <w:rsid w:val="00F65DD4"/>
    <w:rsid w:val="00F672B2"/>
    <w:rsid w:val="00F764E6"/>
    <w:rsid w:val="00F76C95"/>
    <w:rsid w:val="00F81FE6"/>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2BBF"/>
    <w:rsid w:val="00FF2C0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D06EC"/>
  <w14:defaultImageDpi w14:val="330"/>
  <w15:docId w15:val="{1F2E837A-393A-40E2-8C99-78643C97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1"/>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ListParagraph">
    <w:name w:val="List Paragraph"/>
    <w:basedOn w:val="Normal"/>
    <w:rsid w:val="007F0352"/>
    <w:pPr>
      <w:ind w:left="720"/>
      <w:contextualSpacing/>
    </w:pPr>
  </w:style>
  <w:style w:type="character" w:styleId="Hyperlink">
    <w:name w:val="Hyperlink"/>
    <w:basedOn w:val="DefaultParagraphFont"/>
    <w:uiPriority w:val="99"/>
    <w:unhideWhenUsed/>
    <w:rsid w:val="003F6927"/>
    <w:rPr>
      <w:color w:val="0000FF" w:themeColor="hyperlink"/>
      <w:u w:val="single"/>
    </w:rPr>
  </w:style>
  <w:style w:type="character" w:customStyle="1" w:styleId="UnresolvedMention1">
    <w:name w:val="Unresolved Mention1"/>
    <w:basedOn w:val="DefaultParagraphFont"/>
    <w:uiPriority w:val="99"/>
    <w:semiHidden/>
    <w:unhideWhenUsed/>
    <w:rsid w:val="003F6927"/>
    <w:rPr>
      <w:color w:val="605E5C"/>
      <w:shd w:val="clear" w:color="auto" w:fill="E1DFDD"/>
    </w:rPr>
  </w:style>
  <w:style w:type="paragraph" w:styleId="NormalWeb">
    <w:name w:val="Normal (Web)"/>
    <w:basedOn w:val="Normal"/>
    <w:uiPriority w:val="99"/>
    <w:unhideWhenUsed/>
    <w:rsid w:val="000672B9"/>
    <w:pPr>
      <w:spacing w:before="100" w:beforeAutospacing="1" w:after="100" w:afterAutospacing="1" w:line="240" w:lineRule="auto"/>
    </w:pPr>
    <w:rPr>
      <w:lang w:val="en-US" w:eastAsia="en-US"/>
    </w:rPr>
  </w:style>
  <w:style w:type="paragraph" w:styleId="TOC1">
    <w:name w:val="toc 1"/>
    <w:basedOn w:val="Normal"/>
    <w:next w:val="Normal"/>
    <w:autoRedefine/>
    <w:uiPriority w:val="39"/>
    <w:unhideWhenUsed/>
    <w:rsid w:val="005B1F12"/>
    <w:pPr>
      <w:spacing w:before="240" w:after="120"/>
    </w:pPr>
    <w:rPr>
      <w:rFonts w:asciiTheme="minorHAnsi" w:hAnsiTheme="minorHAnsi" w:cstheme="minorHAnsi"/>
      <w:b/>
      <w:bCs/>
      <w:sz w:val="20"/>
    </w:rPr>
  </w:style>
  <w:style w:type="paragraph" w:styleId="TOC2">
    <w:name w:val="toc 2"/>
    <w:basedOn w:val="Normal"/>
    <w:next w:val="Normal"/>
    <w:autoRedefine/>
    <w:uiPriority w:val="39"/>
    <w:unhideWhenUsed/>
    <w:rsid w:val="005B1F12"/>
    <w:pPr>
      <w:spacing w:before="120"/>
      <w:ind w:left="240"/>
    </w:pPr>
    <w:rPr>
      <w:rFonts w:asciiTheme="minorHAnsi" w:hAnsiTheme="minorHAnsi" w:cstheme="minorHAnsi"/>
      <w:i/>
      <w:iCs/>
      <w:sz w:val="20"/>
    </w:rPr>
  </w:style>
  <w:style w:type="paragraph" w:styleId="TOC3">
    <w:name w:val="toc 3"/>
    <w:basedOn w:val="Normal"/>
    <w:next w:val="Normal"/>
    <w:autoRedefine/>
    <w:unhideWhenUsed/>
    <w:rsid w:val="005B1F12"/>
    <w:pPr>
      <w:ind w:left="480"/>
    </w:pPr>
    <w:rPr>
      <w:rFonts w:asciiTheme="minorHAnsi" w:hAnsiTheme="minorHAnsi" w:cstheme="minorHAnsi"/>
      <w:sz w:val="20"/>
    </w:rPr>
  </w:style>
  <w:style w:type="paragraph" w:styleId="TOC4">
    <w:name w:val="toc 4"/>
    <w:basedOn w:val="Normal"/>
    <w:next w:val="Normal"/>
    <w:autoRedefine/>
    <w:unhideWhenUsed/>
    <w:rsid w:val="005B1F12"/>
    <w:pPr>
      <w:ind w:left="720"/>
    </w:pPr>
    <w:rPr>
      <w:rFonts w:asciiTheme="minorHAnsi" w:hAnsiTheme="minorHAnsi" w:cstheme="minorHAnsi"/>
      <w:sz w:val="20"/>
    </w:rPr>
  </w:style>
  <w:style w:type="paragraph" w:styleId="TOC5">
    <w:name w:val="toc 5"/>
    <w:basedOn w:val="Normal"/>
    <w:next w:val="Normal"/>
    <w:autoRedefine/>
    <w:unhideWhenUsed/>
    <w:rsid w:val="005B1F12"/>
    <w:pPr>
      <w:ind w:left="960"/>
    </w:pPr>
    <w:rPr>
      <w:rFonts w:asciiTheme="minorHAnsi" w:hAnsiTheme="minorHAnsi" w:cstheme="minorHAnsi"/>
      <w:sz w:val="20"/>
    </w:rPr>
  </w:style>
  <w:style w:type="paragraph" w:styleId="TOC6">
    <w:name w:val="toc 6"/>
    <w:basedOn w:val="Normal"/>
    <w:next w:val="Normal"/>
    <w:autoRedefine/>
    <w:unhideWhenUsed/>
    <w:rsid w:val="005B1F12"/>
    <w:pPr>
      <w:ind w:left="1200"/>
    </w:pPr>
    <w:rPr>
      <w:rFonts w:asciiTheme="minorHAnsi" w:hAnsiTheme="minorHAnsi" w:cstheme="minorHAnsi"/>
      <w:sz w:val="20"/>
    </w:rPr>
  </w:style>
  <w:style w:type="paragraph" w:styleId="TOC7">
    <w:name w:val="toc 7"/>
    <w:basedOn w:val="Normal"/>
    <w:next w:val="Normal"/>
    <w:autoRedefine/>
    <w:unhideWhenUsed/>
    <w:rsid w:val="005B1F12"/>
    <w:pPr>
      <w:ind w:left="1440"/>
    </w:pPr>
    <w:rPr>
      <w:rFonts w:asciiTheme="minorHAnsi" w:hAnsiTheme="minorHAnsi" w:cstheme="minorHAnsi"/>
      <w:sz w:val="20"/>
    </w:rPr>
  </w:style>
  <w:style w:type="paragraph" w:styleId="TOC8">
    <w:name w:val="toc 8"/>
    <w:basedOn w:val="Normal"/>
    <w:next w:val="Normal"/>
    <w:autoRedefine/>
    <w:unhideWhenUsed/>
    <w:rsid w:val="005B1F12"/>
    <w:pPr>
      <w:ind w:left="1680"/>
    </w:pPr>
    <w:rPr>
      <w:rFonts w:asciiTheme="minorHAnsi" w:hAnsiTheme="minorHAnsi" w:cstheme="minorHAnsi"/>
      <w:sz w:val="20"/>
    </w:rPr>
  </w:style>
  <w:style w:type="paragraph" w:styleId="TOC9">
    <w:name w:val="toc 9"/>
    <w:basedOn w:val="Normal"/>
    <w:next w:val="Normal"/>
    <w:autoRedefine/>
    <w:unhideWhenUsed/>
    <w:rsid w:val="005B1F12"/>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7977">
      <w:bodyDiv w:val="1"/>
      <w:marLeft w:val="0"/>
      <w:marRight w:val="0"/>
      <w:marTop w:val="0"/>
      <w:marBottom w:val="0"/>
      <w:divBdr>
        <w:top w:val="none" w:sz="0" w:space="0" w:color="auto"/>
        <w:left w:val="none" w:sz="0" w:space="0" w:color="auto"/>
        <w:bottom w:val="none" w:sz="0" w:space="0" w:color="auto"/>
        <w:right w:val="none" w:sz="0" w:space="0" w:color="auto"/>
      </w:divBdr>
    </w:div>
    <w:div w:id="190343687">
      <w:bodyDiv w:val="1"/>
      <w:marLeft w:val="0"/>
      <w:marRight w:val="0"/>
      <w:marTop w:val="0"/>
      <w:marBottom w:val="0"/>
      <w:divBdr>
        <w:top w:val="none" w:sz="0" w:space="0" w:color="auto"/>
        <w:left w:val="none" w:sz="0" w:space="0" w:color="auto"/>
        <w:bottom w:val="none" w:sz="0" w:space="0" w:color="auto"/>
        <w:right w:val="none" w:sz="0" w:space="0" w:color="auto"/>
      </w:divBdr>
    </w:div>
    <w:div w:id="307712772">
      <w:bodyDiv w:val="1"/>
      <w:marLeft w:val="0"/>
      <w:marRight w:val="0"/>
      <w:marTop w:val="0"/>
      <w:marBottom w:val="0"/>
      <w:divBdr>
        <w:top w:val="none" w:sz="0" w:space="0" w:color="auto"/>
        <w:left w:val="none" w:sz="0" w:space="0" w:color="auto"/>
        <w:bottom w:val="none" w:sz="0" w:space="0" w:color="auto"/>
        <w:right w:val="none" w:sz="0" w:space="0" w:color="auto"/>
      </w:divBdr>
    </w:div>
    <w:div w:id="309866835">
      <w:bodyDiv w:val="1"/>
      <w:marLeft w:val="0"/>
      <w:marRight w:val="0"/>
      <w:marTop w:val="0"/>
      <w:marBottom w:val="0"/>
      <w:divBdr>
        <w:top w:val="none" w:sz="0" w:space="0" w:color="auto"/>
        <w:left w:val="none" w:sz="0" w:space="0" w:color="auto"/>
        <w:bottom w:val="none" w:sz="0" w:space="0" w:color="auto"/>
        <w:right w:val="none" w:sz="0" w:space="0" w:color="auto"/>
      </w:divBdr>
    </w:div>
    <w:div w:id="34518051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141656473">
      <w:bodyDiv w:val="1"/>
      <w:marLeft w:val="0"/>
      <w:marRight w:val="0"/>
      <w:marTop w:val="0"/>
      <w:marBottom w:val="0"/>
      <w:divBdr>
        <w:top w:val="none" w:sz="0" w:space="0" w:color="auto"/>
        <w:left w:val="none" w:sz="0" w:space="0" w:color="auto"/>
        <w:bottom w:val="none" w:sz="0" w:space="0" w:color="auto"/>
        <w:right w:val="none" w:sz="0" w:space="0" w:color="auto"/>
      </w:divBdr>
    </w:div>
    <w:div w:id="1325208051">
      <w:bodyDiv w:val="1"/>
      <w:marLeft w:val="0"/>
      <w:marRight w:val="0"/>
      <w:marTop w:val="0"/>
      <w:marBottom w:val="0"/>
      <w:divBdr>
        <w:top w:val="none" w:sz="0" w:space="0" w:color="auto"/>
        <w:left w:val="none" w:sz="0" w:space="0" w:color="auto"/>
        <w:bottom w:val="none" w:sz="0" w:space="0" w:color="auto"/>
        <w:right w:val="none" w:sz="0" w:space="0" w:color="auto"/>
      </w:divBdr>
    </w:div>
    <w:div w:id="1431896532">
      <w:bodyDiv w:val="1"/>
      <w:marLeft w:val="0"/>
      <w:marRight w:val="0"/>
      <w:marTop w:val="0"/>
      <w:marBottom w:val="0"/>
      <w:divBdr>
        <w:top w:val="none" w:sz="0" w:space="0" w:color="auto"/>
        <w:left w:val="none" w:sz="0" w:space="0" w:color="auto"/>
        <w:bottom w:val="none" w:sz="0" w:space="0" w:color="auto"/>
        <w:right w:val="none" w:sz="0" w:space="0" w:color="auto"/>
      </w:divBdr>
    </w:div>
    <w:div w:id="1506438067">
      <w:bodyDiv w:val="1"/>
      <w:marLeft w:val="0"/>
      <w:marRight w:val="0"/>
      <w:marTop w:val="0"/>
      <w:marBottom w:val="0"/>
      <w:divBdr>
        <w:top w:val="none" w:sz="0" w:space="0" w:color="auto"/>
        <w:left w:val="none" w:sz="0" w:space="0" w:color="auto"/>
        <w:bottom w:val="none" w:sz="0" w:space="0" w:color="auto"/>
        <w:right w:val="none" w:sz="0" w:space="0" w:color="auto"/>
      </w:divBdr>
    </w:div>
    <w:div w:id="1525754182">
      <w:bodyDiv w:val="1"/>
      <w:marLeft w:val="0"/>
      <w:marRight w:val="0"/>
      <w:marTop w:val="0"/>
      <w:marBottom w:val="0"/>
      <w:divBdr>
        <w:top w:val="none" w:sz="0" w:space="0" w:color="auto"/>
        <w:left w:val="none" w:sz="0" w:space="0" w:color="auto"/>
        <w:bottom w:val="none" w:sz="0" w:space="0" w:color="auto"/>
        <w:right w:val="none" w:sz="0" w:space="0" w:color="auto"/>
      </w:divBdr>
    </w:div>
    <w:div w:id="1563514923">
      <w:bodyDiv w:val="1"/>
      <w:marLeft w:val="0"/>
      <w:marRight w:val="0"/>
      <w:marTop w:val="0"/>
      <w:marBottom w:val="0"/>
      <w:divBdr>
        <w:top w:val="none" w:sz="0" w:space="0" w:color="auto"/>
        <w:left w:val="none" w:sz="0" w:space="0" w:color="auto"/>
        <w:bottom w:val="none" w:sz="0" w:space="0" w:color="auto"/>
        <w:right w:val="none" w:sz="0" w:space="0" w:color="auto"/>
      </w:divBdr>
    </w:div>
    <w:div w:id="1692873832">
      <w:bodyDiv w:val="1"/>
      <w:marLeft w:val="0"/>
      <w:marRight w:val="0"/>
      <w:marTop w:val="0"/>
      <w:marBottom w:val="0"/>
      <w:divBdr>
        <w:top w:val="none" w:sz="0" w:space="0" w:color="auto"/>
        <w:left w:val="none" w:sz="0" w:space="0" w:color="auto"/>
        <w:bottom w:val="none" w:sz="0" w:space="0" w:color="auto"/>
        <w:right w:val="none" w:sz="0" w:space="0" w:color="auto"/>
      </w:divBdr>
    </w:div>
    <w:div w:id="1734355571">
      <w:bodyDiv w:val="1"/>
      <w:marLeft w:val="0"/>
      <w:marRight w:val="0"/>
      <w:marTop w:val="0"/>
      <w:marBottom w:val="0"/>
      <w:divBdr>
        <w:top w:val="none" w:sz="0" w:space="0" w:color="auto"/>
        <w:left w:val="none" w:sz="0" w:space="0" w:color="auto"/>
        <w:bottom w:val="none" w:sz="0" w:space="0" w:color="auto"/>
        <w:right w:val="none" w:sz="0" w:space="0" w:color="auto"/>
      </w:divBdr>
    </w:div>
    <w:div w:id="21276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hadali0839@outlook.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had%20Ali\Documents\Custom%20Office%20Templates\Template_For_Article_Writ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5B9D4-D503-484D-9A1B-A57D3C35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Template_For_Article_Writing.dotm</Template>
  <TotalTime>474</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5505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Fahad Ali</dc:creator>
  <cp:lastModifiedBy>Fahad Ali</cp:lastModifiedBy>
  <cp:revision>309</cp:revision>
  <cp:lastPrinted>2011-07-22T14:54:00Z</cp:lastPrinted>
  <dcterms:created xsi:type="dcterms:W3CDTF">2023-03-25T02:27:00Z</dcterms:created>
  <dcterms:modified xsi:type="dcterms:W3CDTF">2023-03-30T07:23:00Z</dcterms:modified>
</cp:coreProperties>
</file>