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5731C" w:rsidRPr="00A5731C" w:rsidRDefault="00A5731C" w:rsidP="00A5731C">
      <w:pPr>
        <w:jc w:val="center"/>
        <w:rPr>
          <w:rFonts w:ascii="Times New Roman" w:hAnsi="Times New Roman" w:cs="Times New Roman"/>
        </w:rPr>
      </w:pPr>
      <w:r w:rsidRPr="00A5731C">
        <w:rPr>
          <w:rFonts w:ascii="Times New Roman" w:hAnsi="Times New Roman" w:cs="Times New Roman"/>
          <w:b/>
          <w:sz w:val="36"/>
        </w:rPr>
        <w:t>Integrated Clinical Guideline: Recurrent Pregnancy Loss (RPL)</w:t>
      </w:r>
    </w:p>
    <w:p w:rsidR="00A5731C" w:rsidRPr="00A5731C" w:rsidRDefault="00A5731C" w:rsidP="00A5731C">
      <w:pPr>
        <w:jc w:val="center"/>
        <w:rPr>
          <w:rFonts w:ascii="Times New Roman" w:hAnsi="Times New Roman" w:cs="Times New Roman"/>
        </w:rPr>
      </w:pPr>
      <w:r w:rsidRPr="00A5731C">
        <w:rPr>
          <w:rFonts w:ascii="Times New Roman" w:hAnsi="Times New Roman" w:cs="Times New Roman"/>
          <w:i/>
        </w:rPr>
        <w:t>Synthesized from ASRM (2023), RCOG Green‑top No. 17 (2023), ESHRE (2017, updates ongoing), and ACOG (2020)</w:t>
      </w:r>
    </w:p>
    <w:p w:rsidR="00A5731C" w:rsidRPr="00A5731C" w:rsidRDefault="00A5731C" w:rsidP="00A5731C">
      <w:pPr>
        <w:rPr>
          <w:rFonts w:ascii="Times New Roman" w:hAnsi="Times New Roman" w:cs="Times New Roman"/>
        </w:rPr>
      </w:pPr>
    </w:p>
    <w:p w:rsidR="00D55D61" w:rsidRPr="00D55D61" w:rsidRDefault="00D55D61" w:rsidP="00D55D61">
      <w:pPr>
        <w:rPr>
          <w:rFonts w:ascii="Times New Roman" w:hAnsi="Times New Roman" w:cs="Times New Roman"/>
        </w:rPr>
      </w:pPr>
      <w:r w:rsidRPr="00D55D61">
        <w:rPr>
          <w:rFonts w:ascii="Times New Roman" w:hAnsi="Times New Roman" w:cs="Times New Roman"/>
          <w:b/>
          <w:sz w:val="28"/>
        </w:rPr>
        <w:t>1) Scope &amp; Purpose</w:t>
      </w:r>
    </w:p>
    <w:p w:rsidR="00D55D61" w:rsidRPr="00D55D61" w:rsidRDefault="00D55D61" w:rsidP="00D55D61">
      <w:pPr>
        <w:pStyle w:val="ListBullet"/>
        <w:rPr>
          <w:rFonts w:ascii="Times New Roman" w:hAnsi="Times New Roman" w:cs="Times New Roman"/>
        </w:rPr>
      </w:pPr>
      <w:r w:rsidRPr="00D55D61">
        <w:rPr>
          <w:rFonts w:ascii="Times New Roman" w:hAnsi="Times New Roman" w:cs="Times New Roman"/>
        </w:rPr>
        <w:t>Target users: Obstetricians/gynecologists, fertility specialists, early pregnancy units, and primary care clinicians.</w:t>
      </w:r>
    </w:p>
    <w:p w:rsidR="00D55D61" w:rsidRPr="00D55D61" w:rsidRDefault="00D55D61" w:rsidP="00D55D61">
      <w:pPr>
        <w:pStyle w:val="ListBullet"/>
        <w:rPr>
          <w:rFonts w:ascii="Times New Roman" w:hAnsi="Times New Roman" w:cs="Times New Roman"/>
        </w:rPr>
      </w:pPr>
      <w:r w:rsidRPr="00D55D61">
        <w:rPr>
          <w:rFonts w:ascii="Times New Roman" w:hAnsi="Times New Roman" w:cs="Times New Roman"/>
        </w:rPr>
        <w:t>Population: Couples with recurrent pregnancy loss (RPL).</w:t>
      </w:r>
    </w:p>
    <w:p w:rsidR="00D55D61" w:rsidRPr="00D55D61" w:rsidRDefault="00D55D61" w:rsidP="00D55D61">
      <w:pPr>
        <w:pStyle w:val="ListBullet"/>
        <w:rPr>
          <w:rFonts w:ascii="Times New Roman" w:hAnsi="Times New Roman" w:cs="Times New Roman"/>
        </w:rPr>
      </w:pPr>
      <w:r w:rsidRPr="00D55D61">
        <w:rPr>
          <w:rFonts w:ascii="Times New Roman" w:hAnsi="Times New Roman" w:cs="Times New Roman"/>
        </w:rPr>
        <w:t>Settings: Preconception, early pregnancy care, outpatient and inpatient gynecology.</w:t>
      </w:r>
    </w:p>
    <w:p w:rsidR="00D55D61" w:rsidRPr="00D55D61" w:rsidRDefault="00D55D61" w:rsidP="00D55D61">
      <w:pPr>
        <w:rPr>
          <w:rFonts w:ascii="Times New Roman" w:hAnsi="Times New Roman" w:cs="Times New Roman"/>
        </w:rPr>
      </w:pPr>
      <w:r w:rsidRPr="00D55D61">
        <w:rPr>
          <w:rFonts w:ascii="Times New Roman" w:hAnsi="Times New Roman" w:cs="Times New Roman"/>
          <w:b/>
          <w:sz w:val="28"/>
        </w:rPr>
        <w:t>2) Definitions</w:t>
      </w:r>
    </w:p>
    <w:p w:rsidR="00D55D61" w:rsidRPr="00D55D61" w:rsidRDefault="00D55D61" w:rsidP="00D55D61">
      <w:pPr>
        <w:pStyle w:val="ListBullet"/>
        <w:rPr>
          <w:rFonts w:ascii="Times New Roman" w:hAnsi="Times New Roman" w:cs="Times New Roman"/>
        </w:rPr>
      </w:pPr>
      <w:r w:rsidRPr="00D55D61">
        <w:rPr>
          <w:rFonts w:ascii="Times New Roman" w:hAnsi="Times New Roman" w:cs="Times New Roman"/>
        </w:rPr>
        <w:t>Clinical pregnancy: ultrasonographic evidence of an intrauterine gestational sac or histopathological confirmation.</w:t>
      </w:r>
    </w:p>
    <w:p w:rsidR="00D55D61" w:rsidRPr="00D55D61" w:rsidRDefault="00D55D61" w:rsidP="00D55D61">
      <w:pPr>
        <w:pStyle w:val="ListBullet"/>
        <w:rPr>
          <w:rFonts w:ascii="Times New Roman" w:hAnsi="Times New Roman" w:cs="Times New Roman"/>
        </w:rPr>
      </w:pPr>
      <w:r w:rsidRPr="00D55D61">
        <w:rPr>
          <w:rFonts w:ascii="Times New Roman" w:hAnsi="Times New Roman" w:cs="Times New Roman"/>
        </w:rPr>
        <w:t>Recurrent Pregnancy Loss (RPL):</w:t>
      </w:r>
    </w:p>
    <w:p w:rsidR="00D55D61" w:rsidRPr="00D55D61" w:rsidRDefault="00926A51" w:rsidP="00926A51">
      <w:pPr>
        <w:pStyle w:val="ListBullet"/>
        <w:numPr>
          <w:ilvl w:val="0"/>
          <w:numId w:val="0"/>
        </w:numPr>
        <w:rPr>
          <w:rFonts w:ascii="Times New Roman" w:hAnsi="Times New Roman" w:cs="Times New Roman"/>
        </w:rPr>
      </w:pPr>
      <w:r>
        <w:rPr>
          <w:rFonts w:ascii="Times New Roman" w:hAnsi="Times New Roman" w:cs="Times New Roman"/>
        </w:rPr>
        <w:t xml:space="preserve">              </w:t>
      </w:r>
      <w:r w:rsidR="00D55D61" w:rsidRPr="00D55D61">
        <w:rPr>
          <w:rFonts w:ascii="Times New Roman" w:hAnsi="Times New Roman" w:cs="Times New Roman"/>
        </w:rPr>
        <w:t>• ASRM/ESHRE/ACOG: ≥2 clinical pregnancy losses (not necessarily consecutive).</w:t>
      </w:r>
    </w:p>
    <w:p w:rsidR="00D55D61" w:rsidRPr="00D55D61" w:rsidRDefault="00926A51" w:rsidP="00926A51">
      <w:pPr>
        <w:pStyle w:val="ListBullet"/>
        <w:numPr>
          <w:ilvl w:val="0"/>
          <w:numId w:val="0"/>
        </w:numPr>
        <w:rPr>
          <w:rFonts w:ascii="Times New Roman" w:hAnsi="Times New Roman" w:cs="Times New Roman"/>
        </w:rPr>
      </w:pPr>
      <w:r>
        <w:rPr>
          <w:rFonts w:ascii="Times New Roman" w:hAnsi="Times New Roman" w:cs="Times New Roman"/>
        </w:rPr>
        <w:t xml:space="preserve">              </w:t>
      </w:r>
      <w:r w:rsidR="00D55D61" w:rsidRPr="00D55D61">
        <w:rPr>
          <w:rFonts w:ascii="Times New Roman" w:hAnsi="Times New Roman" w:cs="Times New Roman"/>
        </w:rPr>
        <w:t>• RCOG: ≥3 consecutive clinical miscarriages (may offer evaluation after 2, especially with maternal age ≥35, prior fetal cardiac activity, or late loss).</w:t>
      </w:r>
    </w:p>
    <w:p w:rsidR="00D55D61" w:rsidRPr="00D55D61" w:rsidRDefault="00D55D61" w:rsidP="00D55D61">
      <w:pPr>
        <w:pStyle w:val="ListBullet"/>
        <w:rPr>
          <w:rFonts w:ascii="Times New Roman" w:hAnsi="Times New Roman" w:cs="Times New Roman"/>
        </w:rPr>
      </w:pPr>
      <w:r w:rsidRPr="00D55D61">
        <w:rPr>
          <w:rFonts w:ascii="Times New Roman" w:hAnsi="Times New Roman" w:cs="Times New Roman"/>
        </w:rPr>
        <w:t>Exclude: ectopic and molar pregnancies from the RPL count (manage separately).</w:t>
      </w:r>
    </w:p>
    <w:p w:rsidR="00D55D61" w:rsidRPr="00D55D61" w:rsidRDefault="00D55D61" w:rsidP="00D55D61">
      <w:pPr>
        <w:pStyle w:val="ListBullet"/>
        <w:rPr>
          <w:rFonts w:ascii="Times New Roman" w:hAnsi="Times New Roman" w:cs="Times New Roman"/>
        </w:rPr>
      </w:pPr>
      <w:r w:rsidRPr="00D55D61">
        <w:rPr>
          <w:rFonts w:ascii="Times New Roman" w:hAnsi="Times New Roman" w:cs="Times New Roman"/>
        </w:rPr>
        <w:t>Classify by gestation: early (&lt;10 weeks), late (10–20 weeks); and by etiology (explained vs unexplained).</w:t>
      </w:r>
    </w:p>
    <w:p w:rsidR="00D55D61" w:rsidRPr="00D55D61" w:rsidRDefault="00D55D61" w:rsidP="00D55D61">
      <w:pPr>
        <w:rPr>
          <w:rFonts w:ascii="Times New Roman" w:hAnsi="Times New Roman" w:cs="Times New Roman"/>
        </w:rPr>
      </w:pPr>
      <w:r w:rsidRPr="00D55D61">
        <w:rPr>
          <w:rFonts w:ascii="Times New Roman" w:hAnsi="Times New Roman" w:cs="Times New Roman"/>
          <w:b/>
          <w:sz w:val="28"/>
        </w:rPr>
        <w:t>3) Epidemiology &amp; Prognosis</w:t>
      </w:r>
    </w:p>
    <w:p w:rsidR="00D55D61" w:rsidRPr="00D55D61" w:rsidRDefault="00D55D61" w:rsidP="00D55D61">
      <w:pPr>
        <w:pStyle w:val="ListBullet"/>
        <w:rPr>
          <w:rFonts w:ascii="Times New Roman" w:hAnsi="Times New Roman" w:cs="Times New Roman"/>
        </w:rPr>
      </w:pPr>
      <w:r w:rsidRPr="00D55D61">
        <w:rPr>
          <w:rFonts w:ascii="Times New Roman" w:hAnsi="Times New Roman" w:cs="Times New Roman"/>
        </w:rPr>
        <w:t>Miscarriage occurs in ~15–20% of clinically recognized pregnancies; RPL affects ~1–2% of couples.</w:t>
      </w:r>
    </w:p>
    <w:p w:rsidR="00D55D61" w:rsidRPr="00D55D61" w:rsidRDefault="00D55D61" w:rsidP="00D55D61">
      <w:pPr>
        <w:pStyle w:val="ListBullet"/>
        <w:rPr>
          <w:rFonts w:ascii="Times New Roman" w:hAnsi="Times New Roman" w:cs="Times New Roman"/>
        </w:rPr>
      </w:pPr>
      <w:r w:rsidRPr="00D55D61">
        <w:rPr>
          <w:rFonts w:ascii="Times New Roman" w:hAnsi="Times New Roman" w:cs="Times New Roman"/>
        </w:rPr>
        <w:t>Prognosis: 60–80% will ultimately achieve a live birth even without specific therapy (after evaluation and supportive care).</w:t>
      </w:r>
    </w:p>
    <w:p w:rsidR="002B63FE" w:rsidRDefault="002B63FE" w:rsidP="002B63FE">
      <w:pPr>
        <w:pStyle w:val="NormalWeb"/>
        <w:rPr>
          <w:b/>
          <w:bCs/>
          <w:color w:val="05193F"/>
          <w:sz w:val="28"/>
          <w:szCs w:val="28"/>
        </w:rPr>
      </w:pPr>
      <w:r w:rsidRPr="006C72AF">
        <w:rPr>
          <w:b/>
          <w:bCs/>
          <w:sz w:val="28"/>
          <w:szCs w:val="28"/>
        </w:rPr>
        <w:t>4)</w:t>
      </w:r>
      <w:r w:rsidRPr="002B63FE">
        <w:rPr>
          <w:sz w:val="28"/>
          <w:szCs w:val="28"/>
        </w:rPr>
        <w:t xml:space="preserve"> </w:t>
      </w:r>
      <w:r w:rsidRPr="002B63FE">
        <w:rPr>
          <w:b/>
          <w:bCs/>
          <w:color w:val="05193F"/>
          <w:sz w:val="28"/>
          <w:szCs w:val="28"/>
        </w:rPr>
        <w:t>R</w:t>
      </w:r>
      <w:r>
        <w:rPr>
          <w:b/>
          <w:bCs/>
          <w:color w:val="05193F"/>
          <w:sz w:val="28"/>
          <w:szCs w:val="28"/>
        </w:rPr>
        <w:t>isk</w:t>
      </w:r>
      <w:r w:rsidRPr="002B63FE">
        <w:rPr>
          <w:b/>
          <w:bCs/>
          <w:color w:val="05193F"/>
          <w:sz w:val="28"/>
          <w:szCs w:val="28"/>
        </w:rPr>
        <w:t xml:space="preserve"> F</w:t>
      </w:r>
      <w:r>
        <w:rPr>
          <w:b/>
          <w:bCs/>
          <w:color w:val="05193F"/>
          <w:sz w:val="28"/>
          <w:szCs w:val="28"/>
        </w:rPr>
        <w:t>actors</w:t>
      </w:r>
      <w:r w:rsidRPr="002B63FE">
        <w:rPr>
          <w:b/>
          <w:bCs/>
          <w:color w:val="05193F"/>
          <w:sz w:val="28"/>
          <w:szCs w:val="28"/>
        </w:rPr>
        <w:t xml:space="preserve"> F</w:t>
      </w:r>
      <w:r>
        <w:rPr>
          <w:b/>
          <w:bCs/>
          <w:color w:val="05193F"/>
          <w:sz w:val="28"/>
          <w:szCs w:val="28"/>
        </w:rPr>
        <w:t>or</w:t>
      </w:r>
      <w:r w:rsidRPr="002B63FE">
        <w:rPr>
          <w:b/>
          <w:bCs/>
          <w:color w:val="05193F"/>
          <w:sz w:val="28"/>
          <w:szCs w:val="28"/>
        </w:rPr>
        <w:t xml:space="preserve"> R</w:t>
      </w:r>
      <w:r>
        <w:rPr>
          <w:b/>
          <w:bCs/>
          <w:color w:val="05193F"/>
          <w:sz w:val="28"/>
          <w:szCs w:val="28"/>
        </w:rPr>
        <w:t>ecurrent</w:t>
      </w:r>
      <w:r w:rsidRPr="002B63FE">
        <w:rPr>
          <w:b/>
          <w:bCs/>
          <w:color w:val="05193F"/>
          <w:sz w:val="28"/>
          <w:szCs w:val="28"/>
        </w:rPr>
        <w:t xml:space="preserve"> M</w:t>
      </w:r>
      <w:r>
        <w:rPr>
          <w:b/>
          <w:bCs/>
          <w:color w:val="05193F"/>
          <w:sz w:val="28"/>
          <w:szCs w:val="28"/>
        </w:rPr>
        <w:t>iscarriage</w:t>
      </w:r>
    </w:p>
    <w:p w:rsidR="00242426" w:rsidRPr="00E10674" w:rsidRDefault="002B63FE" w:rsidP="009A46A7">
      <w:pPr>
        <w:pStyle w:val="NormalWeb"/>
        <w:rPr>
          <w:color w:val="05193F"/>
          <w:sz w:val="20"/>
          <w:szCs w:val="20"/>
        </w:rPr>
      </w:pPr>
      <w:r w:rsidRPr="00E03767">
        <w:rPr>
          <w:b/>
          <w:bCs/>
          <w:color w:val="05193F"/>
          <w:sz w:val="28"/>
          <w:szCs w:val="28"/>
        </w:rPr>
        <w:t xml:space="preserve">4.1. </w:t>
      </w:r>
      <w:r w:rsidR="00242426" w:rsidRPr="00242426">
        <w:rPr>
          <w:color w:val="05193F"/>
          <w:sz w:val="20"/>
          <w:szCs w:val="20"/>
        </w:rPr>
        <w:t>In more than half of women with repeated miscarriages, no cause can be found</w:t>
      </w:r>
    </w:p>
    <w:p w:rsidR="009A46A7" w:rsidRPr="00E03767" w:rsidRDefault="009A46A7" w:rsidP="002B63FE">
      <w:pPr>
        <w:pStyle w:val="NormalWeb"/>
        <w:rPr>
          <w:b/>
          <w:bCs/>
          <w:color w:val="05193F"/>
        </w:rPr>
      </w:pPr>
      <w:r w:rsidRPr="00E03767">
        <w:rPr>
          <w:b/>
          <w:bCs/>
          <w:color w:val="05193F"/>
          <w:sz w:val="28"/>
          <w:szCs w:val="28"/>
        </w:rPr>
        <w:t>4.</w:t>
      </w:r>
      <w:r>
        <w:rPr>
          <w:b/>
          <w:bCs/>
          <w:color w:val="05193F"/>
          <w:sz w:val="28"/>
          <w:szCs w:val="28"/>
        </w:rPr>
        <w:t>2</w:t>
      </w:r>
      <w:r w:rsidRPr="00E03767">
        <w:rPr>
          <w:b/>
          <w:bCs/>
          <w:color w:val="05193F"/>
          <w:sz w:val="28"/>
          <w:szCs w:val="28"/>
        </w:rPr>
        <w:t xml:space="preserve">. </w:t>
      </w:r>
      <w:r w:rsidRPr="00E03767">
        <w:rPr>
          <w:b/>
          <w:bCs/>
          <w:color w:val="05193F"/>
        </w:rPr>
        <w:t xml:space="preserve">Epidemiological factors </w:t>
      </w:r>
    </w:p>
    <w:p w:rsidR="002B63FE" w:rsidRPr="00242426" w:rsidRDefault="002B63FE" w:rsidP="002B63FE">
      <w:pPr>
        <w:pStyle w:val="NormalWeb"/>
      </w:pPr>
      <w:r w:rsidRPr="002B63FE">
        <w:lastRenderedPageBreak/>
        <w:drawing>
          <wp:inline distT="0" distB="0" distL="0" distR="0" wp14:anchorId="75558F1F" wp14:editId="73BB9230">
            <wp:extent cx="6051550" cy="1809750"/>
            <wp:effectExtent l="0" t="0" r="6350" b="6350"/>
            <wp:docPr id="47389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4583" name=""/>
                    <pic:cNvPicPr/>
                  </pic:nvPicPr>
                  <pic:blipFill rotWithShape="1">
                    <a:blip r:embed="rId5"/>
                    <a:srcRect t="8065"/>
                    <a:stretch>
                      <a:fillRect/>
                    </a:stretch>
                  </pic:blipFill>
                  <pic:spPr bwMode="auto">
                    <a:xfrm>
                      <a:off x="0" y="0"/>
                      <a:ext cx="6051550" cy="1809750"/>
                    </a:xfrm>
                    <a:prstGeom prst="rect">
                      <a:avLst/>
                    </a:prstGeom>
                    <a:ln>
                      <a:noFill/>
                    </a:ln>
                    <a:extLst>
                      <a:ext uri="{53640926-AAD7-44D8-BBD7-CCE9431645EC}">
                        <a14:shadowObscured xmlns:a14="http://schemas.microsoft.com/office/drawing/2010/main"/>
                      </a:ext>
                    </a:extLst>
                  </pic:spPr>
                </pic:pic>
              </a:graphicData>
            </a:graphic>
          </wp:inline>
        </w:drawing>
      </w:r>
    </w:p>
    <w:p w:rsidR="002B63FE" w:rsidRPr="0054085E" w:rsidRDefault="00E03767" w:rsidP="00D55D61">
      <w:pPr>
        <w:rPr>
          <w:rFonts w:ascii="Times New Roman" w:hAnsi="Times New Roman" w:cs="Times New Roman"/>
          <w:b/>
          <w:bCs/>
          <w:sz w:val="24"/>
          <w:szCs w:val="24"/>
        </w:rPr>
      </w:pPr>
      <w:r w:rsidRPr="0054085E">
        <w:rPr>
          <w:rFonts w:ascii="Times New Roman" w:hAnsi="Times New Roman" w:cs="Times New Roman"/>
          <w:b/>
          <w:bCs/>
          <w:sz w:val="24"/>
          <w:szCs w:val="24"/>
        </w:rPr>
        <w:t>4.</w:t>
      </w:r>
      <w:r w:rsidR="009A46A7" w:rsidRPr="0054085E">
        <w:rPr>
          <w:rFonts w:ascii="Times New Roman" w:hAnsi="Times New Roman" w:cs="Times New Roman"/>
          <w:b/>
          <w:bCs/>
          <w:sz w:val="24"/>
          <w:szCs w:val="24"/>
        </w:rPr>
        <w:t>3</w:t>
      </w:r>
      <w:r w:rsidRPr="0054085E">
        <w:rPr>
          <w:rFonts w:ascii="Times New Roman" w:hAnsi="Times New Roman" w:cs="Times New Roman"/>
          <w:b/>
          <w:bCs/>
          <w:sz w:val="24"/>
          <w:szCs w:val="24"/>
        </w:rPr>
        <w:t>. Thrombophilia</w:t>
      </w:r>
    </w:p>
    <w:p w:rsidR="00E03767" w:rsidRDefault="00E03767" w:rsidP="00E03767">
      <w:pPr>
        <w:pStyle w:val="NormalWeb"/>
      </w:pPr>
      <w:r>
        <w:rPr>
          <w:b/>
          <w:bCs/>
        </w:rPr>
        <w:t>4.</w:t>
      </w:r>
      <w:r w:rsidR="009A46A7">
        <w:rPr>
          <w:b/>
          <w:bCs/>
        </w:rPr>
        <w:t>3</w:t>
      </w:r>
      <w:r>
        <w:rPr>
          <w:b/>
          <w:bCs/>
        </w:rPr>
        <w:t xml:space="preserve">.1. Acquired: </w:t>
      </w:r>
      <w:r>
        <w:rPr>
          <w:rFonts w:ascii="MinionPro" w:hAnsi="MinionPro"/>
          <w:sz w:val="20"/>
          <w:szCs w:val="20"/>
        </w:rPr>
        <w:t>Antiphospholipid syndrome (APS) is defined as the asso- ciation between antiphospholipid (aPL) antibodies (lupus anticoagulant, anticardiolipin [aCL] antibodies and anti- beta-2-glycoprotein-I antibodies) and adverse pregnancy outcome or vascular thrombosis</w:t>
      </w:r>
      <w:r>
        <w:rPr>
          <w:rFonts w:ascii="MinionPro" w:hAnsi="MinionPro"/>
          <w:sz w:val="20"/>
          <w:szCs w:val="20"/>
        </w:rPr>
        <w:t>.</w:t>
      </w:r>
    </w:p>
    <w:p w:rsidR="00E03767" w:rsidRDefault="00E03767" w:rsidP="00E03767">
      <w:pPr>
        <w:pStyle w:val="NormalWeb"/>
      </w:pPr>
      <w:r>
        <w:rPr>
          <w:rFonts w:ascii="MinionPro" w:hAnsi="MinionPro"/>
          <w:sz w:val="20"/>
          <w:szCs w:val="20"/>
        </w:rPr>
        <w:t xml:space="preserve">Adverse pregnancy outcomes include: </w:t>
      </w:r>
    </w:p>
    <w:p w:rsidR="00E03767" w:rsidRDefault="00E03767" w:rsidP="00E03767">
      <w:pPr>
        <w:pStyle w:val="NormalWeb"/>
      </w:pPr>
      <w:r>
        <w:rPr>
          <w:rFonts w:ascii="MinionPro" w:hAnsi="MinionPro"/>
          <w:b/>
          <w:bCs/>
          <w:sz w:val="20"/>
          <w:szCs w:val="20"/>
        </w:rPr>
        <w:t xml:space="preserve">• </w:t>
      </w:r>
      <w:r>
        <w:rPr>
          <w:rFonts w:ascii="MinionPro" w:hAnsi="MinionPro"/>
          <w:sz w:val="20"/>
          <w:szCs w:val="20"/>
        </w:rPr>
        <w:t xml:space="preserve">three or more consecutive miscarriages before 10 weeks of gestation; </w:t>
      </w:r>
    </w:p>
    <w:p w:rsidR="00E03767" w:rsidRDefault="00E03767" w:rsidP="00E03767">
      <w:pPr>
        <w:pStyle w:val="NormalWeb"/>
        <w:rPr>
          <w:rFonts w:ascii="MinionPro" w:hAnsi="MinionPro"/>
          <w:position w:val="-16"/>
          <w:sz w:val="14"/>
          <w:szCs w:val="14"/>
        </w:rPr>
      </w:pPr>
      <w:r>
        <w:rPr>
          <w:rFonts w:ascii="MinionPro" w:hAnsi="MinionPro"/>
          <w:b/>
          <w:bCs/>
          <w:sz w:val="20"/>
          <w:szCs w:val="20"/>
        </w:rPr>
        <w:t xml:space="preserve">• </w:t>
      </w:r>
      <w:r>
        <w:rPr>
          <w:rFonts w:ascii="MinionPro" w:hAnsi="MinionPro"/>
          <w:sz w:val="20"/>
          <w:szCs w:val="20"/>
        </w:rPr>
        <w:t>one or more morphologically normal fetal losses after the tenth week of gestation</w:t>
      </w:r>
    </w:p>
    <w:p w:rsidR="00E03767" w:rsidRPr="00E03767" w:rsidRDefault="00E03767" w:rsidP="00E03767">
      <w:pPr>
        <w:pStyle w:val="NormalWeb"/>
      </w:pPr>
      <w:r>
        <w:rPr>
          <w:rFonts w:ascii="MinionPro" w:hAnsi="MinionPro"/>
          <w:b/>
          <w:bCs/>
          <w:sz w:val="20"/>
          <w:szCs w:val="20"/>
        </w:rPr>
        <w:t xml:space="preserve">• </w:t>
      </w:r>
      <w:r>
        <w:rPr>
          <w:rFonts w:ascii="MinionPro" w:hAnsi="MinionPro"/>
          <w:sz w:val="20"/>
          <w:szCs w:val="20"/>
        </w:rPr>
        <w:t>one or more preterm births before 34</w:t>
      </w:r>
      <w:r>
        <w:rPr>
          <w:rFonts w:ascii="MinionPro" w:hAnsi="MinionPro"/>
          <w:sz w:val="20"/>
          <w:szCs w:val="20"/>
          <w:vertAlign w:val="superscript"/>
        </w:rPr>
        <w:t>+0</w:t>
      </w:r>
      <w:r>
        <w:rPr>
          <w:rFonts w:ascii="MinionPro" w:hAnsi="MinionPro"/>
          <w:sz w:val="20"/>
          <w:szCs w:val="20"/>
        </w:rPr>
        <w:t xml:space="preserve"> weeks of gestation because of placental disease. </w:t>
      </w:r>
    </w:p>
    <w:p w:rsidR="00E03767" w:rsidRDefault="00E03767" w:rsidP="00E03767">
      <w:pPr>
        <w:pStyle w:val="NormalWeb"/>
        <w:rPr>
          <w:rFonts w:ascii="MinionPro" w:hAnsi="MinionPro"/>
          <w:sz w:val="20"/>
          <w:szCs w:val="20"/>
        </w:rPr>
      </w:pPr>
      <w:r>
        <w:rPr>
          <w:b/>
          <w:bCs/>
        </w:rPr>
        <w:t>4.</w:t>
      </w:r>
      <w:r w:rsidR="009A46A7">
        <w:rPr>
          <w:b/>
          <w:bCs/>
        </w:rPr>
        <w:t>3</w:t>
      </w:r>
      <w:r>
        <w:rPr>
          <w:b/>
          <w:bCs/>
        </w:rPr>
        <w:t xml:space="preserve">.2. Inherited: </w:t>
      </w:r>
      <w:r>
        <w:rPr>
          <w:rFonts w:ascii="MinionPro" w:hAnsi="MinionPro"/>
          <w:sz w:val="20"/>
          <w:szCs w:val="20"/>
        </w:rPr>
        <w:t>Inherited thrombophilias, including Factor V Leiden muta- tion, protein C and S deficiencies, antithrombin deficiency and prothrombin gene mutation</w:t>
      </w:r>
      <w:r w:rsidR="004A7353">
        <w:rPr>
          <w:rFonts w:ascii="MinionPro" w:hAnsi="MinionPro"/>
          <w:sz w:val="20"/>
          <w:szCs w:val="20"/>
        </w:rPr>
        <w:t>.</w:t>
      </w:r>
    </w:p>
    <w:p w:rsidR="004A7353" w:rsidRDefault="004A7353" w:rsidP="004A7353">
      <w:pPr>
        <w:pStyle w:val="NormalWeb"/>
        <w:rPr>
          <w:b/>
          <w:bCs/>
          <w:color w:val="05193F"/>
        </w:rPr>
      </w:pPr>
      <w:r w:rsidRPr="004A7353">
        <w:rPr>
          <w:b/>
          <w:bCs/>
        </w:rPr>
        <w:t>4.</w:t>
      </w:r>
      <w:r w:rsidR="009A46A7">
        <w:rPr>
          <w:b/>
          <w:bCs/>
        </w:rPr>
        <w:t>4</w:t>
      </w:r>
      <w:r w:rsidRPr="004A7353">
        <w:rPr>
          <w:b/>
          <w:bCs/>
        </w:rPr>
        <w:t>.</w:t>
      </w:r>
      <w:r w:rsidRPr="004A7353">
        <w:rPr>
          <w:b/>
          <w:bCs/>
          <w:sz w:val="20"/>
          <w:szCs w:val="20"/>
        </w:rPr>
        <w:t xml:space="preserve"> </w:t>
      </w:r>
      <w:r w:rsidRPr="004A7353">
        <w:rPr>
          <w:b/>
          <w:bCs/>
          <w:color w:val="05193F"/>
        </w:rPr>
        <w:t xml:space="preserve">Genetic factors </w:t>
      </w:r>
    </w:p>
    <w:p w:rsidR="004A7353" w:rsidRDefault="004A7353" w:rsidP="004A7353">
      <w:pPr>
        <w:pStyle w:val="NormalWeb"/>
        <w:rPr>
          <w:sz w:val="20"/>
          <w:szCs w:val="20"/>
        </w:rPr>
      </w:pPr>
      <w:r w:rsidRPr="000A47BB">
        <w:rPr>
          <w:color w:val="05193F"/>
          <w:sz w:val="20"/>
          <w:szCs w:val="20"/>
        </w:rPr>
        <w:t>4.3.1.</w:t>
      </w:r>
      <w:r w:rsidRPr="004A7353">
        <w:rPr>
          <w:b/>
          <w:bCs/>
          <w:color w:val="05193F"/>
          <w:sz w:val="20"/>
          <w:szCs w:val="20"/>
        </w:rPr>
        <w:t xml:space="preserve"> </w:t>
      </w:r>
      <w:r w:rsidRPr="004A7353">
        <w:rPr>
          <w:sz w:val="20"/>
          <w:szCs w:val="20"/>
        </w:rPr>
        <w:t xml:space="preserve">Parental chromosomal rearrangements </w:t>
      </w:r>
      <w:r w:rsidR="000A47BB">
        <w:rPr>
          <w:sz w:val="20"/>
          <w:szCs w:val="20"/>
        </w:rPr>
        <w:t>: Balanced Translocations</w:t>
      </w:r>
    </w:p>
    <w:p w:rsidR="000A47BB" w:rsidRDefault="004A7353" w:rsidP="000A47BB">
      <w:pPr>
        <w:pStyle w:val="NormalWeb"/>
        <w:rPr>
          <w:sz w:val="20"/>
          <w:szCs w:val="20"/>
        </w:rPr>
      </w:pPr>
      <w:r w:rsidRPr="004A7353">
        <w:rPr>
          <w:sz w:val="20"/>
          <w:szCs w:val="20"/>
        </w:rPr>
        <w:t>4.3.2.</w:t>
      </w:r>
      <w:r w:rsidRPr="004A7353">
        <w:t xml:space="preserve"> </w:t>
      </w:r>
      <w:r w:rsidRPr="004A7353">
        <w:rPr>
          <w:sz w:val="20"/>
          <w:szCs w:val="20"/>
        </w:rPr>
        <w:t xml:space="preserve">Fetal chromosomal anomalies </w:t>
      </w:r>
      <w:r w:rsidR="000A47BB">
        <w:rPr>
          <w:sz w:val="20"/>
          <w:szCs w:val="20"/>
        </w:rPr>
        <w:t xml:space="preserve">: </w:t>
      </w:r>
      <w:r w:rsidR="000A47BB" w:rsidRPr="000A47BB">
        <w:rPr>
          <w:sz w:val="20"/>
          <w:szCs w:val="20"/>
        </w:rPr>
        <w:t xml:space="preserve">aneuploidy </w:t>
      </w:r>
    </w:p>
    <w:p w:rsidR="000A47BB" w:rsidRDefault="000A47BB" w:rsidP="000A47BB">
      <w:pPr>
        <w:pStyle w:val="NormalWeb"/>
        <w:rPr>
          <w:b/>
          <w:bCs/>
          <w:color w:val="05193F"/>
        </w:rPr>
      </w:pPr>
      <w:r w:rsidRPr="004A7353">
        <w:rPr>
          <w:b/>
          <w:bCs/>
        </w:rPr>
        <w:t>4.</w:t>
      </w:r>
      <w:r w:rsidR="009A46A7">
        <w:rPr>
          <w:b/>
          <w:bCs/>
        </w:rPr>
        <w:t>5</w:t>
      </w:r>
      <w:r w:rsidRPr="004A7353">
        <w:rPr>
          <w:b/>
          <w:bCs/>
        </w:rPr>
        <w:t>.</w:t>
      </w:r>
      <w:r w:rsidRPr="004A7353">
        <w:rPr>
          <w:b/>
          <w:bCs/>
          <w:sz w:val="20"/>
          <w:szCs w:val="20"/>
        </w:rPr>
        <w:t xml:space="preserve"> </w:t>
      </w:r>
      <w:r>
        <w:rPr>
          <w:b/>
          <w:bCs/>
          <w:color w:val="05193F"/>
        </w:rPr>
        <w:t>Anatomical</w:t>
      </w:r>
      <w:r w:rsidRPr="004A7353">
        <w:rPr>
          <w:b/>
          <w:bCs/>
          <w:color w:val="05193F"/>
        </w:rPr>
        <w:t xml:space="preserve"> factors </w:t>
      </w:r>
    </w:p>
    <w:p w:rsidR="00483D75" w:rsidRDefault="00684A1A" w:rsidP="00483D75">
      <w:pPr>
        <w:pStyle w:val="NormalWeb"/>
        <w:rPr>
          <w:sz w:val="20"/>
          <w:szCs w:val="20"/>
        </w:rPr>
      </w:pPr>
      <w:r w:rsidRPr="00684A1A">
        <w:rPr>
          <w:b/>
          <w:bCs/>
          <w:color w:val="05193F"/>
          <w:sz w:val="20"/>
          <w:szCs w:val="20"/>
        </w:rPr>
        <w:t>4.</w:t>
      </w:r>
      <w:r w:rsidR="009A46A7">
        <w:rPr>
          <w:b/>
          <w:bCs/>
          <w:color w:val="05193F"/>
          <w:sz w:val="20"/>
          <w:szCs w:val="20"/>
        </w:rPr>
        <w:t>5</w:t>
      </w:r>
      <w:r w:rsidRPr="00684A1A">
        <w:rPr>
          <w:b/>
          <w:bCs/>
          <w:color w:val="05193F"/>
          <w:sz w:val="20"/>
          <w:szCs w:val="20"/>
        </w:rPr>
        <w:t xml:space="preserve">.1. </w:t>
      </w:r>
      <w:r w:rsidRPr="0054085E">
        <w:rPr>
          <w:b/>
          <w:bCs/>
          <w:sz w:val="20"/>
          <w:szCs w:val="20"/>
        </w:rPr>
        <w:t>C</w:t>
      </w:r>
      <w:r w:rsidR="00483D75" w:rsidRPr="0054085E">
        <w:rPr>
          <w:b/>
          <w:bCs/>
          <w:sz w:val="20"/>
          <w:szCs w:val="20"/>
        </w:rPr>
        <w:t>ongenital uterine anomalies</w:t>
      </w:r>
      <w:r w:rsidR="00483D75" w:rsidRPr="00684A1A">
        <w:rPr>
          <w:sz w:val="20"/>
          <w:szCs w:val="20"/>
        </w:rPr>
        <w:t xml:space="preserve"> </w:t>
      </w:r>
      <w:r w:rsidR="00926A51">
        <w:rPr>
          <w:sz w:val="20"/>
          <w:szCs w:val="20"/>
        </w:rPr>
        <w:t>: septate, bicornuate</w:t>
      </w:r>
      <w:r w:rsidR="00C02A1B">
        <w:rPr>
          <w:sz w:val="20"/>
          <w:szCs w:val="20"/>
        </w:rPr>
        <w:t xml:space="preserve">, </w:t>
      </w:r>
      <w:r w:rsidR="00465B3C">
        <w:rPr>
          <w:sz w:val="20"/>
          <w:szCs w:val="20"/>
        </w:rPr>
        <w:t>a</w:t>
      </w:r>
      <w:r w:rsidR="00C02A1B">
        <w:rPr>
          <w:sz w:val="20"/>
          <w:szCs w:val="20"/>
        </w:rPr>
        <w:t>rcuate (2nd trimester)</w:t>
      </w:r>
    </w:p>
    <w:p w:rsidR="006C72AF" w:rsidRPr="00E10674" w:rsidRDefault="00483D75" w:rsidP="00483D75">
      <w:pPr>
        <w:pStyle w:val="NormalWeb"/>
        <w:rPr>
          <w:sz w:val="20"/>
          <w:szCs w:val="20"/>
        </w:rPr>
      </w:pPr>
      <w:r w:rsidRPr="00483D75">
        <w:rPr>
          <w:sz w:val="20"/>
          <w:szCs w:val="20"/>
        </w:rPr>
        <w:drawing>
          <wp:inline distT="0" distB="0" distL="0" distR="0" wp14:anchorId="4866968D" wp14:editId="01B3C3D3">
            <wp:extent cx="6051550" cy="927100"/>
            <wp:effectExtent l="0" t="0" r="6350" b="0"/>
            <wp:docPr id="19475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4750" name=""/>
                    <pic:cNvPicPr/>
                  </pic:nvPicPr>
                  <pic:blipFill>
                    <a:blip r:embed="rId6"/>
                    <a:stretch>
                      <a:fillRect/>
                    </a:stretch>
                  </pic:blipFill>
                  <pic:spPr>
                    <a:xfrm>
                      <a:off x="0" y="0"/>
                      <a:ext cx="6051550" cy="927100"/>
                    </a:xfrm>
                    <a:prstGeom prst="rect">
                      <a:avLst/>
                    </a:prstGeom>
                  </pic:spPr>
                </pic:pic>
              </a:graphicData>
            </a:graphic>
          </wp:inline>
        </w:drawing>
      </w:r>
    </w:p>
    <w:p w:rsidR="00483D75" w:rsidRDefault="00483D75" w:rsidP="00483D75">
      <w:pPr>
        <w:pStyle w:val="NormalWeb"/>
        <w:rPr>
          <w:sz w:val="20"/>
          <w:szCs w:val="20"/>
        </w:rPr>
      </w:pPr>
      <w:r w:rsidRPr="00684A1A">
        <w:rPr>
          <w:b/>
          <w:bCs/>
          <w:color w:val="05193F"/>
          <w:sz w:val="20"/>
          <w:szCs w:val="20"/>
        </w:rPr>
        <w:t>4.</w:t>
      </w:r>
      <w:r w:rsidR="009A46A7">
        <w:rPr>
          <w:b/>
          <w:bCs/>
          <w:color w:val="05193F"/>
          <w:sz w:val="20"/>
          <w:szCs w:val="20"/>
        </w:rPr>
        <w:t>5</w:t>
      </w:r>
      <w:r w:rsidRPr="00684A1A">
        <w:rPr>
          <w:b/>
          <w:bCs/>
          <w:color w:val="05193F"/>
          <w:sz w:val="20"/>
          <w:szCs w:val="20"/>
        </w:rPr>
        <w:t>.</w:t>
      </w:r>
      <w:r>
        <w:rPr>
          <w:b/>
          <w:bCs/>
          <w:color w:val="05193F"/>
          <w:sz w:val="20"/>
          <w:szCs w:val="20"/>
        </w:rPr>
        <w:t>2</w:t>
      </w:r>
      <w:r w:rsidRPr="00684A1A">
        <w:rPr>
          <w:b/>
          <w:bCs/>
          <w:color w:val="05193F"/>
          <w:sz w:val="20"/>
          <w:szCs w:val="20"/>
        </w:rPr>
        <w:t xml:space="preserve">. </w:t>
      </w:r>
      <w:r w:rsidRPr="0054085E">
        <w:rPr>
          <w:b/>
          <w:bCs/>
          <w:sz w:val="20"/>
          <w:szCs w:val="20"/>
        </w:rPr>
        <w:t>Acquired</w:t>
      </w:r>
      <w:r w:rsidRPr="0054085E">
        <w:rPr>
          <w:b/>
          <w:bCs/>
          <w:sz w:val="20"/>
          <w:szCs w:val="20"/>
        </w:rPr>
        <w:t xml:space="preserve"> uterine anomalies</w:t>
      </w:r>
      <w:r w:rsidR="00926A51">
        <w:rPr>
          <w:sz w:val="20"/>
          <w:szCs w:val="20"/>
        </w:rPr>
        <w:t xml:space="preserve"> : Myomas, Endometrial polyps, Intrauterine adhesions</w:t>
      </w:r>
    </w:p>
    <w:p w:rsidR="00242426" w:rsidRDefault="00242426" w:rsidP="00483D75">
      <w:pPr>
        <w:pStyle w:val="NormalWeb"/>
        <w:numPr>
          <w:ilvl w:val="0"/>
          <w:numId w:val="5"/>
        </w:numPr>
        <w:rPr>
          <w:color w:val="05193F"/>
          <w:sz w:val="20"/>
          <w:szCs w:val="20"/>
        </w:rPr>
      </w:pPr>
      <w:r w:rsidRPr="00242426">
        <w:rPr>
          <w:color w:val="05193F"/>
          <w:sz w:val="20"/>
          <w:szCs w:val="20"/>
        </w:rPr>
        <w:t>Identified as a risk factors by ACOG</w:t>
      </w:r>
    </w:p>
    <w:p w:rsidR="00242426" w:rsidRPr="00242426" w:rsidRDefault="00242426" w:rsidP="00483D75">
      <w:pPr>
        <w:pStyle w:val="NormalWeb"/>
        <w:numPr>
          <w:ilvl w:val="0"/>
          <w:numId w:val="5"/>
        </w:numPr>
        <w:rPr>
          <w:color w:val="05193F"/>
          <w:sz w:val="20"/>
          <w:szCs w:val="20"/>
        </w:rPr>
      </w:pPr>
      <w:r>
        <w:rPr>
          <w:color w:val="05193F"/>
          <w:sz w:val="20"/>
          <w:szCs w:val="20"/>
        </w:rPr>
        <w:t>According to RCOG :</w:t>
      </w:r>
    </w:p>
    <w:p w:rsidR="00483D75" w:rsidRDefault="00483D75" w:rsidP="00483D75">
      <w:pPr>
        <w:pStyle w:val="NormalWeb"/>
        <w:rPr>
          <w:sz w:val="20"/>
          <w:szCs w:val="20"/>
        </w:rPr>
      </w:pPr>
      <w:r w:rsidRPr="00483D75">
        <w:rPr>
          <w:sz w:val="20"/>
          <w:szCs w:val="20"/>
        </w:rPr>
        <w:lastRenderedPageBreak/>
        <w:drawing>
          <wp:inline distT="0" distB="0" distL="0" distR="0" wp14:anchorId="7EE67BE3" wp14:editId="065C1B83">
            <wp:extent cx="6019800" cy="1054100"/>
            <wp:effectExtent l="0" t="0" r="0" b="0"/>
            <wp:docPr id="84777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70591" name=""/>
                    <pic:cNvPicPr/>
                  </pic:nvPicPr>
                  <pic:blipFill>
                    <a:blip r:embed="rId7"/>
                    <a:stretch>
                      <a:fillRect/>
                    </a:stretch>
                  </pic:blipFill>
                  <pic:spPr>
                    <a:xfrm>
                      <a:off x="0" y="0"/>
                      <a:ext cx="6019800" cy="1054100"/>
                    </a:xfrm>
                    <a:prstGeom prst="rect">
                      <a:avLst/>
                    </a:prstGeom>
                  </pic:spPr>
                </pic:pic>
              </a:graphicData>
            </a:graphic>
          </wp:inline>
        </w:drawing>
      </w:r>
    </w:p>
    <w:p w:rsidR="00483D75" w:rsidRPr="0054085E" w:rsidRDefault="00483D75" w:rsidP="00483D75">
      <w:pPr>
        <w:pStyle w:val="NormalWeb"/>
        <w:rPr>
          <w:b/>
          <w:bCs/>
          <w:sz w:val="20"/>
          <w:szCs w:val="20"/>
        </w:rPr>
      </w:pPr>
      <w:r w:rsidRPr="00684A1A">
        <w:rPr>
          <w:b/>
          <w:bCs/>
          <w:color w:val="05193F"/>
          <w:sz w:val="20"/>
          <w:szCs w:val="20"/>
        </w:rPr>
        <w:t>4.</w:t>
      </w:r>
      <w:r w:rsidR="009A46A7">
        <w:rPr>
          <w:b/>
          <w:bCs/>
          <w:color w:val="05193F"/>
          <w:sz w:val="20"/>
          <w:szCs w:val="20"/>
        </w:rPr>
        <w:t>5</w:t>
      </w:r>
      <w:r w:rsidRPr="00684A1A">
        <w:rPr>
          <w:b/>
          <w:bCs/>
          <w:color w:val="05193F"/>
          <w:sz w:val="20"/>
          <w:szCs w:val="20"/>
        </w:rPr>
        <w:t>.</w:t>
      </w:r>
      <w:r>
        <w:rPr>
          <w:b/>
          <w:bCs/>
          <w:color w:val="05193F"/>
          <w:sz w:val="20"/>
          <w:szCs w:val="20"/>
        </w:rPr>
        <w:t>3</w:t>
      </w:r>
      <w:r w:rsidRPr="0054085E">
        <w:rPr>
          <w:b/>
          <w:bCs/>
          <w:color w:val="05193F"/>
          <w:sz w:val="20"/>
          <w:szCs w:val="20"/>
        </w:rPr>
        <w:t xml:space="preserve">. </w:t>
      </w:r>
      <w:r w:rsidRPr="0054085E">
        <w:rPr>
          <w:b/>
          <w:bCs/>
          <w:sz w:val="20"/>
          <w:szCs w:val="20"/>
        </w:rPr>
        <w:t>Cervical integrity</w:t>
      </w:r>
    </w:p>
    <w:p w:rsidR="00483D75" w:rsidRDefault="00483D75" w:rsidP="00483D75">
      <w:pPr>
        <w:pStyle w:val="NormalWeb"/>
        <w:rPr>
          <w:sz w:val="20"/>
          <w:szCs w:val="20"/>
        </w:rPr>
      </w:pPr>
      <w:r w:rsidRPr="00483D75">
        <w:rPr>
          <w:sz w:val="20"/>
          <w:szCs w:val="20"/>
        </w:rPr>
        <w:drawing>
          <wp:inline distT="0" distB="0" distL="0" distR="0" wp14:anchorId="2ED69812" wp14:editId="5B07F15E">
            <wp:extent cx="6019800" cy="838200"/>
            <wp:effectExtent l="0" t="0" r="0" b="0"/>
            <wp:docPr id="65776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67855" name=""/>
                    <pic:cNvPicPr/>
                  </pic:nvPicPr>
                  <pic:blipFill>
                    <a:blip r:embed="rId8"/>
                    <a:stretch>
                      <a:fillRect/>
                    </a:stretch>
                  </pic:blipFill>
                  <pic:spPr>
                    <a:xfrm>
                      <a:off x="0" y="0"/>
                      <a:ext cx="6019800" cy="838200"/>
                    </a:xfrm>
                    <a:prstGeom prst="rect">
                      <a:avLst/>
                    </a:prstGeom>
                  </pic:spPr>
                </pic:pic>
              </a:graphicData>
            </a:graphic>
          </wp:inline>
        </w:drawing>
      </w:r>
      <w:r w:rsidRPr="00684A1A">
        <w:rPr>
          <w:sz w:val="20"/>
          <w:szCs w:val="20"/>
        </w:rPr>
        <w:t xml:space="preserve"> </w:t>
      </w:r>
    </w:p>
    <w:p w:rsidR="00B93406" w:rsidRDefault="00B93406" w:rsidP="00B93406">
      <w:pPr>
        <w:pStyle w:val="NormalWeb"/>
        <w:rPr>
          <w:b/>
          <w:bCs/>
          <w:color w:val="05193F"/>
        </w:rPr>
      </w:pPr>
      <w:r w:rsidRPr="004A7353">
        <w:rPr>
          <w:b/>
          <w:bCs/>
        </w:rPr>
        <w:t>4.</w:t>
      </w:r>
      <w:r w:rsidR="009A46A7">
        <w:rPr>
          <w:b/>
          <w:bCs/>
        </w:rPr>
        <w:t>6</w:t>
      </w:r>
      <w:r w:rsidRPr="004A7353">
        <w:rPr>
          <w:b/>
          <w:bCs/>
        </w:rPr>
        <w:t>.</w:t>
      </w:r>
      <w:r w:rsidRPr="004A7353">
        <w:rPr>
          <w:b/>
          <w:bCs/>
          <w:sz w:val="20"/>
          <w:szCs w:val="20"/>
        </w:rPr>
        <w:t xml:space="preserve"> </w:t>
      </w:r>
      <w:r w:rsidR="00A92D1C">
        <w:rPr>
          <w:b/>
          <w:bCs/>
          <w:color w:val="05193F"/>
        </w:rPr>
        <w:t>Endocrine</w:t>
      </w:r>
    </w:p>
    <w:p w:rsidR="00A92D1C" w:rsidRDefault="00A92D1C" w:rsidP="00B93406">
      <w:pPr>
        <w:pStyle w:val="NormalWeb"/>
        <w:rPr>
          <w:b/>
          <w:bCs/>
          <w:color w:val="05193F"/>
        </w:rPr>
      </w:pPr>
      <w:r w:rsidRPr="00A92D1C">
        <w:rPr>
          <w:b/>
          <w:bCs/>
          <w:color w:val="05193F"/>
        </w:rPr>
        <w:drawing>
          <wp:inline distT="0" distB="0" distL="0" distR="0" wp14:anchorId="421B16A9" wp14:editId="77926949">
            <wp:extent cx="6083300" cy="2254250"/>
            <wp:effectExtent l="0" t="0" r="0" b="6350"/>
            <wp:docPr id="176744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49979" name=""/>
                    <pic:cNvPicPr/>
                  </pic:nvPicPr>
                  <pic:blipFill>
                    <a:blip r:embed="rId9"/>
                    <a:stretch>
                      <a:fillRect/>
                    </a:stretch>
                  </pic:blipFill>
                  <pic:spPr>
                    <a:xfrm>
                      <a:off x="0" y="0"/>
                      <a:ext cx="6083300" cy="2254250"/>
                    </a:xfrm>
                    <a:prstGeom prst="rect">
                      <a:avLst/>
                    </a:prstGeom>
                  </pic:spPr>
                </pic:pic>
              </a:graphicData>
            </a:graphic>
          </wp:inline>
        </w:drawing>
      </w:r>
    </w:p>
    <w:p w:rsidR="00561AF5" w:rsidRPr="00561AF5" w:rsidRDefault="00561AF5" w:rsidP="00A92D1C">
      <w:pPr>
        <w:pStyle w:val="NormalWeb"/>
        <w:rPr>
          <w:sz w:val="20"/>
          <w:szCs w:val="20"/>
        </w:rPr>
      </w:pPr>
      <w:r>
        <w:rPr>
          <w:b/>
          <w:bCs/>
        </w:rPr>
        <w:t xml:space="preserve">     </w:t>
      </w:r>
      <w:r w:rsidRPr="00561AF5">
        <w:rPr>
          <w:sz w:val="18"/>
          <w:szCs w:val="18"/>
        </w:rPr>
        <w:t>SCH: Subclinical Hypothyroidism</w:t>
      </w:r>
    </w:p>
    <w:p w:rsidR="00A92D1C" w:rsidRDefault="00A92D1C" w:rsidP="00A92D1C">
      <w:pPr>
        <w:pStyle w:val="NormalWeb"/>
        <w:rPr>
          <w:b/>
          <w:bCs/>
          <w:color w:val="05193F"/>
        </w:rPr>
      </w:pPr>
      <w:r w:rsidRPr="004A7353">
        <w:rPr>
          <w:b/>
          <w:bCs/>
        </w:rPr>
        <w:t>4.</w:t>
      </w:r>
      <w:r w:rsidR="009A46A7">
        <w:rPr>
          <w:b/>
          <w:bCs/>
        </w:rPr>
        <w:t>7</w:t>
      </w:r>
      <w:r w:rsidRPr="004A7353">
        <w:rPr>
          <w:b/>
          <w:bCs/>
        </w:rPr>
        <w:t>.</w:t>
      </w:r>
      <w:r w:rsidRPr="004A7353">
        <w:rPr>
          <w:b/>
          <w:bCs/>
          <w:sz w:val="20"/>
          <w:szCs w:val="20"/>
        </w:rPr>
        <w:t xml:space="preserve"> </w:t>
      </w:r>
      <w:r>
        <w:rPr>
          <w:b/>
          <w:bCs/>
          <w:color w:val="05193F"/>
        </w:rPr>
        <w:t>Immune factors</w:t>
      </w:r>
    </w:p>
    <w:p w:rsidR="00A92D1C" w:rsidRDefault="00A92D1C" w:rsidP="00A92D1C">
      <w:pPr>
        <w:pStyle w:val="NormalWeb"/>
        <w:rPr>
          <w:sz w:val="20"/>
          <w:szCs w:val="20"/>
        </w:rPr>
      </w:pPr>
      <w:r w:rsidRPr="00684A1A">
        <w:rPr>
          <w:b/>
          <w:bCs/>
          <w:color w:val="05193F"/>
          <w:sz w:val="20"/>
          <w:szCs w:val="20"/>
        </w:rPr>
        <w:t>4.</w:t>
      </w:r>
      <w:r w:rsidR="009A46A7">
        <w:rPr>
          <w:b/>
          <w:bCs/>
          <w:color w:val="05193F"/>
          <w:sz w:val="20"/>
          <w:szCs w:val="20"/>
        </w:rPr>
        <w:t>7</w:t>
      </w:r>
      <w:r w:rsidRPr="00684A1A">
        <w:rPr>
          <w:b/>
          <w:bCs/>
          <w:color w:val="05193F"/>
          <w:sz w:val="20"/>
          <w:szCs w:val="20"/>
        </w:rPr>
        <w:t>.</w:t>
      </w:r>
      <w:r>
        <w:rPr>
          <w:b/>
          <w:bCs/>
          <w:color w:val="05193F"/>
          <w:sz w:val="20"/>
          <w:szCs w:val="20"/>
        </w:rPr>
        <w:t>1</w:t>
      </w:r>
      <w:r w:rsidRPr="00684A1A">
        <w:rPr>
          <w:b/>
          <w:bCs/>
          <w:color w:val="05193F"/>
          <w:sz w:val="20"/>
          <w:szCs w:val="20"/>
        </w:rPr>
        <w:t xml:space="preserve">. </w:t>
      </w:r>
      <w:r w:rsidRPr="00C02A1B">
        <w:rPr>
          <w:b/>
          <w:bCs/>
          <w:sz w:val="20"/>
          <w:szCs w:val="20"/>
        </w:rPr>
        <w:t>Peripheral</w:t>
      </w:r>
      <w:r w:rsidR="00D610F7" w:rsidRPr="00C02A1B">
        <w:rPr>
          <w:b/>
          <w:bCs/>
          <w:sz w:val="20"/>
          <w:szCs w:val="20"/>
        </w:rPr>
        <w:t xml:space="preserve"> :</w:t>
      </w:r>
      <w:r w:rsidR="00D610F7">
        <w:rPr>
          <w:sz w:val="20"/>
          <w:szCs w:val="20"/>
        </w:rPr>
        <w:t xml:space="preserve"> HLA, Cytokines, Peripheral natural killer cells</w:t>
      </w:r>
    </w:p>
    <w:p w:rsidR="00561AF5" w:rsidRPr="00E10674" w:rsidRDefault="00D610F7" w:rsidP="00D610F7">
      <w:pPr>
        <w:pStyle w:val="NormalWeb"/>
        <w:rPr>
          <w:b/>
          <w:bCs/>
          <w:color w:val="05193F"/>
        </w:rPr>
      </w:pPr>
      <w:r w:rsidRPr="00D610F7">
        <w:rPr>
          <w:b/>
          <w:bCs/>
          <w:color w:val="05193F"/>
        </w:rPr>
        <w:drawing>
          <wp:inline distT="0" distB="0" distL="0" distR="0" wp14:anchorId="6E50B30E" wp14:editId="6804EB10">
            <wp:extent cx="6019800" cy="882650"/>
            <wp:effectExtent l="0" t="0" r="0" b="6350"/>
            <wp:docPr id="176990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07714" name=""/>
                    <pic:cNvPicPr/>
                  </pic:nvPicPr>
                  <pic:blipFill>
                    <a:blip r:embed="rId10"/>
                    <a:stretch>
                      <a:fillRect/>
                    </a:stretch>
                  </pic:blipFill>
                  <pic:spPr>
                    <a:xfrm>
                      <a:off x="0" y="0"/>
                      <a:ext cx="6019800" cy="882650"/>
                    </a:xfrm>
                    <a:prstGeom prst="rect">
                      <a:avLst/>
                    </a:prstGeom>
                  </pic:spPr>
                </pic:pic>
              </a:graphicData>
            </a:graphic>
          </wp:inline>
        </w:drawing>
      </w:r>
    </w:p>
    <w:p w:rsidR="00D610F7" w:rsidRDefault="00D610F7" w:rsidP="00D610F7">
      <w:pPr>
        <w:pStyle w:val="NormalWeb"/>
        <w:rPr>
          <w:sz w:val="20"/>
          <w:szCs w:val="20"/>
        </w:rPr>
      </w:pPr>
      <w:r w:rsidRPr="00684A1A">
        <w:rPr>
          <w:b/>
          <w:bCs/>
          <w:color w:val="05193F"/>
          <w:sz w:val="20"/>
          <w:szCs w:val="20"/>
        </w:rPr>
        <w:t>4.</w:t>
      </w:r>
      <w:r w:rsidR="009A46A7">
        <w:rPr>
          <w:b/>
          <w:bCs/>
          <w:color w:val="05193F"/>
          <w:sz w:val="20"/>
          <w:szCs w:val="20"/>
        </w:rPr>
        <w:t>7</w:t>
      </w:r>
      <w:r w:rsidRPr="00684A1A">
        <w:rPr>
          <w:b/>
          <w:bCs/>
          <w:color w:val="05193F"/>
          <w:sz w:val="20"/>
          <w:szCs w:val="20"/>
        </w:rPr>
        <w:t>.</w:t>
      </w:r>
      <w:r>
        <w:rPr>
          <w:b/>
          <w:bCs/>
          <w:color w:val="05193F"/>
          <w:sz w:val="20"/>
          <w:szCs w:val="20"/>
        </w:rPr>
        <w:t>2</w:t>
      </w:r>
      <w:r w:rsidRPr="00684A1A">
        <w:rPr>
          <w:b/>
          <w:bCs/>
          <w:color w:val="05193F"/>
          <w:sz w:val="20"/>
          <w:szCs w:val="20"/>
        </w:rPr>
        <w:t xml:space="preserve">. </w:t>
      </w:r>
      <w:r w:rsidRPr="00C02A1B">
        <w:rPr>
          <w:b/>
          <w:bCs/>
          <w:sz w:val="20"/>
          <w:szCs w:val="20"/>
        </w:rPr>
        <w:t>Uterine</w:t>
      </w:r>
      <w:r>
        <w:rPr>
          <w:sz w:val="20"/>
          <w:szCs w:val="20"/>
        </w:rPr>
        <w:t xml:space="preserve"> </w:t>
      </w:r>
      <w:r>
        <w:rPr>
          <w:sz w:val="20"/>
          <w:szCs w:val="20"/>
        </w:rPr>
        <w:t>:</w:t>
      </w:r>
      <w:r>
        <w:rPr>
          <w:sz w:val="20"/>
          <w:szCs w:val="20"/>
        </w:rPr>
        <w:t xml:space="preserve"> Uterine</w:t>
      </w:r>
      <w:r>
        <w:rPr>
          <w:sz w:val="20"/>
          <w:szCs w:val="20"/>
        </w:rPr>
        <w:t xml:space="preserve"> natural killer cells</w:t>
      </w:r>
    </w:p>
    <w:p w:rsidR="00D610F7" w:rsidRPr="006C72AF" w:rsidRDefault="00D610F7" w:rsidP="00D610F7">
      <w:pPr>
        <w:pStyle w:val="NormalWeb"/>
      </w:pPr>
      <w:r w:rsidRPr="00D610F7">
        <w:drawing>
          <wp:inline distT="0" distB="0" distL="0" distR="0" wp14:anchorId="4FBBB390" wp14:editId="4C027401">
            <wp:extent cx="5731510" cy="641350"/>
            <wp:effectExtent l="0" t="0" r="0" b="6350"/>
            <wp:docPr id="5233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5564" name=""/>
                    <pic:cNvPicPr/>
                  </pic:nvPicPr>
                  <pic:blipFill>
                    <a:blip r:embed="rId11"/>
                    <a:stretch>
                      <a:fillRect/>
                    </a:stretch>
                  </pic:blipFill>
                  <pic:spPr>
                    <a:xfrm>
                      <a:off x="0" y="0"/>
                      <a:ext cx="5731510" cy="641350"/>
                    </a:xfrm>
                    <a:prstGeom prst="rect">
                      <a:avLst/>
                    </a:prstGeom>
                  </pic:spPr>
                </pic:pic>
              </a:graphicData>
            </a:graphic>
          </wp:inline>
        </w:drawing>
      </w:r>
    </w:p>
    <w:p w:rsidR="00E10674" w:rsidRDefault="00E10674" w:rsidP="00D610F7">
      <w:pPr>
        <w:pStyle w:val="NormalWeb"/>
        <w:rPr>
          <w:b/>
          <w:bCs/>
        </w:rPr>
      </w:pPr>
    </w:p>
    <w:p w:rsidR="00D610F7" w:rsidRDefault="00D610F7" w:rsidP="00D610F7">
      <w:pPr>
        <w:pStyle w:val="NormalWeb"/>
        <w:rPr>
          <w:b/>
          <w:bCs/>
          <w:color w:val="05193F"/>
        </w:rPr>
      </w:pPr>
      <w:r w:rsidRPr="004A7353">
        <w:rPr>
          <w:b/>
          <w:bCs/>
        </w:rPr>
        <w:lastRenderedPageBreak/>
        <w:t>4.</w:t>
      </w:r>
      <w:r w:rsidR="009A46A7">
        <w:rPr>
          <w:b/>
          <w:bCs/>
        </w:rPr>
        <w:t>8</w:t>
      </w:r>
      <w:r w:rsidRPr="004A7353">
        <w:rPr>
          <w:b/>
          <w:bCs/>
        </w:rPr>
        <w:t>.</w:t>
      </w:r>
      <w:r w:rsidRPr="004A7353">
        <w:rPr>
          <w:b/>
          <w:bCs/>
          <w:sz w:val="20"/>
          <w:szCs w:val="20"/>
        </w:rPr>
        <w:t xml:space="preserve"> </w:t>
      </w:r>
      <w:r>
        <w:rPr>
          <w:b/>
          <w:bCs/>
          <w:color w:val="05193F"/>
        </w:rPr>
        <w:t>I</w:t>
      </w:r>
      <w:r>
        <w:rPr>
          <w:b/>
          <w:bCs/>
          <w:color w:val="05193F"/>
        </w:rPr>
        <w:t>nfective</w:t>
      </w:r>
      <w:r>
        <w:rPr>
          <w:b/>
          <w:bCs/>
          <w:color w:val="05193F"/>
        </w:rPr>
        <w:t xml:space="preserve"> factors</w:t>
      </w:r>
    </w:p>
    <w:p w:rsidR="004A7353" w:rsidRPr="0068209E" w:rsidRDefault="00191BE6" w:rsidP="00191BE6">
      <w:pPr>
        <w:pStyle w:val="NormalWeb"/>
        <w:numPr>
          <w:ilvl w:val="0"/>
          <w:numId w:val="4"/>
        </w:numPr>
        <w:rPr>
          <w:sz w:val="20"/>
          <w:szCs w:val="20"/>
        </w:rPr>
      </w:pPr>
      <w:r w:rsidRPr="0068209E">
        <w:rPr>
          <w:sz w:val="20"/>
          <w:szCs w:val="20"/>
        </w:rPr>
        <w:t>TORCH - Not recommended</w:t>
      </w:r>
    </w:p>
    <w:p w:rsidR="0068209E" w:rsidRPr="0068209E" w:rsidRDefault="003D5966" w:rsidP="0068209E">
      <w:pPr>
        <w:pStyle w:val="NormalWeb"/>
        <w:numPr>
          <w:ilvl w:val="0"/>
          <w:numId w:val="4"/>
        </w:numPr>
        <w:rPr>
          <w:sz w:val="20"/>
          <w:szCs w:val="20"/>
        </w:rPr>
      </w:pPr>
      <w:r w:rsidRPr="0068209E">
        <w:rPr>
          <w:sz w:val="20"/>
          <w:szCs w:val="20"/>
        </w:rPr>
        <w:t>Bacterial Vaginosis – increase second trimester miscarriages</w:t>
      </w:r>
    </w:p>
    <w:p w:rsidR="003D5966" w:rsidRPr="0068209E" w:rsidRDefault="003D5966" w:rsidP="0068209E">
      <w:pPr>
        <w:pStyle w:val="NormalWeb"/>
        <w:numPr>
          <w:ilvl w:val="0"/>
          <w:numId w:val="4"/>
        </w:numPr>
        <w:rPr>
          <w:sz w:val="20"/>
          <w:szCs w:val="20"/>
        </w:rPr>
      </w:pPr>
      <w:r w:rsidRPr="0068209E">
        <w:rPr>
          <w:sz w:val="20"/>
          <w:szCs w:val="20"/>
        </w:rPr>
        <w:t>Chronic endometritis – has been implicated in recurrent miscarriage, although the diagnostic criteria remain controversial.</w:t>
      </w:r>
      <w:r w:rsidR="0068209E" w:rsidRPr="0068209E">
        <w:rPr>
          <w:sz w:val="20"/>
          <w:szCs w:val="20"/>
        </w:rPr>
        <w:t xml:space="preserve"> </w:t>
      </w:r>
      <w:r w:rsidR="0068209E" w:rsidRPr="0068209E">
        <w:rPr>
          <w:sz w:val="20"/>
          <w:szCs w:val="20"/>
        </w:rPr>
        <w:t xml:space="preserve">Future molecular studies on the microbiome of the uterine cavity will hopefully shed more light into the role of infec- tions in recurrent miscarriage </w:t>
      </w:r>
    </w:p>
    <w:p w:rsidR="0068209E" w:rsidRPr="004A7353" w:rsidRDefault="0068209E" w:rsidP="0068209E">
      <w:pPr>
        <w:pStyle w:val="NormalWeb"/>
        <w:ind w:left="360"/>
        <w:rPr>
          <w:sz w:val="20"/>
          <w:szCs w:val="20"/>
        </w:rPr>
      </w:pPr>
      <w:r w:rsidRPr="0068209E">
        <w:rPr>
          <w:sz w:val="20"/>
          <w:szCs w:val="20"/>
        </w:rPr>
        <w:drawing>
          <wp:inline distT="0" distB="0" distL="0" distR="0" wp14:anchorId="456C8F5E" wp14:editId="283217B4">
            <wp:extent cx="5801360" cy="628650"/>
            <wp:effectExtent l="0" t="0" r="2540" b="6350"/>
            <wp:docPr id="156478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84552" name=""/>
                    <pic:cNvPicPr/>
                  </pic:nvPicPr>
                  <pic:blipFill>
                    <a:blip r:embed="rId12"/>
                    <a:stretch>
                      <a:fillRect/>
                    </a:stretch>
                  </pic:blipFill>
                  <pic:spPr>
                    <a:xfrm>
                      <a:off x="0" y="0"/>
                      <a:ext cx="5801360" cy="628650"/>
                    </a:xfrm>
                    <a:prstGeom prst="rect">
                      <a:avLst/>
                    </a:prstGeom>
                  </pic:spPr>
                </pic:pic>
              </a:graphicData>
            </a:graphic>
          </wp:inline>
        </w:drawing>
      </w:r>
    </w:p>
    <w:p w:rsidR="0068209E" w:rsidRDefault="0068209E" w:rsidP="0068209E">
      <w:pPr>
        <w:pStyle w:val="NormalWeb"/>
        <w:rPr>
          <w:b/>
          <w:bCs/>
          <w:color w:val="05193F"/>
        </w:rPr>
      </w:pPr>
      <w:r w:rsidRPr="004A7353">
        <w:rPr>
          <w:b/>
          <w:bCs/>
        </w:rPr>
        <w:t>4.</w:t>
      </w:r>
      <w:r w:rsidR="009A46A7">
        <w:rPr>
          <w:b/>
          <w:bCs/>
        </w:rPr>
        <w:t>9</w:t>
      </w:r>
      <w:r w:rsidRPr="004A7353">
        <w:rPr>
          <w:b/>
          <w:bCs/>
        </w:rPr>
        <w:t>.</w:t>
      </w:r>
      <w:r w:rsidRPr="004A7353">
        <w:rPr>
          <w:b/>
          <w:bCs/>
          <w:sz w:val="20"/>
          <w:szCs w:val="20"/>
        </w:rPr>
        <w:t xml:space="preserve"> </w:t>
      </w:r>
      <w:r>
        <w:rPr>
          <w:b/>
          <w:bCs/>
          <w:color w:val="05193F"/>
        </w:rPr>
        <w:t>Male</w:t>
      </w:r>
      <w:r>
        <w:rPr>
          <w:b/>
          <w:bCs/>
          <w:color w:val="05193F"/>
        </w:rPr>
        <w:t xml:space="preserve"> factors</w:t>
      </w:r>
    </w:p>
    <w:p w:rsidR="001D528C" w:rsidRDefault="001D528C" w:rsidP="0068209E">
      <w:pPr>
        <w:pStyle w:val="NormalWeb"/>
        <w:rPr>
          <w:b/>
          <w:bCs/>
          <w:color w:val="05193F"/>
        </w:rPr>
      </w:pPr>
      <w:r w:rsidRPr="001D528C">
        <w:rPr>
          <w:b/>
          <w:bCs/>
          <w:color w:val="05193F"/>
        </w:rPr>
        <w:drawing>
          <wp:inline distT="0" distB="0" distL="0" distR="0" wp14:anchorId="489EDC4C" wp14:editId="7F4E995B">
            <wp:extent cx="5960110" cy="800100"/>
            <wp:effectExtent l="0" t="0" r="0" b="0"/>
            <wp:docPr id="100498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0186" name=""/>
                    <pic:cNvPicPr/>
                  </pic:nvPicPr>
                  <pic:blipFill>
                    <a:blip r:embed="rId13"/>
                    <a:stretch>
                      <a:fillRect/>
                    </a:stretch>
                  </pic:blipFill>
                  <pic:spPr>
                    <a:xfrm>
                      <a:off x="0" y="0"/>
                      <a:ext cx="5960110" cy="800100"/>
                    </a:xfrm>
                    <a:prstGeom prst="rect">
                      <a:avLst/>
                    </a:prstGeom>
                  </pic:spPr>
                </pic:pic>
              </a:graphicData>
            </a:graphic>
          </wp:inline>
        </w:drawing>
      </w:r>
    </w:p>
    <w:p w:rsidR="00465B3C" w:rsidRDefault="00227144" w:rsidP="00465B3C">
      <w:pPr>
        <w:pStyle w:val="NormalWeb"/>
        <w:rPr>
          <w:b/>
          <w:bCs/>
          <w:color w:val="05193F"/>
          <w:sz w:val="28"/>
          <w:szCs w:val="28"/>
        </w:rPr>
      </w:pPr>
      <w:r>
        <w:rPr>
          <w:b/>
          <w:bCs/>
          <w:sz w:val="28"/>
          <w:szCs w:val="28"/>
        </w:rPr>
        <w:t>5</w:t>
      </w:r>
      <w:r w:rsidR="00465B3C" w:rsidRPr="006C72AF">
        <w:rPr>
          <w:b/>
          <w:bCs/>
          <w:sz w:val="28"/>
          <w:szCs w:val="28"/>
        </w:rPr>
        <w:t>)</w:t>
      </w:r>
      <w:r w:rsidR="00465B3C" w:rsidRPr="002B63FE">
        <w:rPr>
          <w:sz w:val="28"/>
          <w:szCs w:val="28"/>
        </w:rPr>
        <w:t xml:space="preserve"> </w:t>
      </w:r>
      <w:r w:rsidR="00465B3C" w:rsidRPr="002B63FE">
        <w:rPr>
          <w:b/>
          <w:bCs/>
          <w:color w:val="05193F"/>
          <w:sz w:val="28"/>
          <w:szCs w:val="28"/>
        </w:rPr>
        <w:t>R</w:t>
      </w:r>
      <w:r w:rsidR="00465B3C">
        <w:rPr>
          <w:b/>
          <w:bCs/>
          <w:color w:val="05193F"/>
          <w:sz w:val="28"/>
          <w:szCs w:val="28"/>
        </w:rPr>
        <w:t>ecommended Investigations</w:t>
      </w:r>
    </w:p>
    <w:p w:rsidR="00997D76" w:rsidRDefault="00E10674" w:rsidP="00465B3C">
      <w:pPr>
        <w:pStyle w:val="NormalWeb"/>
        <w:rPr>
          <w:b/>
          <w:bCs/>
          <w:color w:val="05193F"/>
        </w:rPr>
      </w:pPr>
      <w:r>
        <w:rPr>
          <w:b/>
          <w:bCs/>
          <w:color w:val="05193F"/>
        </w:rPr>
        <w:t>5.1</w:t>
      </w:r>
      <w:r w:rsidR="00997D76" w:rsidRPr="00997D76">
        <w:rPr>
          <w:b/>
          <w:bCs/>
          <w:color w:val="05193F"/>
        </w:rPr>
        <w:t>. Thrombophilias</w:t>
      </w:r>
    </w:p>
    <w:p w:rsidR="00C13E52" w:rsidRPr="00C13E52" w:rsidRDefault="00997D76" w:rsidP="00C13E52">
      <w:pPr>
        <w:pStyle w:val="ListBullet"/>
        <w:numPr>
          <w:ilvl w:val="0"/>
          <w:numId w:val="0"/>
        </w:numPr>
        <w:rPr>
          <w:rFonts w:ascii="Times New Roman" w:hAnsi="Times New Roman" w:cs="Times New Roman"/>
          <w:sz w:val="20"/>
          <w:szCs w:val="20"/>
        </w:rPr>
      </w:pPr>
      <w:r w:rsidRPr="00C13E52">
        <w:rPr>
          <w:rFonts w:ascii="Times New Roman" w:hAnsi="Times New Roman" w:cs="Times New Roman"/>
          <w:b/>
          <w:bCs/>
          <w:color w:val="05193F"/>
        </w:rPr>
        <w:t>Acqu</w:t>
      </w:r>
      <w:r w:rsidR="00C13E52" w:rsidRPr="00C13E52">
        <w:rPr>
          <w:rFonts w:ascii="Times New Roman" w:hAnsi="Times New Roman" w:cs="Times New Roman"/>
          <w:b/>
          <w:bCs/>
          <w:color w:val="05193F"/>
        </w:rPr>
        <w:t xml:space="preserve">ired: </w:t>
      </w:r>
    </w:p>
    <w:p w:rsidR="00C13E52" w:rsidRPr="00C13E52" w:rsidRDefault="00C13E52" w:rsidP="00C13E52">
      <w:pPr>
        <w:pStyle w:val="ListBullet"/>
        <w:rPr>
          <w:rFonts w:ascii="Times New Roman" w:hAnsi="Times New Roman" w:cs="Times New Roman"/>
          <w:sz w:val="20"/>
          <w:szCs w:val="20"/>
        </w:rPr>
      </w:pPr>
      <w:r w:rsidRPr="00C13E52">
        <w:rPr>
          <w:rFonts w:ascii="Times New Roman" w:hAnsi="Times New Roman" w:cs="Times New Roman"/>
          <w:sz w:val="20"/>
          <w:szCs w:val="20"/>
        </w:rPr>
        <w:t>Test lupus anticoagulant (LA), anticardiolipin IgG/IgM, and anti‑β2‑glycoprotein I IgG/IgM.</w:t>
      </w:r>
    </w:p>
    <w:p w:rsidR="00C13E52" w:rsidRPr="00C13E52" w:rsidRDefault="00C13E52" w:rsidP="00C13E52">
      <w:pPr>
        <w:pStyle w:val="ListBullet"/>
        <w:rPr>
          <w:rFonts w:ascii="Times New Roman" w:hAnsi="Times New Roman" w:cs="Times New Roman"/>
          <w:sz w:val="20"/>
          <w:szCs w:val="20"/>
        </w:rPr>
      </w:pPr>
      <w:r w:rsidRPr="00C13E52">
        <w:rPr>
          <w:rFonts w:ascii="Times New Roman" w:hAnsi="Times New Roman" w:cs="Times New Roman"/>
          <w:sz w:val="20"/>
          <w:szCs w:val="20"/>
        </w:rPr>
        <w:t>If any test is positive, repeat the same assay ≥12 weeks later for confirmation.</w:t>
      </w:r>
    </w:p>
    <w:p w:rsidR="00C13E52" w:rsidRDefault="00C13E52" w:rsidP="00C13E52">
      <w:pPr>
        <w:pStyle w:val="ListBullet"/>
        <w:rPr>
          <w:rFonts w:ascii="Times New Roman" w:hAnsi="Times New Roman" w:cs="Times New Roman"/>
          <w:sz w:val="20"/>
          <w:szCs w:val="20"/>
        </w:rPr>
      </w:pPr>
      <w:r w:rsidRPr="00C13E52">
        <w:rPr>
          <w:rFonts w:ascii="Times New Roman" w:hAnsi="Times New Roman" w:cs="Times New Roman"/>
          <w:sz w:val="20"/>
          <w:szCs w:val="20"/>
        </w:rPr>
        <w:t>Apply clinical + laboratory criteria to diagnose APS (obstetric morbidity and/or thrombosis plus persistent antibodies).</w:t>
      </w:r>
    </w:p>
    <w:p w:rsidR="00C13E52" w:rsidRDefault="00C13E52" w:rsidP="00C13E52">
      <w:pPr>
        <w:pStyle w:val="ListBullet"/>
        <w:numPr>
          <w:ilvl w:val="0"/>
          <w:numId w:val="0"/>
        </w:numPr>
        <w:rPr>
          <w:rFonts w:ascii="Times New Roman" w:hAnsi="Times New Roman" w:cs="Times New Roman"/>
          <w:b/>
          <w:bCs/>
        </w:rPr>
      </w:pPr>
      <w:r>
        <w:rPr>
          <w:rFonts w:ascii="Times New Roman" w:hAnsi="Times New Roman" w:cs="Times New Roman"/>
          <w:b/>
          <w:bCs/>
        </w:rPr>
        <w:t>Inherited</w:t>
      </w:r>
      <w:r w:rsidRPr="00C13E52">
        <w:rPr>
          <w:rFonts w:ascii="Times New Roman" w:hAnsi="Times New Roman" w:cs="Times New Roman"/>
          <w:b/>
          <w:bCs/>
        </w:rPr>
        <w:t xml:space="preserve">: </w:t>
      </w:r>
    </w:p>
    <w:p w:rsidR="00997D76" w:rsidRPr="00C13E52" w:rsidRDefault="00C13E52" w:rsidP="00A71F4E">
      <w:pPr>
        <w:pStyle w:val="NormalWeb"/>
        <w:numPr>
          <w:ilvl w:val="0"/>
          <w:numId w:val="9"/>
        </w:numPr>
        <w:rPr>
          <w:sz w:val="20"/>
          <w:szCs w:val="20"/>
        </w:rPr>
      </w:pPr>
      <w:r w:rsidRPr="00C13E52">
        <w:rPr>
          <w:sz w:val="20"/>
          <w:szCs w:val="20"/>
        </w:rPr>
        <w:t>Women with second trimester miscarriagemay be offered testing for</w:t>
      </w:r>
      <w:r>
        <w:rPr>
          <w:sz w:val="20"/>
          <w:szCs w:val="20"/>
        </w:rPr>
        <w:t xml:space="preserve"> </w:t>
      </w:r>
      <w:r w:rsidRPr="00C13E52">
        <w:rPr>
          <w:sz w:val="20"/>
          <w:szCs w:val="20"/>
        </w:rPr>
        <w:t>Factor V Leiden, prothrombin</w:t>
      </w:r>
      <w:r w:rsidRPr="00C13E52">
        <w:rPr>
          <w:sz w:val="20"/>
          <w:szCs w:val="20"/>
        </w:rPr>
        <w:br/>
        <w:t xml:space="preserve">gene mutation and protein S deficiency, ideally within a research context. They should be made aware that there is currently limited evidence that treatment changes reproductive outcomes. </w:t>
      </w:r>
    </w:p>
    <w:p w:rsidR="00A14E59" w:rsidRPr="00A14E59" w:rsidRDefault="00E10674" w:rsidP="00A14E59">
      <w:pPr>
        <w:rPr>
          <w:rFonts w:ascii="Times New Roman" w:hAnsi="Times New Roman" w:cs="Times New Roman"/>
        </w:rPr>
      </w:pPr>
      <w:r>
        <w:rPr>
          <w:rFonts w:ascii="Times New Roman" w:hAnsi="Times New Roman" w:cs="Times New Roman"/>
          <w:b/>
          <w:sz w:val="24"/>
        </w:rPr>
        <w:t>5.2.</w:t>
      </w:r>
      <w:r w:rsidR="00A14E59" w:rsidRPr="00A14E59">
        <w:rPr>
          <w:rFonts w:ascii="Times New Roman" w:hAnsi="Times New Roman" w:cs="Times New Roman"/>
          <w:b/>
          <w:sz w:val="24"/>
        </w:rPr>
        <w:t xml:space="preserve"> Genetic</w:t>
      </w:r>
    </w:p>
    <w:p w:rsidR="004E2797" w:rsidRPr="00C13E52" w:rsidRDefault="004E2797" w:rsidP="004E2797">
      <w:pPr>
        <w:pStyle w:val="ListBullet"/>
        <w:rPr>
          <w:rFonts w:ascii="Times New Roman" w:eastAsia="Times New Roman" w:hAnsi="Times New Roman" w:cs="Times New Roman"/>
          <w:sz w:val="20"/>
          <w:szCs w:val="20"/>
          <w:lang w:val="en-BD" w:bidi="bn-IN"/>
        </w:rPr>
      </w:pPr>
      <w:r w:rsidRPr="00C13E52">
        <w:rPr>
          <w:rFonts w:ascii="Times New Roman" w:hAnsi="Times New Roman" w:cs="Times New Roman"/>
          <w:sz w:val="20"/>
          <w:szCs w:val="20"/>
        </w:rPr>
        <w:t>Cytogenetic analysis should be offered</w:t>
      </w:r>
      <w:r w:rsidRPr="00C13E52">
        <w:rPr>
          <w:rFonts w:ascii="Times New Roman" w:hAnsi="Times New Roman" w:cs="Times New Roman"/>
          <w:sz w:val="20"/>
          <w:szCs w:val="20"/>
        </w:rPr>
        <w:t xml:space="preserve"> </w:t>
      </w:r>
      <w:r w:rsidRPr="00C13E52">
        <w:rPr>
          <w:rFonts w:ascii="Times New Roman" w:hAnsi="Times New Roman" w:cs="Times New Roman"/>
          <w:sz w:val="20"/>
          <w:szCs w:val="20"/>
        </w:rPr>
        <w:t>on pregnancy</w:t>
      </w:r>
      <w:r w:rsidRPr="00C13E52">
        <w:rPr>
          <w:rFonts w:ascii="Times New Roman" w:hAnsi="Times New Roman" w:cs="Times New Roman"/>
          <w:sz w:val="20"/>
          <w:szCs w:val="20"/>
        </w:rPr>
        <w:t xml:space="preserve"> </w:t>
      </w:r>
      <w:r w:rsidRPr="00C13E52">
        <w:rPr>
          <w:rFonts w:ascii="Times New Roman" w:hAnsi="Times New Roman" w:cs="Times New Roman"/>
          <w:sz w:val="20"/>
          <w:szCs w:val="20"/>
        </w:rPr>
        <w:t>tissue of the third and subsequent miscarriage(s) and in any second trimester miscarriage</w:t>
      </w:r>
      <w:r w:rsidR="00A22B5F" w:rsidRPr="00C13E52">
        <w:rPr>
          <w:rFonts w:ascii="Times New Roman" w:hAnsi="Times New Roman" w:cs="Times New Roman"/>
          <w:sz w:val="20"/>
          <w:szCs w:val="20"/>
        </w:rPr>
        <w:t xml:space="preserve">- </w:t>
      </w:r>
      <w:r w:rsidR="00A22B5F" w:rsidRPr="00C13E52">
        <w:rPr>
          <w:rFonts w:ascii="Times New Roman" w:hAnsi="Times New Roman" w:cs="Times New Roman"/>
          <w:sz w:val="20"/>
          <w:szCs w:val="20"/>
        </w:rPr>
        <w:t>chromosomal microarray preferred</w:t>
      </w:r>
      <w:r w:rsidR="00A22B5F" w:rsidRPr="00C13E52">
        <w:rPr>
          <w:rFonts w:ascii="Times New Roman" w:hAnsi="Times New Roman" w:cs="Times New Roman"/>
          <w:sz w:val="20"/>
          <w:szCs w:val="20"/>
        </w:rPr>
        <w:t>.</w:t>
      </w:r>
    </w:p>
    <w:p w:rsidR="00A22B5F" w:rsidRPr="00C13E52" w:rsidRDefault="00A22B5F" w:rsidP="00A22B5F">
      <w:pPr>
        <w:pStyle w:val="ListBullet"/>
        <w:rPr>
          <w:rFonts w:ascii="Times New Roman" w:eastAsia="Times New Roman" w:hAnsi="Times New Roman" w:cs="Times New Roman"/>
          <w:sz w:val="20"/>
          <w:szCs w:val="20"/>
          <w:lang w:val="en-BD" w:bidi="bn-IN"/>
        </w:rPr>
      </w:pPr>
      <w:r w:rsidRPr="00C13E52">
        <w:rPr>
          <w:rFonts w:ascii="Times New Roman" w:hAnsi="Times New Roman" w:cs="Times New Roman"/>
          <w:sz w:val="20"/>
          <w:szCs w:val="20"/>
        </w:rPr>
        <w:t>P</w:t>
      </w:r>
      <w:r w:rsidRPr="00C13E52">
        <w:rPr>
          <w:rFonts w:ascii="Times New Roman" w:hAnsi="Times New Roman" w:cs="Times New Roman"/>
          <w:sz w:val="20"/>
          <w:szCs w:val="20"/>
        </w:rPr>
        <w:t>arental peripheral blood karyotyping should be performed for couples in whom testing of pregnancy tissue reports an unbalanced structural chromosomal abnormality.</w:t>
      </w:r>
      <w:r w:rsidRPr="00C13E52">
        <w:rPr>
          <w:rFonts w:ascii="Times New Roman" w:hAnsi="Times New Roman" w:cs="Times New Roman"/>
          <w:sz w:val="20"/>
          <w:szCs w:val="20"/>
        </w:rPr>
        <w:t xml:space="preserve"> </w:t>
      </w:r>
      <w:r w:rsidRPr="00C13E52">
        <w:rPr>
          <w:rFonts w:ascii="Times New Roman" w:hAnsi="Times New Roman" w:cs="Times New Roman"/>
          <w:sz w:val="20"/>
          <w:szCs w:val="20"/>
        </w:rPr>
        <w:t xml:space="preserve">The finding </w:t>
      </w:r>
      <w:proofErr w:type="spellStart"/>
      <w:r w:rsidRPr="00C13E52">
        <w:rPr>
          <w:rFonts w:ascii="Times New Roman" w:hAnsi="Times New Roman" w:cs="Times New Roman"/>
          <w:sz w:val="20"/>
          <w:szCs w:val="20"/>
        </w:rPr>
        <w:t>ofa</w:t>
      </w:r>
      <w:proofErr w:type="spellEnd"/>
      <w:r w:rsidRPr="00C13E52">
        <w:rPr>
          <w:rFonts w:ascii="Times New Roman" w:hAnsi="Times New Roman" w:cs="Times New Roman"/>
          <w:sz w:val="20"/>
          <w:szCs w:val="20"/>
        </w:rPr>
        <w:t xml:space="preserve"> subsequent abnormal parental karyotype should prompt referral to a clinical geneticist. </w:t>
      </w:r>
    </w:p>
    <w:p w:rsidR="00A71F4E" w:rsidRPr="00561AF5" w:rsidRDefault="00A22B5F" w:rsidP="00A14E59">
      <w:pPr>
        <w:pStyle w:val="ListBullet"/>
        <w:rPr>
          <w:rFonts w:ascii="Times New Roman" w:eastAsia="Times New Roman" w:hAnsi="Times New Roman" w:cs="Times New Roman"/>
          <w:sz w:val="20"/>
          <w:szCs w:val="20"/>
          <w:lang w:val="en-BD" w:bidi="bn-IN"/>
        </w:rPr>
      </w:pPr>
      <w:r w:rsidRPr="00C13E52">
        <w:rPr>
          <w:rFonts w:ascii="Times New Roman" w:hAnsi="Times New Roman" w:cs="Times New Roman"/>
          <w:sz w:val="20"/>
          <w:szCs w:val="20"/>
        </w:rPr>
        <w:t>When cytogenetic analysis is indicated</w:t>
      </w:r>
      <w:r w:rsidRPr="00C13E52">
        <w:rPr>
          <w:rFonts w:ascii="Times New Roman" w:hAnsi="Times New Roman" w:cs="Times New Roman"/>
          <w:sz w:val="20"/>
          <w:szCs w:val="20"/>
        </w:rPr>
        <w:t xml:space="preserve"> </w:t>
      </w:r>
      <w:r w:rsidRPr="00C13E52">
        <w:rPr>
          <w:rFonts w:ascii="Times New Roman" w:hAnsi="Times New Roman" w:cs="Times New Roman"/>
          <w:sz w:val="20"/>
          <w:szCs w:val="20"/>
        </w:rPr>
        <w:t>but testing of the</w:t>
      </w:r>
      <w:r w:rsidRPr="00C13E52">
        <w:rPr>
          <w:rFonts w:ascii="Times New Roman" w:hAnsi="Times New Roman" w:cs="Times New Roman"/>
          <w:sz w:val="20"/>
          <w:szCs w:val="20"/>
        </w:rPr>
        <w:t xml:space="preserve"> </w:t>
      </w:r>
      <w:r w:rsidRPr="00C13E52">
        <w:rPr>
          <w:rFonts w:ascii="Times New Roman" w:hAnsi="Times New Roman" w:cs="Times New Roman"/>
          <w:sz w:val="20"/>
          <w:szCs w:val="20"/>
        </w:rPr>
        <w:t xml:space="preserve">pregnancy tissue is unsuccessful or there is no pregnancy tissue available for testing, parental karyotyping should be offered. </w:t>
      </w:r>
    </w:p>
    <w:p w:rsidR="00A14E59" w:rsidRPr="00A14E59" w:rsidRDefault="00E10674" w:rsidP="00A14E59">
      <w:pPr>
        <w:rPr>
          <w:rFonts w:ascii="Times New Roman" w:hAnsi="Times New Roman" w:cs="Times New Roman"/>
        </w:rPr>
      </w:pPr>
      <w:r>
        <w:rPr>
          <w:rFonts w:ascii="Times New Roman" w:hAnsi="Times New Roman" w:cs="Times New Roman"/>
          <w:b/>
          <w:sz w:val="24"/>
        </w:rPr>
        <w:t>5.3</w:t>
      </w:r>
      <w:r w:rsidR="00A14E59" w:rsidRPr="00A14E59">
        <w:rPr>
          <w:rFonts w:ascii="Times New Roman" w:hAnsi="Times New Roman" w:cs="Times New Roman"/>
          <w:b/>
          <w:sz w:val="24"/>
        </w:rPr>
        <w:t>. Uterine Anatomy</w:t>
      </w:r>
    </w:p>
    <w:p w:rsidR="00A14E59" w:rsidRPr="006D2711" w:rsidRDefault="006D2711" w:rsidP="00A14E59">
      <w:pPr>
        <w:pStyle w:val="ListBullet"/>
        <w:rPr>
          <w:rFonts w:ascii="Times New Roman" w:hAnsi="Times New Roman" w:cs="Times New Roman"/>
          <w:sz w:val="20"/>
          <w:szCs w:val="20"/>
        </w:rPr>
      </w:pPr>
      <w:r w:rsidRPr="006D2711">
        <w:rPr>
          <w:rFonts w:ascii="Times New Roman" w:hAnsi="Times New Roman" w:cs="Times New Roman"/>
          <w:sz w:val="20"/>
          <w:szCs w:val="20"/>
        </w:rPr>
        <w:t>Methods of evaluation</w:t>
      </w:r>
      <w:r w:rsidR="00A14E59" w:rsidRPr="006D2711">
        <w:rPr>
          <w:rFonts w:ascii="Times New Roman" w:hAnsi="Times New Roman" w:cs="Times New Roman"/>
          <w:sz w:val="20"/>
          <w:szCs w:val="20"/>
        </w:rPr>
        <w:t xml:space="preserve">: </w:t>
      </w:r>
      <w:r w:rsidRPr="006D2711">
        <w:rPr>
          <w:rFonts w:ascii="Times New Roman" w:hAnsi="Times New Roman" w:cs="Times New Roman"/>
          <w:sz w:val="20"/>
          <w:szCs w:val="20"/>
        </w:rPr>
        <w:t xml:space="preserve">3D USG, </w:t>
      </w:r>
      <w:r w:rsidR="00A14E59" w:rsidRPr="006D2711">
        <w:rPr>
          <w:rFonts w:ascii="Times New Roman" w:hAnsi="Times New Roman" w:cs="Times New Roman"/>
          <w:sz w:val="20"/>
          <w:szCs w:val="20"/>
        </w:rPr>
        <w:t xml:space="preserve">saline infusion </w:t>
      </w:r>
      <w:proofErr w:type="spellStart"/>
      <w:r w:rsidR="00A14E59" w:rsidRPr="006D2711">
        <w:rPr>
          <w:rFonts w:ascii="Times New Roman" w:hAnsi="Times New Roman" w:cs="Times New Roman"/>
          <w:sz w:val="20"/>
          <w:szCs w:val="20"/>
        </w:rPr>
        <w:t>sonohysterography</w:t>
      </w:r>
      <w:proofErr w:type="spellEnd"/>
      <w:r w:rsidR="00A14E59" w:rsidRPr="006D2711">
        <w:rPr>
          <w:rFonts w:ascii="Times New Roman" w:hAnsi="Times New Roman" w:cs="Times New Roman"/>
          <w:sz w:val="20"/>
          <w:szCs w:val="20"/>
        </w:rPr>
        <w:t>, hysterosalpingography (HSG), or diagnostic hysteroscopy.</w:t>
      </w:r>
    </w:p>
    <w:p w:rsidR="006D2711" w:rsidRPr="006D2711" w:rsidRDefault="006D2711" w:rsidP="006D2711">
      <w:pPr>
        <w:pStyle w:val="ListBullet"/>
        <w:rPr>
          <w:rFonts w:ascii="Times New Roman" w:hAnsi="Times New Roman" w:cs="Times New Roman"/>
          <w:sz w:val="20"/>
          <w:szCs w:val="20"/>
        </w:rPr>
      </w:pPr>
      <w:r w:rsidRPr="006D2711">
        <w:rPr>
          <w:rFonts w:ascii="Times New Roman" w:hAnsi="Times New Roman" w:cs="Times New Roman"/>
          <w:sz w:val="20"/>
          <w:szCs w:val="20"/>
        </w:rPr>
        <w:t xml:space="preserve">First‑line imaging: 3D ultrasound </w:t>
      </w:r>
    </w:p>
    <w:p w:rsidR="00A14E59" w:rsidRPr="006D2711" w:rsidRDefault="006D2711" w:rsidP="006D2711">
      <w:pPr>
        <w:pStyle w:val="ListBullet"/>
        <w:rPr>
          <w:rFonts w:ascii="Times New Roman" w:eastAsia="Times New Roman" w:hAnsi="Times New Roman" w:cs="Times New Roman"/>
          <w:sz w:val="20"/>
          <w:szCs w:val="20"/>
          <w:lang w:val="en-BD" w:bidi="bn-IN"/>
        </w:rPr>
      </w:pPr>
      <w:r w:rsidRPr="006D2711">
        <w:rPr>
          <w:rFonts w:ascii="Times New Roman" w:hAnsi="Times New Roman" w:cs="Times New Roman"/>
          <w:sz w:val="20"/>
          <w:szCs w:val="20"/>
        </w:rPr>
        <w:lastRenderedPageBreak/>
        <w:t xml:space="preserve">MRI and endoscopic evaluation for complex anomalies when a diagnosis cannot be reached with 3D ultrasound. </w:t>
      </w:r>
    </w:p>
    <w:p w:rsidR="00A14E59" w:rsidRPr="00A14E59" w:rsidRDefault="00E10674" w:rsidP="00A14E59">
      <w:pPr>
        <w:rPr>
          <w:rFonts w:ascii="Times New Roman" w:hAnsi="Times New Roman" w:cs="Times New Roman"/>
        </w:rPr>
      </w:pPr>
      <w:r>
        <w:rPr>
          <w:rFonts w:ascii="Times New Roman" w:hAnsi="Times New Roman" w:cs="Times New Roman"/>
          <w:b/>
          <w:sz w:val="24"/>
        </w:rPr>
        <w:t>5.4</w:t>
      </w:r>
      <w:r w:rsidR="00A14E59" w:rsidRPr="00A14E59">
        <w:rPr>
          <w:rFonts w:ascii="Times New Roman" w:hAnsi="Times New Roman" w:cs="Times New Roman"/>
          <w:b/>
          <w:sz w:val="24"/>
        </w:rPr>
        <w:t>. Endocrine &amp; Metabolic</w:t>
      </w:r>
    </w:p>
    <w:p w:rsidR="00A14E59" w:rsidRPr="00227144" w:rsidRDefault="00A14E59" w:rsidP="00A14E59">
      <w:pPr>
        <w:pStyle w:val="ListBullet"/>
        <w:rPr>
          <w:rFonts w:ascii="Times New Roman" w:hAnsi="Times New Roman" w:cs="Times New Roman"/>
          <w:sz w:val="20"/>
          <w:szCs w:val="20"/>
        </w:rPr>
      </w:pPr>
      <w:r w:rsidRPr="00227144">
        <w:rPr>
          <w:rFonts w:ascii="Times New Roman" w:hAnsi="Times New Roman" w:cs="Times New Roman"/>
          <w:sz w:val="20"/>
          <w:szCs w:val="20"/>
        </w:rPr>
        <w:t xml:space="preserve">Thyroid function: TSH (aim &lt;2.5 </w:t>
      </w:r>
      <w:proofErr w:type="spellStart"/>
      <w:r w:rsidRPr="00227144">
        <w:rPr>
          <w:rFonts w:ascii="Times New Roman" w:hAnsi="Times New Roman" w:cs="Times New Roman"/>
          <w:sz w:val="20"/>
          <w:szCs w:val="20"/>
        </w:rPr>
        <w:t>mIU</w:t>
      </w:r>
      <w:proofErr w:type="spellEnd"/>
      <w:r w:rsidRPr="00227144">
        <w:rPr>
          <w:rFonts w:ascii="Times New Roman" w:hAnsi="Times New Roman" w:cs="Times New Roman"/>
          <w:sz w:val="20"/>
          <w:szCs w:val="20"/>
        </w:rPr>
        <w:t>/L preconception/1st trimester); treat overt hypo/hyperthyroidism.</w:t>
      </w:r>
    </w:p>
    <w:p w:rsidR="00A14E59" w:rsidRPr="00227144" w:rsidRDefault="00A14E59" w:rsidP="00A14E59">
      <w:pPr>
        <w:pStyle w:val="ListBullet"/>
        <w:rPr>
          <w:rFonts w:ascii="Times New Roman" w:hAnsi="Times New Roman" w:cs="Times New Roman"/>
          <w:sz w:val="20"/>
          <w:szCs w:val="20"/>
        </w:rPr>
      </w:pPr>
      <w:r w:rsidRPr="00227144">
        <w:rPr>
          <w:rFonts w:ascii="Times New Roman" w:hAnsi="Times New Roman" w:cs="Times New Roman"/>
          <w:sz w:val="20"/>
          <w:szCs w:val="20"/>
        </w:rPr>
        <w:t>Glycemic status: HbA1c and/or fasting glucose; optimize preconception if abnormal.</w:t>
      </w:r>
    </w:p>
    <w:p w:rsidR="00A14E59" w:rsidRPr="00227144" w:rsidRDefault="00A14E59" w:rsidP="00A14E59">
      <w:pPr>
        <w:pStyle w:val="ListBullet"/>
        <w:rPr>
          <w:rFonts w:ascii="Times New Roman" w:hAnsi="Times New Roman" w:cs="Times New Roman"/>
          <w:sz w:val="20"/>
          <w:szCs w:val="20"/>
        </w:rPr>
      </w:pPr>
      <w:r w:rsidRPr="00227144">
        <w:rPr>
          <w:rFonts w:ascii="Times New Roman" w:hAnsi="Times New Roman" w:cs="Times New Roman"/>
          <w:sz w:val="20"/>
          <w:szCs w:val="20"/>
        </w:rPr>
        <w:t>Prolactin: consider if cycle disturbance/galactorrhea; treat confirmed hyperprolactinemia.</w:t>
      </w:r>
    </w:p>
    <w:p w:rsidR="00A14E59" w:rsidRPr="00227144" w:rsidRDefault="00A14E59" w:rsidP="00A14E59">
      <w:pPr>
        <w:pStyle w:val="ListBullet"/>
        <w:rPr>
          <w:rFonts w:ascii="Times New Roman" w:hAnsi="Times New Roman" w:cs="Times New Roman"/>
          <w:sz w:val="20"/>
          <w:szCs w:val="20"/>
        </w:rPr>
      </w:pPr>
      <w:r w:rsidRPr="00227144">
        <w:rPr>
          <w:rFonts w:ascii="Times New Roman" w:hAnsi="Times New Roman" w:cs="Times New Roman"/>
          <w:sz w:val="20"/>
          <w:szCs w:val="20"/>
        </w:rPr>
        <w:t>PCOS/obesity: address weight, metabolic syndrome; lifestyle and comorbidity management.</w:t>
      </w:r>
    </w:p>
    <w:p w:rsidR="00A71F4E" w:rsidRPr="00A14E59" w:rsidRDefault="00E10674" w:rsidP="00A71F4E">
      <w:pPr>
        <w:rPr>
          <w:rFonts w:ascii="Times New Roman" w:hAnsi="Times New Roman" w:cs="Times New Roman"/>
        </w:rPr>
      </w:pPr>
      <w:r>
        <w:rPr>
          <w:rFonts w:ascii="Times New Roman" w:hAnsi="Times New Roman" w:cs="Times New Roman"/>
          <w:b/>
          <w:sz w:val="24"/>
        </w:rPr>
        <w:t>5.5</w:t>
      </w:r>
      <w:r w:rsidR="00A71F4E" w:rsidRPr="00A14E59">
        <w:rPr>
          <w:rFonts w:ascii="Times New Roman" w:hAnsi="Times New Roman" w:cs="Times New Roman"/>
          <w:b/>
          <w:sz w:val="24"/>
        </w:rPr>
        <w:t>. Immun</w:t>
      </w:r>
      <w:r w:rsidR="00A71F4E">
        <w:rPr>
          <w:rFonts w:ascii="Times New Roman" w:hAnsi="Times New Roman" w:cs="Times New Roman"/>
          <w:b/>
          <w:sz w:val="24"/>
        </w:rPr>
        <w:t>e</w:t>
      </w:r>
    </w:p>
    <w:p w:rsidR="00A71F4E" w:rsidRPr="00227144" w:rsidRDefault="00A71F4E" w:rsidP="00227144">
      <w:pPr>
        <w:pStyle w:val="ListBullet"/>
        <w:rPr>
          <w:rFonts w:ascii="Times New Roman" w:eastAsia="Times New Roman" w:hAnsi="Times New Roman" w:cs="Times New Roman"/>
          <w:sz w:val="20"/>
          <w:szCs w:val="20"/>
          <w:lang w:val="en-BD" w:bidi="bn-IN"/>
        </w:rPr>
      </w:pPr>
      <w:r w:rsidRPr="00A71F4E">
        <w:rPr>
          <w:rFonts w:ascii="Times New Roman" w:hAnsi="Times New Roman" w:cs="Times New Roman"/>
          <w:sz w:val="20"/>
          <w:szCs w:val="20"/>
        </w:rPr>
        <w:t xml:space="preserve">Women with recurrent miscarriage should not be routinely offered immunological screening (such as HLA, cytokine and NK cell tests), outside of a research context. </w:t>
      </w:r>
    </w:p>
    <w:p w:rsidR="00A71F4E" w:rsidRDefault="00E10674" w:rsidP="00A71F4E">
      <w:pPr>
        <w:rPr>
          <w:rFonts w:ascii="Times New Roman" w:hAnsi="Times New Roman" w:cs="Times New Roman"/>
          <w:b/>
          <w:sz w:val="24"/>
        </w:rPr>
      </w:pPr>
      <w:r>
        <w:rPr>
          <w:rFonts w:ascii="Times New Roman" w:hAnsi="Times New Roman" w:cs="Times New Roman"/>
          <w:b/>
          <w:sz w:val="24"/>
        </w:rPr>
        <w:t>5.6</w:t>
      </w:r>
      <w:r w:rsidR="00A71F4E" w:rsidRPr="00A14E59">
        <w:rPr>
          <w:rFonts w:ascii="Times New Roman" w:hAnsi="Times New Roman" w:cs="Times New Roman"/>
          <w:b/>
          <w:sz w:val="24"/>
        </w:rPr>
        <w:t>. I</w:t>
      </w:r>
      <w:r w:rsidR="00A71F4E">
        <w:rPr>
          <w:rFonts w:ascii="Times New Roman" w:hAnsi="Times New Roman" w:cs="Times New Roman"/>
          <w:b/>
          <w:sz w:val="24"/>
        </w:rPr>
        <w:t>nfective</w:t>
      </w:r>
    </w:p>
    <w:p w:rsidR="00227144" w:rsidRPr="00227144" w:rsidRDefault="00A71F4E" w:rsidP="00227144">
      <w:pPr>
        <w:pStyle w:val="NormalWeb"/>
        <w:numPr>
          <w:ilvl w:val="0"/>
          <w:numId w:val="9"/>
        </w:numPr>
        <w:rPr>
          <w:sz w:val="20"/>
          <w:szCs w:val="20"/>
        </w:rPr>
      </w:pPr>
      <w:r w:rsidRPr="00A71F4E">
        <w:rPr>
          <w:sz w:val="20"/>
          <w:szCs w:val="20"/>
        </w:rPr>
        <w:t>Women with recurrent miscarriage should not</w:t>
      </w:r>
      <w:r w:rsidRPr="00A71F4E">
        <w:rPr>
          <w:sz w:val="20"/>
          <w:szCs w:val="20"/>
        </w:rPr>
        <w:t xml:space="preserve"> </w:t>
      </w:r>
      <w:r w:rsidRPr="00A71F4E">
        <w:rPr>
          <w:sz w:val="20"/>
          <w:szCs w:val="20"/>
        </w:rPr>
        <w:t xml:space="preserve">be routinely offered infection screening outside of the research context. </w:t>
      </w:r>
    </w:p>
    <w:p w:rsidR="00227144" w:rsidRDefault="00E10674" w:rsidP="00227144">
      <w:pPr>
        <w:rPr>
          <w:rFonts w:ascii="Times New Roman" w:hAnsi="Times New Roman" w:cs="Times New Roman"/>
          <w:b/>
          <w:sz w:val="24"/>
        </w:rPr>
      </w:pPr>
      <w:r>
        <w:rPr>
          <w:rFonts w:ascii="Times New Roman" w:hAnsi="Times New Roman" w:cs="Times New Roman"/>
          <w:b/>
          <w:sz w:val="24"/>
        </w:rPr>
        <w:t>5.7</w:t>
      </w:r>
      <w:r w:rsidR="00227144" w:rsidRPr="00A14E59">
        <w:rPr>
          <w:rFonts w:ascii="Times New Roman" w:hAnsi="Times New Roman" w:cs="Times New Roman"/>
          <w:b/>
          <w:sz w:val="24"/>
        </w:rPr>
        <w:t xml:space="preserve">. </w:t>
      </w:r>
      <w:r w:rsidR="00227144">
        <w:rPr>
          <w:rFonts w:ascii="Times New Roman" w:hAnsi="Times New Roman" w:cs="Times New Roman"/>
          <w:b/>
          <w:sz w:val="24"/>
        </w:rPr>
        <w:t>Male factors</w:t>
      </w:r>
    </w:p>
    <w:p w:rsidR="00227144" w:rsidRPr="00227144" w:rsidRDefault="00227144" w:rsidP="00227144">
      <w:pPr>
        <w:pStyle w:val="NormalWeb"/>
        <w:numPr>
          <w:ilvl w:val="0"/>
          <w:numId w:val="9"/>
        </w:numPr>
        <w:rPr>
          <w:sz w:val="20"/>
          <w:szCs w:val="20"/>
        </w:rPr>
      </w:pPr>
      <w:r w:rsidRPr="00227144">
        <w:rPr>
          <w:sz w:val="20"/>
          <w:szCs w:val="20"/>
        </w:rPr>
        <w:t xml:space="preserve">Couples with recurrent miscarriage should not be routinely offered sperm DNA testing outside of the research context. </w:t>
      </w:r>
    </w:p>
    <w:p w:rsidR="00A14E59" w:rsidRPr="00A14E59" w:rsidRDefault="00E10674" w:rsidP="00A14E59">
      <w:pPr>
        <w:rPr>
          <w:rFonts w:ascii="Times New Roman" w:hAnsi="Times New Roman" w:cs="Times New Roman"/>
        </w:rPr>
      </w:pPr>
      <w:r>
        <w:rPr>
          <w:rFonts w:ascii="Times New Roman" w:hAnsi="Times New Roman" w:cs="Times New Roman"/>
          <w:b/>
          <w:sz w:val="24"/>
        </w:rPr>
        <w:t>5.8</w:t>
      </w:r>
      <w:r w:rsidR="00A14E59" w:rsidRPr="00A14E59">
        <w:rPr>
          <w:rFonts w:ascii="Times New Roman" w:hAnsi="Times New Roman" w:cs="Times New Roman"/>
          <w:b/>
          <w:sz w:val="24"/>
        </w:rPr>
        <w:t>. Tests Not Routinely Recommended</w:t>
      </w:r>
    </w:p>
    <w:p w:rsidR="00A14E59" w:rsidRPr="00A14E59" w:rsidRDefault="00A14E59" w:rsidP="00A14E59">
      <w:pPr>
        <w:pStyle w:val="ListBullet"/>
        <w:rPr>
          <w:rFonts w:ascii="Times New Roman" w:hAnsi="Times New Roman" w:cs="Times New Roman"/>
        </w:rPr>
      </w:pPr>
      <w:r w:rsidRPr="00A14E59">
        <w:rPr>
          <w:rFonts w:ascii="Times New Roman" w:hAnsi="Times New Roman" w:cs="Times New Roman"/>
        </w:rPr>
        <w:t>Inherited thrombophilia panels (e.g., Factor V Leiden, prothrombin mutation, protein C/S/antithrombin) in the absence of personal/strong family history of venous thromboembolism.</w:t>
      </w:r>
    </w:p>
    <w:p w:rsidR="00A14E59" w:rsidRPr="00A14E59" w:rsidRDefault="00A14E59" w:rsidP="00A14E59">
      <w:pPr>
        <w:pStyle w:val="ListBullet"/>
        <w:rPr>
          <w:rFonts w:ascii="Times New Roman" w:hAnsi="Times New Roman" w:cs="Times New Roman"/>
        </w:rPr>
      </w:pPr>
      <w:r w:rsidRPr="00A14E59">
        <w:rPr>
          <w:rFonts w:ascii="Times New Roman" w:hAnsi="Times New Roman" w:cs="Times New Roman"/>
        </w:rPr>
        <w:t>Infectious work‑ups (TORCH, chronic endometritis) without specific clinical indications.</w:t>
      </w:r>
    </w:p>
    <w:p w:rsidR="00A14E59" w:rsidRPr="00227144" w:rsidRDefault="00A14E59" w:rsidP="00465B3C">
      <w:pPr>
        <w:pStyle w:val="ListBullet"/>
        <w:rPr>
          <w:rFonts w:ascii="Times New Roman" w:hAnsi="Times New Roman" w:cs="Times New Roman"/>
        </w:rPr>
      </w:pPr>
      <w:r w:rsidRPr="00A14E59">
        <w:rPr>
          <w:rFonts w:ascii="Times New Roman" w:hAnsi="Times New Roman" w:cs="Times New Roman"/>
        </w:rPr>
        <w:t>Immune assays such as NK cell number/function tests, HLA compatibility, or alloimmune tests; IVIG, intralipids, steroids outside APS are not supported.</w:t>
      </w:r>
    </w:p>
    <w:p w:rsidR="00227144" w:rsidRDefault="00227144" w:rsidP="00227144">
      <w:pPr>
        <w:pStyle w:val="NormalWeb"/>
        <w:rPr>
          <w:b/>
          <w:bCs/>
          <w:color w:val="05193F"/>
          <w:sz w:val="28"/>
          <w:szCs w:val="28"/>
        </w:rPr>
      </w:pPr>
      <w:r>
        <w:rPr>
          <w:b/>
          <w:bCs/>
          <w:sz w:val="28"/>
          <w:szCs w:val="28"/>
        </w:rPr>
        <w:t>6</w:t>
      </w:r>
      <w:r w:rsidRPr="006C72AF">
        <w:rPr>
          <w:b/>
          <w:bCs/>
          <w:sz w:val="28"/>
          <w:szCs w:val="28"/>
        </w:rPr>
        <w:t>)</w:t>
      </w:r>
      <w:r w:rsidRPr="002B63FE">
        <w:rPr>
          <w:sz w:val="28"/>
          <w:szCs w:val="28"/>
        </w:rPr>
        <w:t xml:space="preserve"> </w:t>
      </w:r>
      <w:r>
        <w:rPr>
          <w:b/>
          <w:bCs/>
          <w:color w:val="05193F"/>
          <w:sz w:val="28"/>
          <w:szCs w:val="28"/>
        </w:rPr>
        <w:t>Evidence-Based Management</w:t>
      </w:r>
    </w:p>
    <w:p w:rsidR="00561AF5" w:rsidRDefault="00561AF5" w:rsidP="00561AF5">
      <w:pPr>
        <w:rPr>
          <w:rFonts w:ascii="Times New Roman" w:hAnsi="Times New Roman" w:cs="Times New Roman"/>
          <w:b/>
          <w:sz w:val="24"/>
        </w:rPr>
      </w:pPr>
      <w:r>
        <w:rPr>
          <w:rFonts w:ascii="Times New Roman" w:hAnsi="Times New Roman" w:cs="Times New Roman"/>
          <w:b/>
          <w:sz w:val="24"/>
        </w:rPr>
        <w:t>6.1</w:t>
      </w:r>
      <w:r w:rsidRPr="00A14E59">
        <w:rPr>
          <w:rFonts w:ascii="Times New Roman" w:hAnsi="Times New Roman" w:cs="Times New Roman"/>
          <w:b/>
          <w:sz w:val="24"/>
        </w:rPr>
        <w:t xml:space="preserve">. </w:t>
      </w:r>
      <w:r>
        <w:rPr>
          <w:rFonts w:ascii="Times New Roman" w:hAnsi="Times New Roman" w:cs="Times New Roman"/>
          <w:b/>
          <w:sz w:val="24"/>
        </w:rPr>
        <w:t>Lifestyle modifications:</w:t>
      </w:r>
    </w:p>
    <w:p w:rsidR="00561AF5" w:rsidRPr="00E10674" w:rsidRDefault="00561AF5" w:rsidP="00561AF5">
      <w:pPr>
        <w:pStyle w:val="NormalWeb"/>
        <w:numPr>
          <w:ilvl w:val="0"/>
          <w:numId w:val="9"/>
        </w:numPr>
        <w:rPr>
          <w:sz w:val="20"/>
          <w:szCs w:val="20"/>
        </w:rPr>
      </w:pPr>
      <w:r w:rsidRPr="00561AF5">
        <w:rPr>
          <w:sz w:val="20"/>
          <w:szCs w:val="20"/>
        </w:rPr>
        <w:t>Women with recurrent</w:t>
      </w:r>
      <w:r w:rsidRPr="00561AF5">
        <w:rPr>
          <w:sz w:val="20"/>
          <w:szCs w:val="20"/>
        </w:rPr>
        <w:t xml:space="preserve"> </w:t>
      </w:r>
      <w:r w:rsidRPr="00561AF5">
        <w:rPr>
          <w:sz w:val="20"/>
          <w:szCs w:val="20"/>
        </w:rPr>
        <w:t>miscarriage</w:t>
      </w:r>
      <w:r w:rsidRPr="00561AF5">
        <w:rPr>
          <w:sz w:val="20"/>
          <w:szCs w:val="20"/>
        </w:rPr>
        <w:t xml:space="preserve"> </w:t>
      </w:r>
      <w:r w:rsidRPr="00561AF5">
        <w:rPr>
          <w:sz w:val="20"/>
          <w:szCs w:val="20"/>
        </w:rPr>
        <w:t>should be advised to maintain a BMI between 19 kg/m</w:t>
      </w:r>
      <w:r w:rsidRPr="00561AF5">
        <w:rPr>
          <w:position w:val="8"/>
          <w:sz w:val="20"/>
          <w:szCs w:val="20"/>
        </w:rPr>
        <w:t xml:space="preserve">2 </w:t>
      </w:r>
      <w:r w:rsidRPr="00561AF5">
        <w:rPr>
          <w:sz w:val="20"/>
          <w:szCs w:val="20"/>
        </w:rPr>
        <w:t>and 25 kg/m</w:t>
      </w:r>
      <w:r w:rsidRPr="00561AF5">
        <w:rPr>
          <w:position w:val="8"/>
          <w:sz w:val="20"/>
          <w:szCs w:val="20"/>
        </w:rPr>
        <w:t>2</w:t>
      </w:r>
      <w:r w:rsidRPr="00561AF5">
        <w:rPr>
          <w:sz w:val="20"/>
          <w:szCs w:val="20"/>
        </w:rPr>
        <w:t>, smoking cessation,</w:t>
      </w:r>
      <w:r w:rsidRPr="00561AF5">
        <w:rPr>
          <w:sz w:val="20"/>
          <w:szCs w:val="20"/>
        </w:rPr>
        <w:t xml:space="preserve"> </w:t>
      </w:r>
      <w:r w:rsidRPr="00561AF5">
        <w:rPr>
          <w:sz w:val="20"/>
          <w:szCs w:val="20"/>
        </w:rPr>
        <w:t xml:space="preserve">limit alcohol consumption and limit caffeine to less than 200mg/day. </w:t>
      </w:r>
    </w:p>
    <w:p w:rsidR="00561AF5" w:rsidRDefault="00561AF5" w:rsidP="00561AF5">
      <w:pPr>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2</w:t>
      </w:r>
      <w:r w:rsidRPr="00A14E59">
        <w:rPr>
          <w:rFonts w:ascii="Times New Roman" w:hAnsi="Times New Roman" w:cs="Times New Roman"/>
          <w:b/>
          <w:sz w:val="24"/>
        </w:rPr>
        <w:t xml:space="preserve">. </w:t>
      </w:r>
      <w:proofErr w:type="spellStart"/>
      <w:r>
        <w:rPr>
          <w:rFonts w:ascii="Times New Roman" w:hAnsi="Times New Roman" w:cs="Times New Roman"/>
          <w:b/>
          <w:sz w:val="24"/>
        </w:rPr>
        <w:t>Thrombophilias</w:t>
      </w:r>
      <w:proofErr w:type="spellEnd"/>
      <w:r>
        <w:rPr>
          <w:rFonts w:ascii="Times New Roman" w:hAnsi="Times New Roman" w:cs="Times New Roman"/>
          <w:b/>
          <w:sz w:val="24"/>
        </w:rPr>
        <w:t>:</w:t>
      </w:r>
    </w:p>
    <w:p w:rsidR="00561AF5" w:rsidRDefault="00561AF5" w:rsidP="00561AF5">
      <w:pPr>
        <w:rPr>
          <w:rFonts w:ascii="Times New Roman" w:hAnsi="Times New Roman" w:cs="Times New Roman"/>
          <w:b/>
          <w:sz w:val="24"/>
        </w:rPr>
      </w:pPr>
      <w:r>
        <w:rPr>
          <w:rFonts w:ascii="Times New Roman" w:hAnsi="Times New Roman" w:cs="Times New Roman"/>
          <w:b/>
          <w:sz w:val="24"/>
        </w:rPr>
        <w:t>6.2.1. Acquired</w:t>
      </w:r>
    </w:p>
    <w:p w:rsidR="00561AF5" w:rsidRPr="00561AF5" w:rsidRDefault="00561AF5" w:rsidP="00561AF5">
      <w:pPr>
        <w:pStyle w:val="NormalWeb"/>
        <w:numPr>
          <w:ilvl w:val="0"/>
          <w:numId w:val="9"/>
        </w:numPr>
        <w:jc w:val="both"/>
      </w:pPr>
      <w:r w:rsidRPr="00561AF5">
        <w:rPr>
          <w:sz w:val="20"/>
          <w:szCs w:val="20"/>
        </w:rPr>
        <w:t>Aspirin and heparin (unfractionated heparin [UFH] or LMWH) should be offered to women</w:t>
      </w:r>
      <w:r w:rsidRPr="00561AF5">
        <w:rPr>
          <w:sz w:val="20"/>
          <w:szCs w:val="20"/>
        </w:rPr>
        <w:t xml:space="preserve"> </w:t>
      </w:r>
      <w:r w:rsidRPr="00561AF5">
        <w:rPr>
          <w:sz w:val="20"/>
          <w:szCs w:val="20"/>
        </w:rPr>
        <w:t>with APS (e.g. 75 mg aspirin orally and</w:t>
      </w:r>
      <w:r w:rsidRPr="00561AF5">
        <w:rPr>
          <w:sz w:val="20"/>
          <w:szCs w:val="20"/>
        </w:rPr>
        <w:t xml:space="preserve"> </w:t>
      </w:r>
      <w:r w:rsidRPr="00561AF5">
        <w:rPr>
          <w:sz w:val="20"/>
          <w:szCs w:val="20"/>
        </w:rPr>
        <w:t>40 mg subcutaneously enoxaparin from a positive pregnancy test until at least 34 weeks of gestation). Clinicians and women should be aware that treatment with heparin, particularly UFH, is not without some risk</w:t>
      </w:r>
      <w:r>
        <w:rPr>
          <w:rFonts w:ascii="MinionPro" w:hAnsi="MinionPro"/>
          <w:b/>
          <w:bCs/>
          <w:sz w:val="16"/>
          <w:szCs w:val="16"/>
        </w:rPr>
        <w:t xml:space="preserve">. </w:t>
      </w:r>
    </w:p>
    <w:p w:rsidR="00561AF5" w:rsidRPr="00561AF5" w:rsidRDefault="00561AF5" w:rsidP="00561AF5">
      <w:pPr>
        <w:pStyle w:val="NormalWeb"/>
        <w:numPr>
          <w:ilvl w:val="0"/>
          <w:numId w:val="9"/>
        </w:numPr>
        <w:jc w:val="both"/>
      </w:pPr>
      <w:r>
        <w:rPr>
          <w:sz w:val="20"/>
          <w:szCs w:val="20"/>
        </w:rPr>
        <w:t>Aspirin and/or heparin should not be given to women with unexplined recurrent miscarriage.</w:t>
      </w:r>
    </w:p>
    <w:p w:rsidR="00561AF5" w:rsidRDefault="00561AF5" w:rsidP="00561AF5">
      <w:pPr>
        <w:rPr>
          <w:rFonts w:ascii="Times New Roman" w:hAnsi="Times New Roman" w:cs="Times New Roman"/>
          <w:b/>
          <w:sz w:val="24"/>
        </w:rPr>
      </w:pPr>
      <w:r>
        <w:rPr>
          <w:rFonts w:ascii="Times New Roman" w:hAnsi="Times New Roman" w:cs="Times New Roman"/>
          <w:b/>
          <w:sz w:val="24"/>
        </w:rPr>
        <w:lastRenderedPageBreak/>
        <w:t>6.2.</w:t>
      </w:r>
      <w:r>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b/>
          <w:sz w:val="24"/>
        </w:rPr>
        <w:t>Inherited</w:t>
      </w:r>
    </w:p>
    <w:p w:rsidR="00561AF5" w:rsidRPr="00561AF5" w:rsidRDefault="00561AF5" w:rsidP="00561AF5">
      <w:pPr>
        <w:pStyle w:val="NormalWeb"/>
        <w:numPr>
          <w:ilvl w:val="0"/>
          <w:numId w:val="10"/>
        </w:numPr>
        <w:jc w:val="both"/>
        <w:rPr>
          <w:sz w:val="20"/>
          <w:szCs w:val="20"/>
        </w:rPr>
      </w:pPr>
      <w:r w:rsidRPr="00561AF5">
        <w:rPr>
          <w:sz w:val="20"/>
          <w:szCs w:val="20"/>
        </w:rPr>
        <w:t xml:space="preserve">There is a lack of evidence to support routine treatment for women with Factor V Leiden, protein S deficiency and prothrombin gene mutation to reduce the incidence of recurrent miscarriage or second trimester loss. </w:t>
      </w:r>
    </w:p>
    <w:p w:rsidR="00561AF5" w:rsidRPr="00561AF5" w:rsidRDefault="00561AF5" w:rsidP="00561AF5">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 decision to treat women with recurrent miscarriage or second trimester loss can be individualized and should involve a discussion with the woman, taking into consideration additional risk factors, such as maternal risk of thrombosis.</w:t>
      </w:r>
    </w:p>
    <w:p w:rsidR="00561AF5" w:rsidRDefault="00561AF5" w:rsidP="00561AF5">
      <w:pPr>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3</w:t>
      </w:r>
      <w:r w:rsidRPr="00A14E59">
        <w:rPr>
          <w:rFonts w:ascii="Times New Roman" w:hAnsi="Times New Roman" w:cs="Times New Roman"/>
          <w:b/>
          <w:sz w:val="24"/>
        </w:rPr>
        <w:t xml:space="preserve">. </w:t>
      </w:r>
      <w:r>
        <w:rPr>
          <w:rFonts w:ascii="Times New Roman" w:hAnsi="Times New Roman" w:cs="Times New Roman"/>
          <w:b/>
          <w:sz w:val="24"/>
        </w:rPr>
        <w:t>Genetic factors</w:t>
      </w:r>
      <w:r>
        <w:rPr>
          <w:rFonts w:ascii="Times New Roman" w:hAnsi="Times New Roman" w:cs="Times New Roman"/>
          <w:b/>
          <w:sz w:val="24"/>
        </w:rPr>
        <w:t>:</w:t>
      </w:r>
    </w:p>
    <w:p w:rsidR="00561AF5" w:rsidRPr="00561AF5" w:rsidRDefault="00561AF5" w:rsidP="00561AF5">
      <w:pPr>
        <w:pStyle w:val="NormalWeb"/>
        <w:numPr>
          <w:ilvl w:val="0"/>
          <w:numId w:val="11"/>
        </w:numPr>
      </w:pPr>
      <w:r w:rsidRPr="00561AF5">
        <w:rPr>
          <w:sz w:val="20"/>
          <w:szCs w:val="20"/>
        </w:rPr>
        <w:t>Options for couples with chromosomal rearrangements include attempting a further natural conception, PGT-SR or gamete donation</w:t>
      </w:r>
      <w:r>
        <w:rPr>
          <w:rFonts w:ascii="MinionPro" w:hAnsi="MinionPro"/>
          <w:b/>
          <w:bCs/>
          <w:sz w:val="16"/>
          <w:szCs w:val="16"/>
        </w:rPr>
        <w:t xml:space="preserve">. </w:t>
      </w:r>
    </w:p>
    <w:p w:rsidR="00E03767" w:rsidRPr="00561AF5" w:rsidRDefault="00561AF5" w:rsidP="00D55D61">
      <w:pPr>
        <w:pStyle w:val="NormalWeb"/>
        <w:numPr>
          <w:ilvl w:val="0"/>
          <w:numId w:val="11"/>
        </w:numPr>
        <w:rPr>
          <w:sz w:val="20"/>
          <w:szCs w:val="20"/>
        </w:rPr>
      </w:pPr>
      <w:r w:rsidRPr="00561AF5">
        <w:rPr>
          <w:sz w:val="20"/>
          <w:szCs w:val="20"/>
        </w:rPr>
        <w:t>There are currently insufficient data to support the routine use of PGT-A for couples with unexplained recurrent miscarriage, while the treatment may carry significant cost and potential risk</w:t>
      </w:r>
      <w:r>
        <w:rPr>
          <w:sz w:val="20"/>
          <w:szCs w:val="20"/>
        </w:rPr>
        <w:t>.</w:t>
      </w:r>
    </w:p>
    <w:p w:rsidR="00561AF5" w:rsidRDefault="00561AF5" w:rsidP="00561AF5">
      <w:pPr>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4</w:t>
      </w:r>
      <w:r w:rsidRPr="00A14E59">
        <w:rPr>
          <w:rFonts w:ascii="Times New Roman" w:hAnsi="Times New Roman" w:cs="Times New Roman"/>
          <w:b/>
          <w:sz w:val="24"/>
        </w:rPr>
        <w:t xml:space="preserve">. </w:t>
      </w:r>
      <w:r>
        <w:rPr>
          <w:rFonts w:ascii="Times New Roman" w:hAnsi="Times New Roman" w:cs="Times New Roman"/>
          <w:b/>
          <w:sz w:val="24"/>
        </w:rPr>
        <w:t>Anatomical</w:t>
      </w:r>
      <w:r>
        <w:rPr>
          <w:rFonts w:ascii="Times New Roman" w:hAnsi="Times New Roman" w:cs="Times New Roman"/>
          <w:b/>
          <w:sz w:val="24"/>
        </w:rPr>
        <w:t xml:space="preserve"> factors:</w:t>
      </w:r>
    </w:p>
    <w:p w:rsidR="00561AF5" w:rsidRDefault="00561AF5" w:rsidP="00561AF5">
      <w:pPr>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4</w:t>
      </w:r>
      <w:r>
        <w:rPr>
          <w:rFonts w:ascii="Times New Roman" w:hAnsi="Times New Roman" w:cs="Times New Roman"/>
          <w:b/>
          <w:sz w:val="24"/>
        </w:rPr>
        <w:t>.</w:t>
      </w:r>
      <w:r>
        <w:rPr>
          <w:rFonts w:ascii="Times New Roman" w:hAnsi="Times New Roman" w:cs="Times New Roman"/>
          <w:b/>
          <w:sz w:val="24"/>
        </w:rPr>
        <w:t>1</w:t>
      </w:r>
      <w:r>
        <w:rPr>
          <w:rFonts w:ascii="Times New Roman" w:hAnsi="Times New Roman" w:cs="Times New Roman"/>
          <w:b/>
          <w:sz w:val="24"/>
        </w:rPr>
        <w:t xml:space="preserve">. </w:t>
      </w:r>
      <w:r>
        <w:rPr>
          <w:rFonts w:ascii="Times New Roman" w:hAnsi="Times New Roman" w:cs="Times New Roman"/>
          <w:b/>
          <w:sz w:val="24"/>
        </w:rPr>
        <w:t>Congenital uterine anomalies</w:t>
      </w:r>
    </w:p>
    <w:p w:rsidR="00561AF5" w:rsidRPr="00561AF5" w:rsidRDefault="00561AF5" w:rsidP="00561AF5">
      <w:pPr>
        <w:pStyle w:val="NormalWeb"/>
        <w:numPr>
          <w:ilvl w:val="0"/>
          <w:numId w:val="12"/>
        </w:numPr>
        <w:rPr>
          <w:sz w:val="20"/>
          <w:szCs w:val="20"/>
        </w:rPr>
      </w:pPr>
      <w:r w:rsidRPr="00561AF5">
        <w:rPr>
          <w:sz w:val="20"/>
          <w:szCs w:val="20"/>
        </w:rPr>
        <w:t>Resection of a uterine septum</w:t>
      </w:r>
      <w:r w:rsidRPr="00561AF5">
        <w:rPr>
          <w:sz w:val="20"/>
          <w:szCs w:val="20"/>
        </w:rPr>
        <w:t xml:space="preserve"> </w:t>
      </w:r>
      <w:r w:rsidRPr="00561AF5">
        <w:rPr>
          <w:sz w:val="20"/>
          <w:szCs w:val="20"/>
        </w:rPr>
        <w:t>should be</w:t>
      </w:r>
      <w:r w:rsidRPr="00561AF5">
        <w:rPr>
          <w:sz w:val="20"/>
          <w:szCs w:val="20"/>
        </w:rPr>
        <w:t xml:space="preserve"> </w:t>
      </w:r>
      <w:r w:rsidRPr="00561AF5">
        <w:rPr>
          <w:sz w:val="20"/>
          <w:szCs w:val="20"/>
        </w:rPr>
        <w:t xml:space="preserve">considered for women with recurrent first or second trimester miscarriage, ideally within an appropriate audit or research context. </w:t>
      </w:r>
    </w:p>
    <w:p w:rsidR="00561AF5" w:rsidRDefault="00561AF5" w:rsidP="00561AF5">
      <w:pPr>
        <w:rPr>
          <w:rFonts w:ascii="Times New Roman" w:hAnsi="Times New Roman" w:cs="Times New Roman"/>
          <w:b/>
          <w:sz w:val="24"/>
        </w:rPr>
      </w:pPr>
      <w:r>
        <w:rPr>
          <w:rFonts w:ascii="Times New Roman" w:hAnsi="Times New Roman" w:cs="Times New Roman"/>
          <w:b/>
          <w:sz w:val="24"/>
        </w:rPr>
        <w:t>6.4.</w:t>
      </w:r>
      <w:r>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b/>
          <w:sz w:val="24"/>
        </w:rPr>
        <w:t>Acquired</w:t>
      </w:r>
      <w:r>
        <w:rPr>
          <w:rFonts w:ascii="Times New Roman" w:hAnsi="Times New Roman" w:cs="Times New Roman"/>
          <w:b/>
          <w:sz w:val="24"/>
        </w:rPr>
        <w:t xml:space="preserve"> uterine anomalies</w:t>
      </w:r>
    </w:p>
    <w:p w:rsidR="00561AF5" w:rsidRPr="00561AF5" w:rsidRDefault="00561AF5" w:rsidP="00561AF5">
      <w:pPr>
        <w:pStyle w:val="NormalWeb"/>
        <w:numPr>
          <w:ilvl w:val="0"/>
          <w:numId w:val="12"/>
        </w:numPr>
        <w:jc w:val="both"/>
      </w:pPr>
      <w:r w:rsidRPr="00561AF5">
        <w:rPr>
          <w:sz w:val="20"/>
          <w:szCs w:val="20"/>
        </w:rPr>
        <w:t>There is a lack of</w:t>
      </w:r>
      <w:r>
        <w:rPr>
          <w:sz w:val="20"/>
          <w:szCs w:val="20"/>
        </w:rPr>
        <w:t xml:space="preserve"> </w:t>
      </w:r>
      <w:r w:rsidRPr="00561AF5">
        <w:rPr>
          <w:sz w:val="20"/>
          <w:szCs w:val="20"/>
        </w:rPr>
        <w:t>evidence to guide</w:t>
      </w:r>
      <w:r w:rsidRPr="00561AF5">
        <w:rPr>
          <w:sz w:val="20"/>
          <w:szCs w:val="20"/>
        </w:rPr>
        <w:t xml:space="preserve"> </w:t>
      </w:r>
      <w:r w:rsidRPr="00561AF5">
        <w:rPr>
          <w:sz w:val="20"/>
          <w:szCs w:val="20"/>
        </w:rPr>
        <w:t>the management</w:t>
      </w:r>
      <w:r w:rsidRPr="00561AF5">
        <w:rPr>
          <w:sz w:val="20"/>
          <w:szCs w:val="20"/>
        </w:rPr>
        <w:t xml:space="preserve"> </w:t>
      </w:r>
      <w:r w:rsidRPr="00561AF5">
        <w:rPr>
          <w:sz w:val="20"/>
          <w:szCs w:val="20"/>
        </w:rPr>
        <w:t>of acquired uterine anomalies associated with recurrent miscarriage; counselling and the choice of expectant versus surgical options ought to be individualised</w:t>
      </w:r>
      <w:r w:rsidRPr="00561AF5">
        <w:rPr>
          <w:rFonts w:ascii="MinionPro" w:hAnsi="MinionPro"/>
          <w:b/>
          <w:bCs/>
          <w:sz w:val="14"/>
          <w:szCs w:val="14"/>
        </w:rPr>
        <w:t xml:space="preserve">. </w:t>
      </w:r>
    </w:p>
    <w:p w:rsidR="00561AF5" w:rsidRDefault="00561AF5" w:rsidP="00561AF5">
      <w:pPr>
        <w:rPr>
          <w:rFonts w:ascii="Times New Roman" w:hAnsi="Times New Roman" w:cs="Times New Roman"/>
          <w:b/>
          <w:sz w:val="24"/>
        </w:rPr>
      </w:pPr>
      <w:r>
        <w:rPr>
          <w:rFonts w:ascii="Times New Roman" w:hAnsi="Times New Roman" w:cs="Times New Roman"/>
          <w:b/>
          <w:sz w:val="24"/>
        </w:rPr>
        <w:t>6.4.</w:t>
      </w:r>
      <w:r>
        <w:rPr>
          <w:rFonts w:ascii="Times New Roman" w:hAnsi="Times New Roman" w:cs="Times New Roman"/>
          <w:b/>
          <w:sz w:val="24"/>
        </w:rPr>
        <w:t>3</w:t>
      </w:r>
      <w:r>
        <w:rPr>
          <w:rFonts w:ascii="Times New Roman" w:hAnsi="Times New Roman" w:cs="Times New Roman"/>
          <w:b/>
          <w:sz w:val="24"/>
        </w:rPr>
        <w:t xml:space="preserve">. </w:t>
      </w:r>
      <w:r>
        <w:rPr>
          <w:rFonts w:ascii="Times New Roman" w:hAnsi="Times New Roman" w:cs="Times New Roman"/>
          <w:b/>
          <w:sz w:val="24"/>
        </w:rPr>
        <w:t xml:space="preserve">Cervical integrity (NICE: Preterm </w:t>
      </w:r>
      <w:proofErr w:type="spellStart"/>
      <w:r>
        <w:rPr>
          <w:rFonts w:ascii="Times New Roman" w:hAnsi="Times New Roman" w:cs="Times New Roman"/>
          <w:b/>
          <w:sz w:val="24"/>
        </w:rPr>
        <w:t>labour</w:t>
      </w:r>
      <w:proofErr w:type="spellEnd"/>
      <w:r>
        <w:rPr>
          <w:rFonts w:ascii="Times New Roman" w:hAnsi="Times New Roman" w:cs="Times New Roman"/>
          <w:b/>
          <w:sz w:val="24"/>
        </w:rPr>
        <w:t xml:space="preserve"> and birth)</w:t>
      </w:r>
    </w:p>
    <w:p w:rsidR="00561AF5" w:rsidRDefault="00561AF5" w:rsidP="00561AF5">
      <w:pPr>
        <w:pStyle w:val="ListParagraph"/>
        <w:numPr>
          <w:ilvl w:val="0"/>
          <w:numId w:val="12"/>
        </w:numPr>
        <w:jc w:val="both"/>
        <w:rPr>
          <w:rFonts w:ascii="Times New Roman" w:hAnsi="Times New Roman" w:cs="Times New Roman"/>
          <w:sz w:val="20"/>
          <w:szCs w:val="20"/>
        </w:rPr>
      </w:pPr>
      <w:r w:rsidRPr="00561AF5">
        <w:rPr>
          <w:rFonts w:ascii="Times New Roman" w:hAnsi="Times New Roman" w:cs="Times New Roman"/>
          <w:sz w:val="20"/>
          <w:szCs w:val="20"/>
        </w:rPr>
        <w:t>Offer a choice of prophylactic vaginal progesterone or prophylactic cervical cerclage to women who have both: • a history of spontaneous preterm birth (up to 34+0 weeks of pregnancy) or loss (from 16+0 weeks of pregnancy onwards), and • results from a transvaginal ultrasound scan carried out between 16+0 and 24+0 weeks of pregnancy that show a cervical length of 25 mm or less. Discuss the risks and benefits of both options with the woman, and make a shared decision on which treatment is most suitable.</w:t>
      </w:r>
    </w:p>
    <w:p w:rsidR="00561AF5" w:rsidRDefault="00561AF5" w:rsidP="00561AF5">
      <w:pPr>
        <w:pStyle w:val="ListParagraph"/>
        <w:numPr>
          <w:ilvl w:val="0"/>
          <w:numId w:val="12"/>
        </w:numPr>
        <w:jc w:val="both"/>
        <w:rPr>
          <w:rFonts w:ascii="Times New Roman" w:hAnsi="Times New Roman" w:cs="Times New Roman"/>
          <w:sz w:val="20"/>
          <w:szCs w:val="20"/>
        </w:rPr>
      </w:pPr>
      <w:r w:rsidRPr="00561AF5">
        <w:rPr>
          <w:rFonts w:ascii="Times New Roman" w:hAnsi="Times New Roman" w:cs="Times New Roman"/>
          <w:sz w:val="20"/>
          <w:szCs w:val="20"/>
        </w:rPr>
        <w:t xml:space="preserve"> Consider prophylactic vaginal progesterone for women who have either: • a history of spontaneous preterm birth (up to 34+0 weeks of pregnancy) or loss (from 16+0 weeks of pregnancy onwards), or • results from a transvaginal ultrasound scan carried out between 16+0 and 24+0 weeks of pregnancy that show a cervical length of 25 mm or less. In April 2024, the only licensed preparation of progesterone for this indication was vaginal 200 mg capsules. When using vaginal progesterone, start treatment between 16+0 and 24+0 weeks of pregnancy and continue until at least 34 weeks. [2019] </w:t>
      </w:r>
    </w:p>
    <w:p w:rsidR="00561AF5" w:rsidRDefault="00561AF5" w:rsidP="00561AF5">
      <w:pPr>
        <w:pStyle w:val="ListParagraph"/>
        <w:numPr>
          <w:ilvl w:val="0"/>
          <w:numId w:val="12"/>
        </w:numPr>
        <w:jc w:val="both"/>
        <w:rPr>
          <w:rFonts w:ascii="Times New Roman" w:hAnsi="Times New Roman" w:cs="Times New Roman"/>
          <w:sz w:val="20"/>
          <w:szCs w:val="20"/>
        </w:rPr>
      </w:pPr>
      <w:r w:rsidRPr="00561AF5">
        <w:rPr>
          <w:rFonts w:ascii="Times New Roman" w:hAnsi="Times New Roman" w:cs="Times New Roman"/>
          <w:sz w:val="20"/>
          <w:szCs w:val="20"/>
        </w:rPr>
        <w:t xml:space="preserve">Consider prophylactic cervical cerclage for women when results of a transvaginal ultrasound scan carried out between 16+0 and 24+0 weeks of pregnancy show a cervical length of 25 mm or less, who have had either: • preterm </w:t>
      </w:r>
      <w:proofErr w:type="spellStart"/>
      <w:r w:rsidRPr="00561AF5">
        <w:rPr>
          <w:rFonts w:ascii="Times New Roman" w:hAnsi="Times New Roman" w:cs="Times New Roman"/>
          <w:sz w:val="20"/>
          <w:szCs w:val="20"/>
        </w:rPr>
        <w:t>prelabour</w:t>
      </w:r>
      <w:proofErr w:type="spellEnd"/>
      <w:r w:rsidRPr="00561AF5">
        <w:rPr>
          <w:rFonts w:ascii="Times New Roman" w:hAnsi="Times New Roman" w:cs="Times New Roman"/>
          <w:sz w:val="20"/>
          <w:szCs w:val="20"/>
        </w:rPr>
        <w:t xml:space="preserve"> rupture of membranes (P-PROM) in a previous pregnancy or • a history of cervical trauma. </w:t>
      </w:r>
    </w:p>
    <w:p w:rsidR="00561AF5" w:rsidRPr="00561AF5" w:rsidRDefault="00561AF5" w:rsidP="00561AF5">
      <w:pPr>
        <w:pStyle w:val="ListParagraph"/>
        <w:numPr>
          <w:ilvl w:val="0"/>
          <w:numId w:val="12"/>
        </w:numPr>
        <w:jc w:val="both"/>
        <w:rPr>
          <w:rFonts w:ascii="Times New Roman" w:hAnsi="Times New Roman" w:cs="Times New Roman"/>
          <w:sz w:val="20"/>
          <w:szCs w:val="20"/>
        </w:rPr>
      </w:pPr>
      <w:r w:rsidRPr="00561AF5">
        <w:rPr>
          <w:rFonts w:ascii="Times New Roman" w:hAnsi="Times New Roman" w:cs="Times New Roman"/>
          <w:sz w:val="20"/>
          <w:szCs w:val="20"/>
        </w:rPr>
        <w:t xml:space="preserve">If prophylactic cervical cerclage is used, ensure a plan is made and documented for removal of the suture. </w:t>
      </w:r>
    </w:p>
    <w:p w:rsidR="00561AF5" w:rsidRDefault="00561AF5" w:rsidP="00561AF5">
      <w:pPr>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5</w:t>
      </w:r>
      <w:r w:rsidRPr="00A14E59">
        <w:rPr>
          <w:rFonts w:ascii="Times New Roman" w:hAnsi="Times New Roman" w:cs="Times New Roman"/>
          <w:b/>
          <w:sz w:val="24"/>
        </w:rPr>
        <w:t xml:space="preserve">. </w:t>
      </w:r>
      <w:r>
        <w:rPr>
          <w:rFonts w:ascii="Times New Roman" w:hAnsi="Times New Roman" w:cs="Times New Roman"/>
          <w:b/>
          <w:sz w:val="24"/>
        </w:rPr>
        <w:t>Endocrine</w:t>
      </w:r>
      <w:r>
        <w:rPr>
          <w:rFonts w:ascii="Times New Roman" w:hAnsi="Times New Roman" w:cs="Times New Roman"/>
          <w:b/>
          <w:sz w:val="24"/>
        </w:rPr>
        <w:t xml:space="preserve"> factors:</w:t>
      </w:r>
    </w:p>
    <w:p w:rsidR="00561AF5" w:rsidRDefault="00561AF5" w:rsidP="00561AF5">
      <w:pPr>
        <w:pStyle w:val="NormalWeb"/>
        <w:numPr>
          <w:ilvl w:val="0"/>
          <w:numId w:val="13"/>
        </w:numPr>
        <w:rPr>
          <w:sz w:val="20"/>
          <w:szCs w:val="20"/>
        </w:rPr>
      </w:pPr>
      <w:r w:rsidRPr="00561AF5">
        <w:rPr>
          <w:sz w:val="20"/>
          <w:szCs w:val="20"/>
        </w:rPr>
        <w:t xml:space="preserve">Thyroxine supplementation is not routinely recommended for euthyroid women with TPO who have a history of miscarriage. </w:t>
      </w:r>
    </w:p>
    <w:p w:rsidR="00561AF5" w:rsidRPr="00561AF5" w:rsidRDefault="00561AF5" w:rsidP="00561AF5">
      <w:pPr>
        <w:pStyle w:val="NormalWeb"/>
        <w:numPr>
          <w:ilvl w:val="0"/>
          <w:numId w:val="13"/>
        </w:numPr>
        <w:rPr>
          <w:sz w:val="20"/>
          <w:szCs w:val="20"/>
        </w:rPr>
      </w:pPr>
      <w:r>
        <w:rPr>
          <w:sz w:val="20"/>
          <w:szCs w:val="20"/>
        </w:rPr>
        <w:lastRenderedPageBreak/>
        <w:t>Thyroxine supplementation may be considered for women with moderate SCH (TSH 4 mIU/l) but is not routinely recommended for women with mild SCH (TSH more than 2.5 mIU/L) irrespective of TPO status.</w:t>
      </w:r>
    </w:p>
    <w:p w:rsidR="00561AF5" w:rsidRPr="00561AF5" w:rsidRDefault="00561AF5" w:rsidP="00561AF5">
      <w:pPr>
        <w:pStyle w:val="NormalWeb"/>
        <w:numPr>
          <w:ilvl w:val="0"/>
          <w:numId w:val="13"/>
        </w:numPr>
        <w:rPr>
          <w:sz w:val="20"/>
          <w:szCs w:val="20"/>
        </w:rPr>
      </w:pPr>
      <w:r w:rsidRPr="00561AF5">
        <w:rPr>
          <w:sz w:val="20"/>
          <w:szCs w:val="20"/>
        </w:rPr>
        <w:t>Regular TSH measurement from 7–9</w:t>
      </w:r>
      <w:r w:rsidRPr="00561AF5">
        <w:rPr>
          <w:sz w:val="20"/>
          <w:szCs w:val="20"/>
        </w:rPr>
        <w:t xml:space="preserve"> </w:t>
      </w:r>
      <w:r w:rsidRPr="00561AF5">
        <w:rPr>
          <w:sz w:val="20"/>
          <w:szCs w:val="20"/>
        </w:rPr>
        <w:t>weeks of gestation is</w:t>
      </w:r>
      <w:r w:rsidRPr="00561AF5">
        <w:rPr>
          <w:sz w:val="20"/>
          <w:szCs w:val="20"/>
        </w:rPr>
        <w:t xml:space="preserve"> </w:t>
      </w:r>
      <w:r w:rsidRPr="00561AF5">
        <w:rPr>
          <w:sz w:val="20"/>
          <w:szCs w:val="20"/>
        </w:rPr>
        <w:t xml:space="preserve">recommended in cases with TPO and/or SCH </w:t>
      </w:r>
    </w:p>
    <w:p w:rsidR="00561AF5" w:rsidRPr="00561AF5" w:rsidRDefault="00561AF5" w:rsidP="00561AF5">
      <w:pPr>
        <w:pStyle w:val="NormalWeb"/>
        <w:numPr>
          <w:ilvl w:val="0"/>
          <w:numId w:val="13"/>
        </w:numPr>
        <w:rPr>
          <w:sz w:val="20"/>
          <w:szCs w:val="20"/>
        </w:rPr>
      </w:pPr>
      <w:r>
        <w:rPr>
          <w:sz w:val="20"/>
          <w:szCs w:val="20"/>
        </w:rPr>
        <w:t>Progestogen supplementation should be considered in women with recurrent miscarriage who present with bleeding in early pregnancy (for example 400 mg micronised vaginal progesterone twice daily at the time of bleeding until 16 weeks of gestation).</w:t>
      </w:r>
    </w:p>
    <w:p w:rsidR="00561AF5" w:rsidRPr="00561AF5" w:rsidRDefault="00561AF5" w:rsidP="00561AF5">
      <w:pPr>
        <w:pStyle w:val="NormalWeb"/>
        <w:numPr>
          <w:ilvl w:val="0"/>
          <w:numId w:val="13"/>
        </w:numPr>
        <w:rPr>
          <w:sz w:val="20"/>
          <w:szCs w:val="20"/>
        </w:rPr>
      </w:pPr>
      <w:r w:rsidRPr="00561AF5">
        <w:rPr>
          <w:sz w:val="20"/>
          <w:szCs w:val="20"/>
        </w:rPr>
        <w:t>Routine supplementation should</w:t>
      </w:r>
      <w:r w:rsidRPr="00561AF5">
        <w:rPr>
          <w:sz w:val="20"/>
          <w:szCs w:val="20"/>
        </w:rPr>
        <w:t xml:space="preserve"> </w:t>
      </w:r>
      <w:r w:rsidRPr="00561AF5">
        <w:rPr>
          <w:sz w:val="20"/>
          <w:szCs w:val="20"/>
        </w:rPr>
        <w:t>be used with caution in</w:t>
      </w:r>
      <w:r w:rsidRPr="00561AF5">
        <w:rPr>
          <w:sz w:val="20"/>
          <w:szCs w:val="20"/>
        </w:rPr>
        <w:t xml:space="preserve"> </w:t>
      </w:r>
      <w:r w:rsidRPr="00561AF5">
        <w:rPr>
          <w:sz w:val="20"/>
          <w:szCs w:val="20"/>
        </w:rPr>
        <w:t xml:space="preserve">asymptomatic women with unexplained recurrent miscarriage. </w:t>
      </w:r>
    </w:p>
    <w:p w:rsidR="00561AF5" w:rsidRDefault="00561AF5" w:rsidP="00561AF5">
      <w:pPr>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6</w:t>
      </w:r>
      <w:r w:rsidRPr="00A14E59">
        <w:rPr>
          <w:rFonts w:ascii="Times New Roman" w:hAnsi="Times New Roman" w:cs="Times New Roman"/>
          <w:b/>
          <w:sz w:val="24"/>
        </w:rPr>
        <w:t xml:space="preserve">. </w:t>
      </w:r>
      <w:r>
        <w:rPr>
          <w:rFonts w:ascii="Times New Roman" w:hAnsi="Times New Roman" w:cs="Times New Roman"/>
          <w:b/>
          <w:sz w:val="24"/>
        </w:rPr>
        <w:t>Immune</w:t>
      </w:r>
      <w:r>
        <w:rPr>
          <w:rFonts w:ascii="Times New Roman" w:hAnsi="Times New Roman" w:cs="Times New Roman"/>
          <w:b/>
          <w:sz w:val="24"/>
        </w:rPr>
        <w:t xml:space="preserve"> factors:</w:t>
      </w:r>
    </w:p>
    <w:p w:rsidR="00561AF5" w:rsidRPr="00561AF5" w:rsidRDefault="00561AF5" w:rsidP="00561AF5">
      <w:pPr>
        <w:pStyle w:val="NormalWeb"/>
        <w:numPr>
          <w:ilvl w:val="0"/>
          <w:numId w:val="14"/>
        </w:numPr>
        <w:rPr>
          <w:sz w:val="20"/>
          <w:szCs w:val="20"/>
        </w:rPr>
      </w:pPr>
      <w:r w:rsidRPr="00561AF5">
        <w:rPr>
          <w:sz w:val="20"/>
          <w:szCs w:val="20"/>
        </w:rPr>
        <w:t>Immunotherapy (e.g. paternal cell immunisation, third-party</w:t>
      </w:r>
      <w:r w:rsidRPr="00561AF5">
        <w:rPr>
          <w:sz w:val="20"/>
          <w:szCs w:val="20"/>
        </w:rPr>
        <w:t xml:space="preserve"> </w:t>
      </w:r>
      <w:r w:rsidRPr="00561AF5">
        <w:rPr>
          <w:sz w:val="20"/>
          <w:szCs w:val="20"/>
        </w:rPr>
        <w:t xml:space="preserve">donor leucocytes, trophoblast membranes and intravenous immunoglobulin [IVIg]) is not recommended for women with recurrent miscarriage. </w:t>
      </w:r>
    </w:p>
    <w:p w:rsidR="00561AF5" w:rsidRDefault="00561AF5" w:rsidP="00561AF5">
      <w:pPr>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7</w:t>
      </w:r>
      <w:r w:rsidRPr="00A14E59">
        <w:rPr>
          <w:rFonts w:ascii="Times New Roman" w:hAnsi="Times New Roman" w:cs="Times New Roman"/>
          <w:b/>
          <w:sz w:val="24"/>
        </w:rPr>
        <w:t xml:space="preserve">. </w:t>
      </w:r>
      <w:r>
        <w:rPr>
          <w:rFonts w:ascii="Times New Roman" w:hAnsi="Times New Roman" w:cs="Times New Roman"/>
          <w:b/>
          <w:sz w:val="24"/>
        </w:rPr>
        <w:t>Male</w:t>
      </w:r>
      <w:r>
        <w:rPr>
          <w:rFonts w:ascii="Times New Roman" w:hAnsi="Times New Roman" w:cs="Times New Roman"/>
          <w:b/>
          <w:sz w:val="24"/>
        </w:rPr>
        <w:t xml:space="preserve"> factors:</w:t>
      </w:r>
    </w:p>
    <w:p w:rsidR="00561AF5" w:rsidRPr="00561AF5" w:rsidRDefault="00561AF5" w:rsidP="00561AF5">
      <w:pPr>
        <w:pStyle w:val="NormalWeb"/>
        <w:numPr>
          <w:ilvl w:val="0"/>
          <w:numId w:val="14"/>
        </w:numPr>
        <w:rPr>
          <w:sz w:val="20"/>
          <w:szCs w:val="20"/>
        </w:rPr>
      </w:pPr>
      <w:r w:rsidRPr="00561AF5">
        <w:rPr>
          <w:sz w:val="20"/>
          <w:szCs w:val="20"/>
        </w:rPr>
        <w:t xml:space="preserve">There is no evidence to recommend treatments for male factors. </w:t>
      </w:r>
    </w:p>
    <w:p w:rsidR="00561AF5" w:rsidRDefault="00561AF5" w:rsidP="00561AF5">
      <w:pPr>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8</w:t>
      </w:r>
      <w:r w:rsidRPr="00A14E59">
        <w:rPr>
          <w:rFonts w:ascii="Times New Roman" w:hAnsi="Times New Roman" w:cs="Times New Roman"/>
          <w:b/>
          <w:sz w:val="24"/>
        </w:rPr>
        <w:t xml:space="preserve">. </w:t>
      </w:r>
      <w:r>
        <w:rPr>
          <w:rFonts w:ascii="Times New Roman" w:hAnsi="Times New Roman" w:cs="Times New Roman"/>
          <w:b/>
          <w:sz w:val="24"/>
        </w:rPr>
        <w:t>Unexplained recurrent miscarriage</w:t>
      </w:r>
      <w:r>
        <w:rPr>
          <w:rFonts w:ascii="Times New Roman" w:hAnsi="Times New Roman" w:cs="Times New Roman"/>
          <w:b/>
          <w:sz w:val="24"/>
        </w:rPr>
        <w:t>:</w:t>
      </w:r>
    </w:p>
    <w:p w:rsidR="00561AF5" w:rsidRPr="00561AF5" w:rsidRDefault="00561AF5" w:rsidP="00561AF5">
      <w:pPr>
        <w:pStyle w:val="NormalWeb"/>
        <w:numPr>
          <w:ilvl w:val="0"/>
          <w:numId w:val="14"/>
        </w:numPr>
        <w:rPr>
          <w:sz w:val="20"/>
          <w:szCs w:val="20"/>
        </w:rPr>
      </w:pPr>
      <w:r w:rsidRPr="00561AF5">
        <w:rPr>
          <w:sz w:val="20"/>
          <w:szCs w:val="20"/>
        </w:rPr>
        <w:t xml:space="preserve">Women with unexplained recurrent miscarriage should be offered supportive care, ideally in the setting of a dedicated recurrent miscarriage clinic. </w:t>
      </w:r>
    </w:p>
    <w:p w:rsidR="00561AF5" w:rsidRPr="00561AF5" w:rsidRDefault="00561AF5" w:rsidP="00561AF5">
      <w:pPr>
        <w:pStyle w:val="NormalWeb"/>
        <w:numPr>
          <w:ilvl w:val="0"/>
          <w:numId w:val="14"/>
        </w:numPr>
        <w:rPr>
          <w:sz w:val="20"/>
          <w:szCs w:val="20"/>
        </w:rPr>
      </w:pPr>
      <w:r w:rsidRPr="00561AF5">
        <w:rPr>
          <w:sz w:val="20"/>
          <w:szCs w:val="20"/>
        </w:rPr>
        <w:t xml:space="preserve">Endometrial scratch is not recommended in women with recurrent miscarriage. </w:t>
      </w:r>
    </w:p>
    <w:p w:rsidR="00561AF5" w:rsidRPr="00561AF5" w:rsidRDefault="00561AF5" w:rsidP="00561AF5">
      <w:pPr>
        <w:rPr>
          <w:rFonts w:ascii="Times New Roman" w:hAnsi="Times New Roman" w:cs="Times New Roman"/>
        </w:rPr>
      </w:pPr>
      <w:r>
        <w:rPr>
          <w:rFonts w:ascii="Times New Roman" w:hAnsi="Times New Roman" w:cs="Times New Roman"/>
          <w:b/>
          <w:sz w:val="24"/>
        </w:rPr>
        <w:t>6.</w:t>
      </w:r>
      <w:r>
        <w:rPr>
          <w:rFonts w:ascii="Times New Roman" w:hAnsi="Times New Roman" w:cs="Times New Roman"/>
          <w:b/>
          <w:sz w:val="24"/>
        </w:rPr>
        <w:t>9</w:t>
      </w:r>
      <w:r w:rsidRPr="00A14E59">
        <w:rPr>
          <w:rFonts w:ascii="Times New Roman" w:hAnsi="Times New Roman" w:cs="Times New Roman"/>
          <w:b/>
          <w:sz w:val="24"/>
        </w:rPr>
        <w:t xml:space="preserve">. </w:t>
      </w:r>
      <w:r w:rsidRPr="00561AF5">
        <w:rPr>
          <w:rFonts w:ascii="Times New Roman" w:hAnsi="Times New Roman" w:cs="Times New Roman"/>
          <w:b/>
          <w:sz w:val="24"/>
        </w:rPr>
        <w:t>Adjuncts &amp; What Not to Use</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Avoid routine use of steroids, IVIG, intralipids, G‑CSF, aspirin alone (without APS), or anticoagulation for inherited thrombophilia in the absence of APS.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Metformin is not an RPL treatment per se; use for glycemic/PCOS indications only.</w:t>
      </w:r>
    </w:p>
    <w:p w:rsidR="00E10674" w:rsidRPr="00E10674" w:rsidRDefault="00E10674" w:rsidP="00E10674">
      <w:pPr>
        <w:rPr>
          <w:rFonts w:ascii="Times New Roman" w:hAnsi="Times New Roman" w:cs="Times New Roman"/>
        </w:rPr>
      </w:pPr>
      <w:r w:rsidRPr="00E10674">
        <w:rPr>
          <w:rFonts w:ascii="Times New Roman" w:hAnsi="Times New Roman" w:cs="Times New Roman"/>
          <w:b/>
          <w:sz w:val="28"/>
        </w:rPr>
        <w:t>7) Preconception &amp; Lifestyle Optimization</w:t>
      </w:r>
    </w:p>
    <w:p w:rsidR="00E10674" w:rsidRPr="00E10674" w:rsidRDefault="00E10674" w:rsidP="00E10674">
      <w:pPr>
        <w:pStyle w:val="ListBullet"/>
        <w:rPr>
          <w:rFonts w:ascii="Times New Roman" w:hAnsi="Times New Roman" w:cs="Times New Roman"/>
          <w:sz w:val="20"/>
          <w:szCs w:val="20"/>
        </w:rPr>
      </w:pPr>
      <w:r w:rsidRPr="00E10674">
        <w:rPr>
          <w:rFonts w:ascii="Times New Roman" w:hAnsi="Times New Roman" w:cs="Times New Roman"/>
          <w:sz w:val="20"/>
          <w:szCs w:val="20"/>
        </w:rPr>
        <w:t xml:space="preserve">Folic acid: ≥400 </w:t>
      </w:r>
      <w:proofErr w:type="spellStart"/>
      <w:r w:rsidRPr="00E10674">
        <w:rPr>
          <w:rFonts w:ascii="Times New Roman" w:hAnsi="Times New Roman" w:cs="Times New Roman"/>
          <w:sz w:val="20"/>
          <w:szCs w:val="20"/>
        </w:rPr>
        <w:t>μg</w:t>
      </w:r>
      <w:proofErr w:type="spellEnd"/>
      <w:r w:rsidRPr="00E10674">
        <w:rPr>
          <w:rFonts w:ascii="Times New Roman" w:hAnsi="Times New Roman" w:cs="Times New Roman"/>
          <w:sz w:val="20"/>
          <w:szCs w:val="20"/>
        </w:rPr>
        <w:t xml:space="preserve"> daily (consider 4–5 mg with diabetes or prior NTD as per local policy).</w:t>
      </w:r>
    </w:p>
    <w:p w:rsidR="00E10674" w:rsidRPr="00E10674" w:rsidRDefault="00E10674" w:rsidP="00E10674">
      <w:pPr>
        <w:pStyle w:val="ListBullet"/>
        <w:rPr>
          <w:rFonts w:ascii="Times New Roman" w:hAnsi="Times New Roman" w:cs="Times New Roman"/>
          <w:sz w:val="20"/>
          <w:szCs w:val="20"/>
        </w:rPr>
      </w:pPr>
      <w:r w:rsidRPr="00E10674">
        <w:rPr>
          <w:rFonts w:ascii="Times New Roman" w:hAnsi="Times New Roman" w:cs="Times New Roman"/>
          <w:sz w:val="20"/>
          <w:szCs w:val="20"/>
        </w:rPr>
        <w:t>Weight management: aim BMI 19–25; offer diet/exercise programs; manage sleep and stress.</w:t>
      </w:r>
    </w:p>
    <w:p w:rsidR="00E10674" w:rsidRPr="00E10674" w:rsidRDefault="00E10674" w:rsidP="00E10674">
      <w:pPr>
        <w:pStyle w:val="ListBullet"/>
        <w:rPr>
          <w:rFonts w:ascii="Times New Roman" w:hAnsi="Times New Roman" w:cs="Times New Roman"/>
          <w:sz w:val="20"/>
          <w:szCs w:val="20"/>
        </w:rPr>
      </w:pPr>
      <w:r w:rsidRPr="00E10674">
        <w:rPr>
          <w:rFonts w:ascii="Times New Roman" w:hAnsi="Times New Roman" w:cs="Times New Roman"/>
          <w:sz w:val="20"/>
          <w:szCs w:val="20"/>
        </w:rPr>
        <w:t>Smoking cessation, avoid alcohol and recreational drugs; limit caffeine (&lt;200 mg/day).</w:t>
      </w:r>
    </w:p>
    <w:p w:rsidR="00E10674" w:rsidRPr="00E10674" w:rsidRDefault="00E10674" w:rsidP="00561AF5">
      <w:pPr>
        <w:pStyle w:val="ListBullet"/>
        <w:rPr>
          <w:rFonts w:ascii="Times New Roman" w:hAnsi="Times New Roman" w:cs="Times New Roman"/>
          <w:sz w:val="20"/>
          <w:szCs w:val="20"/>
        </w:rPr>
      </w:pPr>
      <w:r w:rsidRPr="00E10674">
        <w:rPr>
          <w:rFonts w:ascii="Times New Roman" w:hAnsi="Times New Roman" w:cs="Times New Roman"/>
          <w:sz w:val="20"/>
          <w:szCs w:val="20"/>
        </w:rPr>
        <w:t>Review and rationalize medications; avoid teratogens; ensure vaccinations are up to date (e.g., rubella, varicella status).</w:t>
      </w:r>
    </w:p>
    <w:p w:rsidR="00561AF5" w:rsidRPr="00561AF5" w:rsidRDefault="00E10674" w:rsidP="00561AF5">
      <w:pPr>
        <w:rPr>
          <w:rFonts w:ascii="Times New Roman" w:hAnsi="Times New Roman" w:cs="Times New Roman"/>
        </w:rPr>
      </w:pPr>
      <w:r>
        <w:rPr>
          <w:rFonts w:ascii="Times New Roman" w:hAnsi="Times New Roman" w:cs="Times New Roman"/>
          <w:b/>
          <w:sz w:val="28"/>
        </w:rPr>
        <w:t>8</w:t>
      </w:r>
      <w:r w:rsidR="00561AF5" w:rsidRPr="00561AF5">
        <w:rPr>
          <w:rFonts w:ascii="Times New Roman" w:hAnsi="Times New Roman" w:cs="Times New Roman"/>
          <w:b/>
          <w:sz w:val="28"/>
        </w:rPr>
        <w:t>) Care Pathway &amp; Follow‑up</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Offer evaluation after 2 losses (earlier if age ≥35 or late miscarriage).</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Provide written plan for next pregnancy: whom to contact at positive test, when to start LDA/LMWH (if indicated), progesterone regimen (if chosen), and early scan scheduling.</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Early Pregnancy Unit access for reassurance scans and symptom triage.</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Psychological support: counseling/referral; screen for anxiety/depression; bereavement services after loss.</w:t>
      </w:r>
    </w:p>
    <w:p w:rsidR="00561AF5" w:rsidRPr="00E10674"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Document discussion of prognosis and safety‑net advice (bleeding/pain, ectopic warning).</w:t>
      </w:r>
    </w:p>
    <w:p w:rsidR="00561AF5" w:rsidRPr="00561AF5" w:rsidRDefault="00561AF5" w:rsidP="00561AF5">
      <w:pPr>
        <w:rPr>
          <w:rFonts w:ascii="Times New Roman" w:hAnsi="Times New Roman" w:cs="Times New Roman"/>
        </w:rPr>
      </w:pPr>
      <w:r w:rsidRPr="00561AF5">
        <w:rPr>
          <w:rFonts w:ascii="Times New Roman" w:hAnsi="Times New Roman" w:cs="Times New Roman"/>
          <w:b/>
          <w:sz w:val="28"/>
        </w:rPr>
        <w:t>9) Special Situations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Second‑trimester loss or recurrent late loss: evaluate for cervical insufficiency, fetal/placental pathology, maternal systemic disease; consider cerclage based on history and cervical length.</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lastRenderedPageBreak/>
        <w:t>Assisted reproduction: align luteal support with ART protocol; consider PGT where indicated (structural rearrangements, translocations).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Secondary RPL after prior live birth: similar evaluation; emphasize age‑related aneuploidy with advancing maternal age.</w:t>
      </w:r>
    </w:p>
    <w:p w:rsidR="00561AF5" w:rsidRPr="00561AF5" w:rsidRDefault="00561AF5" w:rsidP="00561AF5">
      <w:pPr>
        <w:rPr>
          <w:rFonts w:ascii="Times New Roman" w:hAnsi="Times New Roman" w:cs="Times New Roman"/>
        </w:rPr>
      </w:pPr>
      <w:r w:rsidRPr="00561AF5">
        <w:rPr>
          <w:rFonts w:ascii="Times New Roman" w:hAnsi="Times New Roman" w:cs="Times New Roman"/>
          <w:b/>
          <w:sz w:val="28"/>
        </w:rPr>
        <w:t>10) Documentation &amp; Communication</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Summarize prior pregnancies with dates, gestation, ultrasound findings, and pathology/genetics.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Include all tests performed, results, and interpretations; record patient preferences and shared decisions.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Provide a concise, patient‑held plan for the next conception attempt.</w:t>
      </w:r>
    </w:p>
    <w:p w:rsidR="00561AF5" w:rsidRPr="00561AF5" w:rsidRDefault="00561AF5" w:rsidP="00561AF5">
      <w:pPr>
        <w:rPr>
          <w:rFonts w:ascii="Times New Roman" w:hAnsi="Times New Roman" w:cs="Times New Roman"/>
        </w:rPr>
      </w:pPr>
      <w:r w:rsidRPr="00561AF5">
        <w:rPr>
          <w:rFonts w:ascii="Times New Roman" w:hAnsi="Times New Roman" w:cs="Times New Roman"/>
          <w:b/>
          <w:sz w:val="28"/>
        </w:rPr>
        <w:t>11) Quality Indicators (Audit)</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Proportion of eligible couples receiving APS panel and uterine imaging.</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Time from referral to completion of core work‑up (target ≤8–12 weeks).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Documentation of counseling and a written plan for next pregnancy.</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Live‑birth rate within 12–24 months of completing evaluation.</w:t>
      </w:r>
    </w:p>
    <w:p w:rsidR="00561AF5" w:rsidRPr="00561AF5" w:rsidRDefault="00561AF5" w:rsidP="00561AF5">
      <w:pPr>
        <w:rPr>
          <w:rFonts w:ascii="Times New Roman" w:hAnsi="Times New Roman" w:cs="Times New Roman"/>
        </w:rPr>
      </w:pPr>
      <w:r w:rsidRPr="00561AF5">
        <w:rPr>
          <w:rFonts w:ascii="Times New Roman" w:hAnsi="Times New Roman" w:cs="Times New Roman"/>
          <w:b/>
          <w:sz w:val="28"/>
        </w:rPr>
        <w:t>12) Medication Dosing Summary (Quick Reference)</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Low‑dose aspirin: 75–100 mg orally once daily (evening dosing acceptable).</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LMWH prophylactic: enoxaparin 40 mg SC daily (or equivalent); start at positive test for APS; continue through pregnancy.</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LMWH therapeutic (prior thrombosis/high‑risk APS): enoxaparin 1 mg/kg SC twice daily.</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 xml:space="preserve">Progesterone: micronized vaginal 200–400 mg/day or </w:t>
      </w:r>
      <w:proofErr w:type="spellStart"/>
      <w:r w:rsidRPr="00561AF5">
        <w:rPr>
          <w:rFonts w:ascii="Times New Roman" w:hAnsi="Times New Roman" w:cs="Times New Roman"/>
          <w:sz w:val="20"/>
          <w:szCs w:val="20"/>
        </w:rPr>
        <w:t>dydrogesterone</w:t>
      </w:r>
      <w:proofErr w:type="spellEnd"/>
      <w:r w:rsidRPr="00561AF5">
        <w:rPr>
          <w:rFonts w:ascii="Times New Roman" w:hAnsi="Times New Roman" w:cs="Times New Roman"/>
          <w:sz w:val="20"/>
          <w:szCs w:val="20"/>
        </w:rPr>
        <w:t xml:space="preserve"> 10 mg twice daily to 12–16 weeks.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Levothyroxine dosing per TSH; recheck every 4–6 weeks in 1st/2nd trimester.</w:t>
      </w:r>
    </w:p>
    <w:p w:rsidR="00561AF5" w:rsidRPr="00561AF5" w:rsidRDefault="00561AF5" w:rsidP="00561AF5">
      <w:pPr>
        <w:rPr>
          <w:rFonts w:ascii="Times New Roman" w:hAnsi="Times New Roman" w:cs="Times New Roman"/>
        </w:rPr>
      </w:pPr>
      <w:r w:rsidRPr="00561AF5">
        <w:rPr>
          <w:rFonts w:ascii="Times New Roman" w:hAnsi="Times New Roman" w:cs="Times New Roman"/>
          <w:b/>
          <w:sz w:val="28"/>
        </w:rPr>
        <w:t>13) Patient Information (for counseling leaflets)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Most couples will conceive and carry a healthy pregnancy in the future.</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A stepwise evaluation looks for a small set of causes that have proven treatments.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Healthy lifestyle, early contact on a positive test, and supportive care improve the journey.</w:t>
      </w:r>
    </w:p>
    <w:p w:rsidR="00561AF5" w:rsidRPr="00561AF5" w:rsidRDefault="00561AF5" w:rsidP="00561AF5">
      <w:pPr>
        <w:rPr>
          <w:rFonts w:ascii="Times New Roman" w:hAnsi="Times New Roman" w:cs="Times New Roman"/>
        </w:rPr>
      </w:pPr>
      <w:r w:rsidRPr="00561AF5">
        <w:rPr>
          <w:rFonts w:ascii="Times New Roman" w:hAnsi="Times New Roman" w:cs="Times New Roman"/>
          <w:b/>
          <w:sz w:val="28"/>
        </w:rPr>
        <w:t>References &amp; Source Guidelines</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ASRM Committee Opinion on Evaluation and Treatment of Recurrent Pregnancy Loss (2023).</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RCOG Green‑top Guideline No. 17: Recurrent Miscarriage (2023).</w:t>
      </w:r>
    </w:p>
    <w:p w:rsidR="00561AF5" w:rsidRPr="00561AF5" w:rsidRDefault="00561AF5" w:rsidP="00561AF5">
      <w:pPr>
        <w:pStyle w:val="ListBullet"/>
        <w:rPr>
          <w:rFonts w:ascii="Times New Roman" w:hAnsi="Times New Roman" w:cs="Times New Roman"/>
          <w:sz w:val="20"/>
          <w:szCs w:val="20"/>
        </w:rPr>
      </w:pPr>
      <w:r w:rsidRPr="00561AF5">
        <w:rPr>
          <w:rFonts w:ascii="Times New Roman" w:hAnsi="Times New Roman" w:cs="Times New Roman"/>
          <w:sz w:val="20"/>
          <w:szCs w:val="20"/>
        </w:rPr>
        <w:t>ESHRE Guideline on Recurrent Pregnancy Loss (2017; updates ongoing).</w:t>
      </w:r>
    </w:p>
    <w:p w:rsidR="00561AF5" w:rsidRPr="00561AF5" w:rsidRDefault="00561AF5" w:rsidP="00561AF5">
      <w:pPr>
        <w:pStyle w:val="ListBullet"/>
        <w:rPr>
          <w:rFonts w:ascii="Times New Roman" w:hAnsi="Times New Roman" w:cs="Times New Roman"/>
        </w:rPr>
      </w:pPr>
      <w:r w:rsidRPr="00561AF5">
        <w:rPr>
          <w:rFonts w:ascii="Times New Roman" w:hAnsi="Times New Roman" w:cs="Times New Roman"/>
          <w:sz w:val="20"/>
          <w:szCs w:val="20"/>
        </w:rPr>
        <w:t>ACOG Practice Bulletin: Early Pregnancy Loss/Management considerations (2020</w:t>
      </w:r>
      <w:r w:rsidRPr="00561AF5">
        <w:rPr>
          <w:rFonts w:ascii="Times New Roman" w:hAnsi="Times New Roman" w:cs="Times New Roman"/>
        </w:rPr>
        <w:t>).</w:t>
      </w:r>
    </w:p>
    <w:sectPr w:rsidR="00561AF5" w:rsidRPr="00561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inionPr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452B2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35FBE"/>
    <w:multiLevelType w:val="multilevel"/>
    <w:tmpl w:val="800C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32562"/>
    <w:multiLevelType w:val="hybridMultilevel"/>
    <w:tmpl w:val="765051A8"/>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 w15:restartNumberingAfterBreak="0">
    <w:nsid w:val="0A687615"/>
    <w:multiLevelType w:val="hybridMultilevel"/>
    <w:tmpl w:val="CD4EA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B7F74"/>
    <w:multiLevelType w:val="hybridMultilevel"/>
    <w:tmpl w:val="C2944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912A92"/>
    <w:multiLevelType w:val="hybridMultilevel"/>
    <w:tmpl w:val="CC9AC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F6D9D"/>
    <w:multiLevelType w:val="multilevel"/>
    <w:tmpl w:val="B846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D5282"/>
    <w:multiLevelType w:val="hybridMultilevel"/>
    <w:tmpl w:val="0D2E206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4A346CD2"/>
    <w:multiLevelType w:val="hybridMultilevel"/>
    <w:tmpl w:val="0D34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FF298B"/>
    <w:multiLevelType w:val="hybridMultilevel"/>
    <w:tmpl w:val="C6D46A7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0" w15:restartNumberingAfterBreak="0">
    <w:nsid w:val="4DFF0768"/>
    <w:multiLevelType w:val="hybridMultilevel"/>
    <w:tmpl w:val="C862E3C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C90F97"/>
    <w:multiLevelType w:val="hybridMultilevel"/>
    <w:tmpl w:val="94D05F9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15:restartNumberingAfterBreak="0">
    <w:nsid w:val="6417177B"/>
    <w:multiLevelType w:val="hybridMultilevel"/>
    <w:tmpl w:val="E304A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BF51F9"/>
    <w:multiLevelType w:val="hybridMultilevel"/>
    <w:tmpl w:val="C23C30D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1111902303">
    <w:abstractNumId w:val="0"/>
  </w:num>
  <w:num w:numId="2" w16cid:durableId="1364330313">
    <w:abstractNumId w:val="6"/>
  </w:num>
  <w:num w:numId="3" w16cid:durableId="1691176250">
    <w:abstractNumId w:val="1"/>
  </w:num>
  <w:num w:numId="4" w16cid:durableId="794100899">
    <w:abstractNumId w:val="4"/>
  </w:num>
  <w:num w:numId="5" w16cid:durableId="1654597655">
    <w:abstractNumId w:val="5"/>
  </w:num>
  <w:num w:numId="6" w16cid:durableId="1939024346">
    <w:abstractNumId w:val="8"/>
  </w:num>
  <w:num w:numId="7" w16cid:durableId="938567036">
    <w:abstractNumId w:val="3"/>
  </w:num>
  <w:num w:numId="8" w16cid:durableId="2109767390">
    <w:abstractNumId w:val="12"/>
  </w:num>
  <w:num w:numId="9" w16cid:durableId="416369353">
    <w:abstractNumId w:val="10"/>
  </w:num>
  <w:num w:numId="10" w16cid:durableId="1071345793">
    <w:abstractNumId w:val="9"/>
  </w:num>
  <w:num w:numId="11" w16cid:durableId="1261529874">
    <w:abstractNumId w:val="11"/>
  </w:num>
  <w:num w:numId="12" w16cid:durableId="1328363713">
    <w:abstractNumId w:val="13"/>
  </w:num>
  <w:num w:numId="13" w16cid:durableId="32731548">
    <w:abstractNumId w:val="7"/>
  </w:num>
  <w:num w:numId="14" w16cid:durableId="1756898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1C"/>
    <w:rsid w:val="000A47BB"/>
    <w:rsid w:val="00191BE6"/>
    <w:rsid w:val="001A488E"/>
    <w:rsid w:val="001D528C"/>
    <w:rsid w:val="00227144"/>
    <w:rsid w:val="00242426"/>
    <w:rsid w:val="002B63FE"/>
    <w:rsid w:val="003366E2"/>
    <w:rsid w:val="00345D9E"/>
    <w:rsid w:val="003D5966"/>
    <w:rsid w:val="00465B3C"/>
    <w:rsid w:val="00483D75"/>
    <w:rsid w:val="004A7353"/>
    <w:rsid w:val="004E2797"/>
    <w:rsid w:val="0054085E"/>
    <w:rsid w:val="00561AF5"/>
    <w:rsid w:val="0068209E"/>
    <w:rsid w:val="00684A1A"/>
    <w:rsid w:val="006A2219"/>
    <w:rsid w:val="006C72AF"/>
    <w:rsid w:val="006D2711"/>
    <w:rsid w:val="00926A51"/>
    <w:rsid w:val="00997D76"/>
    <w:rsid w:val="009A46A7"/>
    <w:rsid w:val="00A14E59"/>
    <w:rsid w:val="00A22B5F"/>
    <w:rsid w:val="00A5731C"/>
    <w:rsid w:val="00A71F4E"/>
    <w:rsid w:val="00A92D1C"/>
    <w:rsid w:val="00B93406"/>
    <w:rsid w:val="00C02A1B"/>
    <w:rsid w:val="00C13E52"/>
    <w:rsid w:val="00D55D61"/>
    <w:rsid w:val="00D610F7"/>
    <w:rsid w:val="00DA5263"/>
    <w:rsid w:val="00E03767"/>
    <w:rsid w:val="00E10674"/>
    <w:rsid w:val="00F55467"/>
    <w:rsid w:val="00F954C9"/>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4B390848"/>
  <w15:chartTrackingRefBased/>
  <w15:docId w15:val="{B35BEC34-4B9C-3D4C-BB62-25C6B821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BD"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1C"/>
    <w:pPr>
      <w:spacing w:after="200" w:line="276" w:lineRule="auto"/>
    </w:pPr>
    <w:rPr>
      <w:rFonts w:eastAsiaTheme="minorEastAsia"/>
      <w:kern w:val="0"/>
      <w:sz w:val="22"/>
      <w:szCs w:val="22"/>
      <w:lang w:val="en-US" w:bidi="ar-SA"/>
      <w14:ligatures w14:val="none"/>
    </w:rPr>
  </w:style>
  <w:style w:type="paragraph" w:styleId="Heading1">
    <w:name w:val="heading 1"/>
    <w:basedOn w:val="Normal"/>
    <w:next w:val="Normal"/>
    <w:link w:val="Heading1Char"/>
    <w:uiPriority w:val="9"/>
    <w:qFormat/>
    <w:rsid w:val="00A5731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5731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5731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573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3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1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5731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5731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573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3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31C"/>
    <w:rPr>
      <w:rFonts w:eastAsiaTheme="majorEastAsia" w:cstheme="majorBidi"/>
      <w:color w:val="272727" w:themeColor="text1" w:themeTint="D8"/>
    </w:rPr>
  </w:style>
  <w:style w:type="paragraph" w:styleId="Title">
    <w:name w:val="Title"/>
    <w:basedOn w:val="Normal"/>
    <w:next w:val="Normal"/>
    <w:link w:val="TitleChar"/>
    <w:uiPriority w:val="10"/>
    <w:qFormat/>
    <w:rsid w:val="00A5731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731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5731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5731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5731C"/>
    <w:pPr>
      <w:spacing w:before="160"/>
      <w:jc w:val="center"/>
    </w:pPr>
    <w:rPr>
      <w:i/>
      <w:iCs/>
      <w:color w:val="404040" w:themeColor="text1" w:themeTint="BF"/>
    </w:rPr>
  </w:style>
  <w:style w:type="character" w:customStyle="1" w:styleId="QuoteChar">
    <w:name w:val="Quote Char"/>
    <w:basedOn w:val="DefaultParagraphFont"/>
    <w:link w:val="Quote"/>
    <w:uiPriority w:val="29"/>
    <w:rsid w:val="00A5731C"/>
    <w:rPr>
      <w:rFonts w:cs="Vrinda"/>
      <w:i/>
      <w:iCs/>
      <w:color w:val="404040" w:themeColor="text1" w:themeTint="BF"/>
    </w:rPr>
  </w:style>
  <w:style w:type="paragraph" w:styleId="ListParagraph">
    <w:name w:val="List Paragraph"/>
    <w:basedOn w:val="Normal"/>
    <w:uiPriority w:val="34"/>
    <w:qFormat/>
    <w:rsid w:val="00A5731C"/>
    <w:pPr>
      <w:ind w:left="720"/>
      <w:contextualSpacing/>
    </w:pPr>
  </w:style>
  <w:style w:type="character" w:styleId="IntenseEmphasis">
    <w:name w:val="Intense Emphasis"/>
    <w:basedOn w:val="DefaultParagraphFont"/>
    <w:uiPriority w:val="21"/>
    <w:qFormat/>
    <w:rsid w:val="00A5731C"/>
    <w:rPr>
      <w:i/>
      <w:iCs/>
      <w:color w:val="2F5496" w:themeColor="accent1" w:themeShade="BF"/>
    </w:rPr>
  </w:style>
  <w:style w:type="paragraph" w:styleId="IntenseQuote">
    <w:name w:val="Intense Quote"/>
    <w:basedOn w:val="Normal"/>
    <w:next w:val="Normal"/>
    <w:link w:val="IntenseQuoteChar"/>
    <w:uiPriority w:val="30"/>
    <w:qFormat/>
    <w:rsid w:val="00A573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31C"/>
    <w:rPr>
      <w:rFonts w:cs="Vrinda"/>
      <w:i/>
      <w:iCs/>
      <w:color w:val="2F5496" w:themeColor="accent1" w:themeShade="BF"/>
    </w:rPr>
  </w:style>
  <w:style w:type="character" w:styleId="IntenseReference">
    <w:name w:val="Intense Reference"/>
    <w:basedOn w:val="DefaultParagraphFont"/>
    <w:uiPriority w:val="32"/>
    <w:qFormat/>
    <w:rsid w:val="00A5731C"/>
    <w:rPr>
      <w:b/>
      <w:bCs/>
      <w:smallCaps/>
      <w:color w:val="2F5496" w:themeColor="accent1" w:themeShade="BF"/>
      <w:spacing w:val="5"/>
    </w:rPr>
  </w:style>
  <w:style w:type="paragraph" w:styleId="ListBullet">
    <w:name w:val="List Bullet"/>
    <w:basedOn w:val="Normal"/>
    <w:uiPriority w:val="99"/>
    <w:unhideWhenUsed/>
    <w:rsid w:val="00A5731C"/>
    <w:pPr>
      <w:numPr>
        <w:numId w:val="1"/>
      </w:numPr>
      <w:tabs>
        <w:tab w:val="clear" w:pos="360"/>
      </w:tabs>
      <w:ind w:left="0" w:firstLine="0"/>
      <w:contextualSpacing/>
    </w:pPr>
  </w:style>
  <w:style w:type="paragraph" w:styleId="NormalWeb">
    <w:name w:val="Normal (Web)"/>
    <w:basedOn w:val="Normal"/>
    <w:uiPriority w:val="99"/>
    <w:unhideWhenUsed/>
    <w:rsid w:val="002B63FE"/>
    <w:pPr>
      <w:spacing w:before="100" w:beforeAutospacing="1" w:after="100" w:afterAutospacing="1" w:line="240" w:lineRule="auto"/>
    </w:pPr>
    <w:rPr>
      <w:rFonts w:ascii="Times New Roman" w:eastAsia="Times New Roman" w:hAnsi="Times New Roman" w:cs="Times New Roman"/>
      <w:sz w:val="24"/>
      <w:szCs w:val="24"/>
      <w:lang w:val="en-BD"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8</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Tanjila Karim</dc:creator>
  <cp:keywords/>
  <dc:description/>
  <cp:lastModifiedBy>Tanjila Karim</cp:lastModifiedBy>
  <cp:revision>6</cp:revision>
  <dcterms:created xsi:type="dcterms:W3CDTF">2025-09-29T04:37:00Z</dcterms:created>
  <dcterms:modified xsi:type="dcterms:W3CDTF">2025-10-01T06:35:00Z</dcterms:modified>
</cp:coreProperties>
</file>