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8FDDD">
      <w:pPr>
        <w:rPr>
          <w:rStyle w:val="19"/>
          <w:rFonts w:ascii="Times New Roman" w:hAnsi="Times New Roman" w:cs="Times New Roman"/>
          <w:sz w:val="24"/>
          <w:szCs w:val="24"/>
        </w:rPr>
      </w:pPr>
      <w:r>
        <w:rPr>
          <w:rStyle w:val="19"/>
          <w:rFonts w:ascii="Times New Roman" w:hAnsi="Times New Roman" w:cs="Times New Roman"/>
          <w:sz w:val="36"/>
          <w:szCs w:val="36"/>
        </w:rPr>
        <w:t xml:space="preserve"> Evidence Based Guidelines-Evaluation of adnexal mass</w:t>
      </w:r>
    </w:p>
    <w:p w14:paraId="08901A3A">
      <w:pPr>
        <w:rPr>
          <w:rStyle w:val="19"/>
          <w:rFonts w:ascii="Times New Roman" w:hAnsi="Times New Roman" w:cs="Times New Roman"/>
          <w:sz w:val="24"/>
          <w:szCs w:val="24"/>
        </w:rPr>
      </w:pPr>
    </w:p>
    <w:p w14:paraId="472F21B4">
      <w:pPr>
        <w:rPr>
          <w:rStyle w:val="19"/>
          <w:rFonts w:ascii="Times New Roman" w:hAnsi="Times New Roman" w:cs="Times New Roman"/>
          <w:sz w:val="24"/>
          <w:szCs w:val="24"/>
        </w:rPr>
      </w:pPr>
    </w:p>
    <w:p w14:paraId="19175430">
      <w:pPr>
        <w:rPr>
          <w:rFonts w:ascii="Times New Roman" w:hAnsi="Times New Roman" w:cs="Times New Roman"/>
        </w:rPr>
      </w:pPr>
      <w:r>
        <w:rPr>
          <w:rFonts w:ascii="Times New Roman" w:hAnsi="Times New Roman" w:cs="Times New Roman"/>
        </w:rPr>
        <w:t xml:space="preserve"> </w:t>
      </w:r>
      <w:r>
        <w:rPr>
          <w:rStyle w:val="19"/>
          <w:rFonts w:ascii="Times New Roman" w:hAnsi="Times New Roman" w:cs="Times New Roman"/>
          <w:sz w:val="28"/>
          <w:szCs w:val="28"/>
        </w:rPr>
        <w:t xml:space="preserve">INTRODUCTION </w:t>
      </w:r>
      <w:r>
        <w:rPr>
          <w:rFonts w:ascii="Times New Roman" w:hAnsi="Times New Roman" w:cs="Times New Roman"/>
        </w:rPr>
        <w:t xml:space="preserve">       </w:t>
      </w:r>
    </w:p>
    <w:p w14:paraId="14585F1D">
      <w:pPr>
        <w:rPr>
          <w:rFonts w:ascii="Times New Roman" w:hAnsi="Times New Roman" w:cs="Times New Roman"/>
        </w:rPr>
      </w:pPr>
    </w:p>
    <w:p w14:paraId="1C0D4419">
      <w:pPr>
        <w:rPr>
          <w:rFonts w:ascii="Times New Roman" w:hAnsi="Times New Roman" w:cs="Times New Roman"/>
        </w:rPr>
      </w:pPr>
      <w:r>
        <w:rPr>
          <w:rFonts w:ascii="Times New Roman" w:hAnsi="Times New Roman" w:cs="Times New Roman"/>
        </w:rPr>
        <w:t>Adnexal masses can be benign or malignant and their spectrum ranges from simple functional cysts to ovarian carcinomas. The clinical challenge lies in distinguishing between benign and malignant lesions to ensure timely intervention while avoiding unnecessary surgery.</w:t>
      </w:r>
    </w:p>
    <w:p w14:paraId="6AC09E0E">
      <w:pPr>
        <w:rPr>
          <w:rFonts w:ascii="Times New Roman" w:hAnsi="Times New Roman" w:cs="Times New Roman"/>
        </w:rPr>
      </w:pPr>
    </w:p>
    <w:p w14:paraId="65347DC3">
      <w:pPr>
        <w:pStyle w:val="3"/>
        <w:rPr>
          <w:rFonts w:ascii="Times New Roman" w:hAnsi="Times New Roman" w:cs="Times New Roman"/>
          <w:sz w:val="28"/>
          <w:szCs w:val="28"/>
        </w:rPr>
      </w:pPr>
      <w:r>
        <w:rPr>
          <w:rFonts w:ascii="Times New Roman" w:hAnsi="Times New Roman" w:cs="Times New Roman"/>
          <w:sz w:val="28"/>
          <w:szCs w:val="28"/>
        </w:rPr>
        <w:t>Purpose and scope</w:t>
      </w:r>
    </w:p>
    <w:p w14:paraId="7C37BE48">
      <w:pPr>
        <w:jc w:val="both"/>
        <w:rPr>
          <w:rFonts w:ascii="Times New Roman" w:hAnsi="Times New Roman" w:cs="Times New Roman"/>
        </w:rPr>
      </w:pPr>
    </w:p>
    <w:p w14:paraId="7D9BAA88">
      <w:pPr>
        <w:jc w:val="both"/>
        <w:rPr>
          <w:rFonts w:ascii="Times New Roman" w:hAnsi="Times New Roman" w:cs="Times New Roman"/>
        </w:rPr>
      </w:pPr>
      <w:r>
        <w:rPr>
          <w:rFonts w:ascii="Times New Roman" w:hAnsi="Times New Roman" w:cs="Times New Roman"/>
        </w:rPr>
        <w:t>This guideline has been produced to provide information, based on clinical evidence, to assist clinicians with the initial assessment and appropriate management of suspected ovarian masses.</w:t>
      </w:r>
    </w:p>
    <w:p w14:paraId="2B513CBE">
      <w:pPr>
        <w:jc w:val="both"/>
        <w:rPr>
          <w:rFonts w:ascii="Times New Roman" w:hAnsi="Times New Roman" w:cs="Times New Roman"/>
        </w:rPr>
      </w:pPr>
    </w:p>
    <w:p w14:paraId="0A84E284">
      <w:pPr>
        <w:rPr>
          <w:rFonts w:ascii="Times New Roman" w:hAnsi="Times New Roman" w:cs="Times New Roman"/>
          <w:sz w:val="28"/>
          <w:szCs w:val="28"/>
        </w:rPr>
      </w:pPr>
      <w:r>
        <w:rPr>
          <w:rStyle w:val="19"/>
          <w:rFonts w:ascii="Times New Roman" w:hAnsi="Times New Roman" w:cs="Times New Roman"/>
          <w:sz w:val="28"/>
          <w:szCs w:val="28"/>
        </w:rPr>
        <w:t>Evaluation of Adnexal mass</w:t>
      </w:r>
      <w:r>
        <w:rPr>
          <w:rFonts w:ascii="Times New Roman" w:hAnsi="Times New Roman" w:cs="Times New Roman"/>
          <w:sz w:val="28"/>
          <w:szCs w:val="28"/>
        </w:rPr>
        <w:t xml:space="preserve"> </w:t>
      </w:r>
    </w:p>
    <w:p w14:paraId="3B438AF7">
      <w:pPr>
        <w:rPr>
          <w:rFonts w:ascii="Times New Roman" w:hAnsi="Times New Roman" w:cs="Times New Roman"/>
        </w:rPr>
      </w:pPr>
    </w:p>
    <w:p w14:paraId="2B775893">
      <w:pPr>
        <w:rPr>
          <w:rFonts w:ascii="Times New Roman" w:hAnsi="Times New Roman" w:cs="Times New Roman"/>
        </w:rPr>
      </w:pPr>
      <w:r>
        <w:rPr>
          <w:rFonts w:ascii="Times New Roman" w:hAnsi="Times New Roman" w:cs="Times New Roman"/>
        </w:rPr>
        <w:t xml:space="preserve"> Evaluation involves a combination of history, physical examination, imaging techniques (especially ultrasound), and tumor markers. Management strategies depend on factors such as patients age, menopausal status, clinical presentation, and risk of malignancy.</w:t>
      </w:r>
    </w:p>
    <w:p w14:paraId="69376207">
      <w:pPr>
        <w:rPr>
          <w:rFonts w:ascii="Times New Roman" w:hAnsi="Times New Roman" w:cs="Times New Roman"/>
        </w:rPr>
      </w:pPr>
    </w:p>
    <w:p w14:paraId="29425609">
      <w:pPr>
        <w:rPr>
          <w:rFonts w:ascii="Times New Roman" w:hAnsi="Times New Roman" w:cs="Times New Roman"/>
        </w:rPr>
      </w:pPr>
      <w:r>
        <w:rPr>
          <w:rFonts w:ascii="Times New Roman" w:hAnsi="Times New Roman" w:cs="Times New Roman"/>
        </w:rPr>
        <w:t>Many ovarian masses in the premenopausal women can be managed conservatively. Functional or simple ovarian cysts (thin walled cysts without internal structures) which are less than 50 mm maximum diameter usually resolve over 2-3 menstrual cycles without the need for intervention.</w:t>
      </w:r>
    </w:p>
    <w:p w14:paraId="410E618D">
      <w:pPr>
        <w:pStyle w:val="2"/>
        <w:rPr>
          <w:rFonts w:ascii="Times New Roman" w:hAnsi="Times New Roman" w:cs="Times New Roman"/>
          <w:sz w:val="32"/>
          <w:szCs w:val="32"/>
        </w:rPr>
      </w:pPr>
      <w:r>
        <w:rPr>
          <w:rFonts w:ascii="Times New Roman" w:hAnsi="Times New Roman" w:cs="Times New Roman"/>
          <w:sz w:val="32"/>
          <w:szCs w:val="32"/>
        </w:rPr>
        <w:t>Types of adnexal masses</w:t>
      </w:r>
    </w:p>
    <w:p w14:paraId="46AAC6D7">
      <w:pPr>
        <w:rPr>
          <w:rFonts w:ascii="Times New Roman" w:hAnsi="Times New Roman" w:cs="Times New Roman"/>
        </w:rPr>
      </w:pPr>
    </w:p>
    <w:tbl>
      <w:tblPr>
        <w:tblStyle w:val="3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350"/>
      </w:tblGrid>
      <w:tr w14:paraId="337B5C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9350" w:type="dxa"/>
            <w:tcBorders>
              <w:bottom w:val="single" w:color="196B24" w:themeColor="accent3" w:sz="4" w:space="0"/>
            </w:tcBorders>
          </w:tcPr>
          <w:p w14:paraId="02F9DD36">
            <w:pPr>
              <w:spacing w:after="0" w:line="240" w:lineRule="auto"/>
              <w:rPr>
                <w:rFonts w:ascii="Times New Roman" w:hAnsi="Times New Roman" w:cs="Times New Roman"/>
              </w:rPr>
            </w:pPr>
            <w:r>
              <w:rPr>
                <w:rFonts w:ascii="Times New Roman" w:hAnsi="Times New Roman" w:cs="Times New Roman"/>
              </w:rPr>
              <w:t>Benign ovarian                                              Functional cysts</w:t>
            </w:r>
          </w:p>
          <w:p w14:paraId="327978F3">
            <w:pPr>
              <w:spacing w:after="0" w:line="240" w:lineRule="auto"/>
              <w:rPr>
                <w:rFonts w:ascii="Times New Roman" w:hAnsi="Times New Roman" w:cs="Times New Roman"/>
              </w:rPr>
            </w:pPr>
            <w:r>
              <w:rPr>
                <w:rFonts w:ascii="Times New Roman" w:hAnsi="Times New Roman" w:cs="Times New Roman"/>
              </w:rPr>
              <w:t xml:space="preserve">                                                                       Endometriomas</w:t>
            </w:r>
          </w:p>
          <w:p w14:paraId="7F7B0D4D">
            <w:pPr>
              <w:spacing w:after="0" w:line="240" w:lineRule="auto"/>
              <w:rPr>
                <w:rFonts w:ascii="Times New Roman" w:hAnsi="Times New Roman" w:cs="Times New Roman"/>
              </w:rPr>
            </w:pPr>
            <w:r>
              <w:rPr>
                <w:rFonts w:ascii="Times New Roman" w:hAnsi="Times New Roman" w:cs="Times New Roman"/>
              </w:rPr>
              <w:t xml:space="preserve">                                                                       Serous cystadenoma</w:t>
            </w:r>
          </w:p>
          <w:p w14:paraId="1A0D69E2">
            <w:pPr>
              <w:spacing w:after="0" w:line="240" w:lineRule="auto"/>
              <w:rPr>
                <w:rFonts w:ascii="Times New Roman" w:hAnsi="Times New Roman" w:cs="Times New Roman"/>
              </w:rPr>
            </w:pPr>
            <w:r>
              <w:rPr>
                <w:rFonts w:ascii="Times New Roman" w:hAnsi="Times New Roman" w:cs="Times New Roman"/>
              </w:rPr>
              <w:t xml:space="preserve">                                                                       Mucinous cystadenoma</w:t>
            </w:r>
          </w:p>
          <w:p w14:paraId="53B961EE">
            <w:pPr>
              <w:spacing w:after="0" w:line="240" w:lineRule="auto"/>
              <w:rPr>
                <w:rFonts w:ascii="Times New Roman" w:hAnsi="Times New Roman" w:cs="Times New Roman"/>
              </w:rPr>
            </w:pPr>
            <w:r>
              <w:rPr>
                <w:rFonts w:ascii="Times New Roman" w:hAnsi="Times New Roman" w:cs="Times New Roman"/>
              </w:rPr>
              <w:t xml:space="preserve">                                                                       Mature teratoma</w:t>
            </w:r>
          </w:p>
        </w:tc>
      </w:tr>
      <w:tr w14:paraId="4FCD1C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50" w:type="dxa"/>
            <w:tcBorders>
              <w:top w:val="single" w:color="196B24" w:themeColor="accent3" w:sz="4" w:space="0"/>
              <w:bottom w:val="single" w:color="196B24" w:themeColor="accent3" w:sz="4" w:space="0"/>
            </w:tcBorders>
          </w:tcPr>
          <w:p w14:paraId="1066D448">
            <w:pPr>
              <w:spacing w:after="0" w:line="240" w:lineRule="auto"/>
              <w:rPr>
                <w:rFonts w:ascii="Times New Roman" w:hAnsi="Times New Roman" w:cs="Times New Roman"/>
              </w:rPr>
            </w:pPr>
            <w:r>
              <w:rPr>
                <w:rFonts w:ascii="Times New Roman" w:hAnsi="Times New Roman" w:cs="Times New Roman"/>
              </w:rPr>
              <w:t>Benign non ovarian                                        Par</w:t>
            </w:r>
            <w:r>
              <w:rPr>
                <w:rFonts w:hint="default" w:ascii="Times New Roman" w:hAnsi="Times New Roman" w:cs="Times New Roman"/>
                <w:lang w:val="en-US"/>
              </w:rPr>
              <w:t xml:space="preserve">a </w:t>
            </w:r>
            <w:bookmarkStart w:id="0" w:name="_GoBack"/>
            <w:bookmarkEnd w:id="0"/>
            <w:r>
              <w:rPr>
                <w:rFonts w:ascii="Times New Roman" w:hAnsi="Times New Roman" w:cs="Times New Roman"/>
              </w:rPr>
              <w:t>tubal cyst</w:t>
            </w:r>
          </w:p>
          <w:p w14:paraId="1ED5E6B2">
            <w:pPr>
              <w:spacing w:after="0" w:line="240" w:lineRule="auto"/>
              <w:rPr>
                <w:rFonts w:ascii="Times New Roman" w:hAnsi="Times New Roman" w:cs="Times New Roman"/>
              </w:rPr>
            </w:pPr>
            <w:r>
              <w:rPr>
                <w:rFonts w:ascii="Times New Roman" w:hAnsi="Times New Roman" w:cs="Times New Roman"/>
              </w:rPr>
              <w:t xml:space="preserve">                                                                        Hydro salpinges</w:t>
            </w:r>
          </w:p>
          <w:p w14:paraId="0B89FA4A">
            <w:pPr>
              <w:spacing w:after="0" w:line="240" w:lineRule="auto"/>
              <w:rPr>
                <w:rFonts w:ascii="Times New Roman" w:hAnsi="Times New Roman" w:cs="Times New Roman"/>
              </w:rPr>
            </w:pPr>
            <w:r>
              <w:rPr>
                <w:rFonts w:ascii="Times New Roman" w:hAnsi="Times New Roman" w:cs="Times New Roman"/>
              </w:rPr>
              <w:t xml:space="preserve">                                                                        Tubo-ovarian abscess</w:t>
            </w:r>
          </w:p>
          <w:p w14:paraId="7C2C753B">
            <w:pPr>
              <w:spacing w:after="0" w:line="240" w:lineRule="auto"/>
              <w:rPr>
                <w:rFonts w:ascii="Times New Roman" w:hAnsi="Times New Roman" w:cs="Times New Roman"/>
              </w:rPr>
            </w:pPr>
            <w:r>
              <w:rPr>
                <w:rFonts w:ascii="Times New Roman" w:hAnsi="Times New Roman" w:cs="Times New Roman"/>
              </w:rPr>
              <w:t xml:space="preserve">                                                                        Peritoneal pseudocysts</w:t>
            </w:r>
          </w:p>
          <w:p w14:paraId="687159C4">
            <w:pPr>
              <w:spacing w:after="0" w:line="240" w:lineRule="auto"/>
              <w:rPr>
                <w:rFonts w:ascii="Times New Roman" w:hAnsi="Times New Roman" w:cs="Times New Roman"/>
              </w:rPr>
            </w:pPr>
            <w:r>
              <w:rPr>
                <w:rFonts w:ascii="Times New Roman" w:hAnsi="Times New Roman" w:cs="Times New Roman"/>
              </w:rPr>
              <w:t xml:space="preserve">                                                                        Appendiceal abscess</w:t>
            </w:r>
          </w:p>
          <w:p w14:paraId="30EC3564">
            <w:pPr>
              <w:spacing w:after="0" w:line="240" w:lineRule="auto"/>
              <w:rPr>
                <w:rFonts w:ascii="Times New Roman" w:hAnsi="Times New Roman" w:cs="Times New Roman"/>
              </w:rPr>
            </w:pPr>
            <w:r>
              <w:rPr>
                <w:rFonts w:ascii="Times New Roman" w:hAnsi="Times New Roman" w:cs="Times New Roman"/>
              </w:rPr>
              <w:t xml:space="preserve">                                                                        Diverticular abscess</w:t>
            </w:r>
          </w:p>
          <w:p w14:paraId="1D5D975D">
            <w:pPr>
              <w:spacing w:after="0" w:line="240" w:lineRule="auto"/>
              <w:rPr>
                <w:rFonts w:ascii="Times New Roman" w:hAnsi="Times New Roman" w:cs="Times New Roman"/>
              </w:rPr>
            </w:pPr>
            <w:r>
              <w:rPr>
                <w:rFonts w:ascii="Times New Roman" w:hAnsi="Times New Roman" w:cs="Times New Roman"/>
              </w:rPr>
              <w:t xml:space="preserve">                                                                        Pelvic kidney</w:t>
            </w:r>
          </w:p>
        </w:tc>
      </w:tr>
      <w:tr w14:paraId="135677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50" w:type="dxa"/>
            <w:tcBorders>
              <w:top w:val="single" w:color="196B24" w:themeColor="accent3" w:sz="4" w:space="0"/>
            </w:tcBorders>
          </w:tcPr>
          <w:p w14:paraId="13FFBB86">
            <w:pPr>
              <w:spacing w:after="0" w:line="240" w:lineRule="auto"/>
              <w:rPr>
                <w:rFonts w:ascii="Times New Roman" w:hAnsi="Times New Roman" w:cs="Times New Roman"/>
              </w:rPr>
            </w:pPr>
            <w:r>
              <w:rPr>
                <w:rFonts w:ascii="Times New Roman" w:hAnsi="Times New Roman" w:cs="Times New Roman"/>
              </w:rPr>
              <w:t>Primary malignant ovarian                             Germ cell tumor</w:t>
            </w:r>
          </w:p>
          <w:p w14:paraId="17E41935">
            <w:pPr>
              <w:spacing w:after="0" w:line="240" w:lineRule="auto"/>
              <w:rPr>
                <w:rFonts w:ascii="Times New Roman" w:hAnsi="Times New Roman" w:cs="Times New Roman"/>
              </w:rPr>
            </w:pPr>
            <w:r>
              <w:rPr>
                <w:rFonts w:ascii="Times New Roman" w:hAnsi="Times New Roman" w:cs="Times New Roman"/>
              </w:rPr>
              <w:t xml:space="preserve">                                                                        Epithelial carcinoma</w:t>
            </w:r>
          </w:p>
          <w:p w14:paraId="5D23CF69">
            <w:pPr>
              <w:spacing w:after="0" w:line="240" w:lineRule="auto"/>
              <w:rPr>
                <w:rFonts w:ascii="Times New Roman" w:hAnsi="Times New Roman" w:cs="Times New Roman"/>
              </w:rPr>
            </w:pPr>
            <w:r>
              <w:rPr>
                <w:rFonts w:ascii="Times New Roman" w:hAnsi="Times New Roman" w:cs="Times New Roman"/>
              </w:rPr>
              <w:t xml:space="preserve">                                                                        Sex-cord tumor</w:t>
            </w:r>
          </w:p>
        </w:tc>
      </w:tr>
      <w:tr w14:paraId="0F5BF4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50" w:type="dxa"/>
          </w:tcPr>
          <w:p w14:paraId="0AC15C51">
            <w:pPr>
              <w:spacing w:after="0" w:line="240" w:lineRule="auto"/>
              <w:rPr>
                <w:rFonts w:ascii="Times New Roman" w:hAnsi="Times New Roman" w:cs="Times New Roman"/>
              </w:rPr>
            </w:pPr>
            <w:r>
              <w:rPr>
                <w:rFonts w:ascii="Times New Roman" w:hAnsi="Times New Roman" w:cs="Times New Roman"/>
              </w:rPr>
              <w:t xml:space="preserve">Secondary malignant ovarian                         Predominantly breast and gastrointestinal                                                                                                                               </w:t>
            </w:r>
          </w:p>
        </w:tc>
      </w:tr>
    </w:tbl>
    <w:p w14:paraId="3CB01B78">
      <w:pPr>
        <w:rPr>
          <w:rFonts w:ascii="Times New Roman" w:hAnsi="Times New Roman" w:cs="Times New Roman"/>
        </w:rPr>
      </w:pPr>
    </w:p>
    <w:p w14:paraId="58B3DEE3">
      <w:pPr>
        <w:rPr>
          <w:rFonts w:ascii="Times New Roman" w:hAnsi="Times New Roman" w:cs="Times New Roman"/>
        </w:rPr>
      </w:pPr>
      <w:r>
        <w:rPr>
          <w:rFonts w:ascii="Times New Roman" w:hAnsi="Times New Roman" w:cs="Times New Roman"/>
        </w:rPr>
        <w:t>A thorough medical history with specific attention to risk factors or protective factors for ovarian malignancy and a family history of ovarian or breast cancer.</w:t>
      </w:r>
    </w:p>
    <w:p w14:paraId="00FD6DBD">
      <w:pPr>
        <w:rPr>
          <w:rFonts w:ascii="Times New Roman" w:hAnsi="Times New Roman" w:cs="Times New Roman"/>
        </w:rPr>
      </w:pPr>
    </w:p>
    <w:p w14:paraId="1BD90684">
      <w:pPr>
        <w:rPr>
          <w:rFonts w:ascii="Times New Roman" w:hAnsi="Times New Roman" w:cs="Times New Roman"/>
        </w:rPr>
      </w:pPr>
      <w:r>
        <w:rPr>
          <w:rFonts w:ascii="Times New Roman" w:hAnsi="Times New Roman" w:cs="Times New Roman"/>
        </w:rPr>
        <w:t xml:space="preserve"> A careful physical examination is essential and should include abdominal and vaginal examination and the presence or absence of local lymphadenopathy. In the acute presentation with pain the diagnosis of accident to the ovarian cyst should be considered (torsion, rupture, hemorrhage).</w:t>
      </w:r>
    </w:p>
    <w:p w14:paraId="6921DA53">
      <w:pPr>
        <w:rPr>
          <w:rFonts w:ascii="Times New Roman" w:hAnsi="Times New Roman" w:cs="Times New Roman"/>
        </w:rPr>
      </w:pPr>
    </w:p>
    <w:p w14:paraId="6502BEC3">
      <w:pPr>
        <w:rPr>
          <w:rFonts w:ascii="Times New Roman" w:hAnsi="Times New Roman" w:cs="Times New Roman"/>
        </w:rPr>
      </w:pPr>
      <w:r>
        <w:rPr>
          <w:rFonts w:ascii="Times New Roman" w:hAnsi="Times New Roman" w:cs="Times New Roman"/>
        </w:rPr>
        <w:t xml:space="preserve">Although clinical examination has poor sensitivity in the detection of ovarian masses (15-51%) its importance lies in the evaluation of mass tenderness, mobility, nodularity and ascites. </w:t>
      </w:r>
    </w:p>
    <w:p w14:paraId="6B1928F9">
      <w:pPr>
        <w:rPr>
          <w:rFonts w:ascii="Times New Roman" w:hAnsi="Times New Roman" w:cs="Times New Roman"/>
        </w:rPr>
      </w:pPr>
    </w:p>
    <w:p w14:paraId="28CD14CE">
      <w:pPr>
        <w:pStyle w:val="2"/>
        <w:rPr>
          <w:rFonts w:ascii="Times New Roman" w:hAnsi="Times New Roman" w:cs="Times New Roman"/>
          <w:sz w:val="32"/>
          <w:szCs w:val="32"/>
        </w:rPr>
      </w:pPr>
      <w:r>
        <w:rPr>
          <w:rFonts w:ascii="Times New Roman" w:hAnsi="Times New Roman" w:cs="Times New Roman"/>
          <w:sz w:val="32"/>
          <w:szCs w:val="32"/>
        </w:rPr>
        <w:t>A Pelvic ultrasound is the single most effective way of evaluating an ovarian mass with transvaginal ultrasonography being preferable due to its increased sensitivity over transabdominal ultrasound.</w:t>
      </w:r>
    </w:p>
    <w:p w14:paraId="0F657DBC">
      <w:pPr>
        <w:rPr>
          <w:rFonts w:ascii="Times New Roman" w:hAnsi="Times New Roman" w:cs="Times New Roman"/>
        </w:rPr>
      </w:pPr>
    </w:p>
    <w:p w14:paraId="0872D4AB">
      <w:pPr>
        <w:rPr>
          <w:rFonts w:ascii="Times New Roman" w:hAnsi="Times New Roman" w:cs="Times New Roman"/>
        </w:rPr>
      </w:pPr>
      <w:r>
        <w:rPr>
          <w:rFonts w:ascii="Times New Roman" w:hAnsi="Times New Roman" w:cs="Times New Roman"/>
        </w:rPr>
        <w:t xml:space="preserve">At present the Risk of Malignancy Index (RMI) is the most widely used model but recent studies have shown a specific model of ultrasound parameters, the ultrasound rules derived from the International Ovarian Tumor Analysis(IOTA) Group,O-RADS to have increased sensitivity and specificity. </w:t>
      </w:r>
    </w:p>
    <w:p w14:paraId="7F0F42B2">
      <w:pPr>
        <w:pStyle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32"/>
          <w:szCs w:val="32"/>
        </w:rPr>
        <w:t>Risk Of Malignancy Index</w:t>
      </w:r>
    </w:p>
    <w:p w14:paraId="4AF88166">
      <w:pPr>
        <w:rPr>
          <w:rFonts w:ascii="Times New Roman" w:hAnsi="Times New Roman" w:cs="Times New Roman"/>
        </w:rPr>
      </w:pPr>
    </w:p>
    <w:p w14:paraId="4B186B80">
      <w:pPr>
        <w:rPr>
          <w:rFonts w:ascii="Times New Roman" w:hAnsi="Times New Roman" w:cs="Times New Roman"/>
        </w:rPr>
      </w:pPr>
      <w:r>
        <w:rPr>
          <w:rFonts w:ascii="Times New Roman" w:hAnsi="Times New Roman" w:cs="Times New Roman"/>
        </w:rPr>
        <w:t>The RMI is simple to use and reproducible, but its utility is negatively affected in the premenopausal woman. This is primarily because of the incidence of endometriomas, borderline ovarian tumors, non-epithelial ovarian tumors and other pathologies increasing the level of CA-125 in this group.</w:t>
      </w:r>
    </w:p>
    <w:p w14:paraId="6B49BD4C">
      <w:pPr>
        <w:rPr>
          <w:rFonts w:ascii="Times New Roman" w:hAnsi="Times New Roman" w:cs="Times New Roman"/>
        </w:rPr>
      </w:pPr>
    </w:p>
    <w:p w14:paraId="6B15451B">
      <w:pPr>
        <w:pStyle w:val="2"/>
        <w:rPr>
          <w:rFonts w:ascii="Times New Roman" w:hAnsi="Times New Roman" w:cs="Times New Roman"/>
          <w:sz w:val="36"/>
          <w:szCs w:val="36"/>
        </w:rPr>
      </w:pPr>
      <w:r>
        <w:rPr>
          <w:rFonts w:ascii="Times New Roman" w:hAnsi="Times New Roman" w:cs="Times New Roman"/>
          <w:sz w:val="36"/>
          <w:szCs w:val="36"/>
        </w:rPr>
        <w:t>RMI sensitivity 78%, specificity 87%</w:t>
      </w:r>
    </w:p>
    <w:p w14:paraId="0F633051">
      <w:pPr>
        <w:rPr>
          <w:rFonts w:ascii="Times New Roman" w:hAnsi="Times New Roman" w:cs="Times New Roman"/>
        </w:rPr>
      </w:pPr>
    </w:p>
    <w:p w14:paraId="6B2890AF">
      <w:pPr>
        <w:rPr>
          <w:rFonts w:ascii="Times New Roman" w:hAnsi="Times New Roman" w:cs="Times New Roman"/>
        </w:rPr>
      </w:pPr>
    </w:p>
    <w:p w14:paraId="6439F182">
      <w:pPr>
        <w:pStyle w:val="2"/>
        <w:rPr>
          <w:rFonts w:ascii="Times New Roman" w:hAnsi="Times New Roman" w:cs="Times New Roman"/>
          <w:sz w:val="32"/>
          <w:szCs w:val="32"/>
        </w:rPr>
      </w:pPr>
      <w:r>
        <w:rPr>
          <w:rFonts w:ascii="Times New Roman" w:hAnsi="Times New Roman" w:cs="Times New Roman"/>
          <w:sz w:val="32"/>
          <w:szCs w:val="32"/>
        </w:rPr>
        <w:t xml:space="preserve"> IMAGING</w:t>
      </w:r>
    </w:p>
    <w:p w14:paraId="056A014E">
      <w:pPr>
        <w:rPr>
          <w:rFonts w:ascii="Times New Roman" w:hAnsi="Times New Roman" w:cs="Times New Roman"/>
        </w:rPr>
      </w:pPr>
    </w:p>
    <w:p w14:paraId="3BA93862">
      <w:pPr>
        <w:rPr>
          <w:rFonts w:ascii="Times New Roman" w:hAnsi="Times New Roman" w:cs="Times New Roman"/>
        </w:rPr>
      </w:pPr>
      <w:r>
        <w:rPr>
          <w:rFonts w:ascii="Times New Roman" w:hAnsi="Times New Roman" w:cs="Times New Roman"/>
        </w:rPr>
        <w:t>There are simple ultrasound rules derived from the IOTA Group. The use of specific ultrasound morphological findings without CA-125 has been shown to have high sensitivity, specificity and likelihood ratios.</w:t>
      </w:r>
    </w:p>
    <w:p w14:paraId="01DC02B8">
      <w:pPr>
        <w:rPr>
          <w:rFonts w:ascii="Times New Roman" w:hAnsi="Times New Roman" w:cs="Times New Roman"/>
        </w:rPr>
      </w:pPr>
    </w:p>
    <w:p w14:paraId="65BBAE83">
      <w:pPr>
        <w:rPr>
          <w:rFonts w:ascii="Times New Roman" w:hAnsi="Times New Roman" w:cs="Times New Roman"/>
        </w:rPr>
      </w:pPr>
      <w:r>
        <w:rPr>
          <w:rFonts w:ascii="Times New Roman" w:hAnsi="Times New Roman" w:cs="Times New Roman"/>
        </w:rPr>
        <w:t>If not clearly classifiable from these rules, further investigation by a specialist in gynaecological ultrasound is appropriate.</w:t>
      </w:r>
    </w:p>
    <w:p w14:paraId="00321DEF">
      <w:pPr>
        <w:rPr>
          <w:rFonts w:ascii="Times New Roman" w:hAnsi="Times New Roman" w:cs="Times New Roman"/>
        </w:rPr>
      </w:pPr>
    </w:p>
    <w:p w14:paraId="452AEDBA">
      <w:pPr>
        <w:rPr>
          <w:rFonts w:ascii="Times New Roman" w:hAnsi="Times New Roman" w:cs="Times New Roman"/>
        </w:rPr>
      </w:pPr>
      <w:r>
        <w:rPr>
          <w:rFonts w:ascii="Times New Roman" w:hAnsi="Times New Roman" w:cs="Times New Roman"/>
        </w:rPr>
        <w:t>Simple ultrasound rules were developed to help classify masses as benign (B-rules) or malignant (M-rules). Using these rules the reported sensitivity was 95%, specificity 91%, positive likelihood ratio of 10.37 and negative likelihood ratio of 0.06.</w:t>
      </w:r>
    </w:p>
    <w:p w14:paraId="7091E98C">
      <w:pPr>
        <w:pStyle w:val="2"/>
        <w:rPr>
          <w:rFonts w:ascii="Times New Roman" w:hAnsi="Times New Roman" w:cs="Times New Roman"/>
          <w:sz w:val="28"/>
          <w:szCs w:val="28"/>
        </w:rPr>
      </w:pPr>
      <w:r>
        <w:rPr>
          <w:rFonts w:ascii="Times New Roman" w:hAnsi="Times New Roman" w:cs="Times New Roman"/>
          <w:sz w:val="28"/>
          <w:szCs w:val="28"/>
        </w:rPr>
        <w:t xml:space="preserve"> IOTA Simple Rules</w:t>
      </w:r>
    </w:p>
    <w:p w14:paraId="00D5C758">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581E8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83CAEB" w:themeFill="accent1" w:themeFillTint="66"/>
          </w:tcPr>
          <w:p w14:paraId="73D3DC9F">
            <w:pPr>
              <w:pStyle w:val="2"/>
              <w:spacing w:line="240" w:lineRule="auto"/>
              <w:rPr>
                <w:rFonts w:ascii="Times New Roman" w:hAnsi="Times New Roman" w:cs="Times New Roman"/>
                <w:sz w:val="24"/>
                <w:szCs w:val="24"/>
              </w:rPr>
            </w:pPr>
            <w:r>
              <w:rPr>
                <w:rFonts w:ascii="Times New Roman" w:hAnsi="Times New Roman" w:cs="Times New Roman"/>
                <w:sz w:val="24"/>
                <w:szCs w:val="24"/>
              </w:rPr>
              <w:t>Rules for predicting a malignant tumor</w:t>
            </w:r>
          </w:p>
          <w:p w14:paraId="4DB77173">
            <w:pPr>
              <w:spacing w:after="0" w:line="240" w:lineRule="auto"/>
              <w:rPr>
                <w:rFonts w:ascii="Times New Roman" w:hAnsi="Times New Roman" w:cs="Times New Roman"/>
              </w:rPr>
            </w:pPr>
            <w:r>
              <w:rPr>
                <w:rFonts w:ascii="Times New Roman" w:hAnsi="Times New Roman" w:cs="Times New Roman"/>
              </w:rPr>
              <w:t>(M-rules)</w:t>
            </w:r>
          </w:p>
        </w:tc>
        <w:tc>
          <w:tcPr>
            <w:tcW w:w="4675" w:type="dxa"/>
            <w:shd w:val="clear" w:color="auto" w:fill="83CAEB" w:themeFill="accent1" w:themeFillTint="66"/>
          </w:tcPr>
          <w:p w14:paraId="47DAD671">
            <w:pPr>
              <w:pStyle w:val="2"/>
              <w:spacing w:line="240" w:lineRule="auto"/>
              <w:rPr>
                <w:rFonts w:ascii="Times New Roman" w:hAnsi="Times New Roman" w:cs="Times New Roman"/>
                <w:sz w:val="24"/>
                <w:szCs w:val="24"/>
              </w:rPr>
            </w:pPr>
            <w:r>
              <w:rPr>
                <w:rFonts w:ascii="Times New Roman" w:hAnsi="Times New Roman" w:cs="Times New Roman"/>
                <w:sz w:val="24"/>
                <w:szCs w:val="24"/>
              </w:rPr>
              <w:t>Rules for predicting a benign tumor</w:t>
            </w:r>
          </w:p>
          <w:p w14:paraId="0A70BF3D">
            <w:pPr>
              <w:spacing w:after="0" w:line="240" w:lineRule="auto"/>
              <w:rPr>
                <w:rFonts w:ascii="Times New Roman" w:hAnsi="Times New Roman" w:cs="Times New Roman"/>
              </w:rPr>
            </w:pPr>
            <w:r>
              <w:rPr>
                <w:rFonts w:ascii="Times New Roman" w:hAnsi="Times New Roman" w:cs="Times New Roman"/>
              </w:rPr>
              <w:t>(B-rules)</w:t>
            </w:r>
          </w:p>
        </w:tc>
      </w:tr>
      <w:tr w14:paraId="36F25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D9F2D0" w:themeFill="accent6" w:themeFillTint="33"/>
          </w:tcPr>
          <w:p w14:paraId="470DD333">
            <w:pPr>
              <w:pStyle w:val="2"/>
              <w:spacing w:line="240" w:lineRule="auto"/>
              <w:rPr>
                <w:rFonts w:ascii="Times New Roman" w:hAnsi="Times New Roman" w:cs="Times New Roman"/>
                <w:sz w:val="24"/>
                <w:szCs w:val="24"/>
              </w:rPr>
            </w:pPr>
            <w:r>
              <w:rPr>
                <w:rFonts w:ascii="Times New Roman" w:hAnsi="Times New Roman" w:cs="Times New Roman"/>
                <w:sz w:val="24"/>
                <w:szCs w:val="24"/>
              </w:rPr>
              <w:t>M1- Irregular solid tumor</w:t>
            </w:r>
          </w:p>
        </w:tc>
        <w:tc>
          <w:tcPr>
            <w:tcW w:w="4675" w:type="dxa"/>
            <w:shd w:val="clear" w:color="auto" w:fill="D9F2D0" w:themeFill="accent6" w:themeFillTint="33"/>
          </w:tcPr>
          <w:p w14:paraId="67511DC0">
            <w:pPr>
              <w:pStyle w:val="2"/>
              <w:spacing w:line="240" w:lineRule="auto"/>
              <w:rPr>
                <w:rFonts w:ascii="Times New Roman" w:hAnsi="Times New Roman" w:cs="Times New Roman"/>
                <w:sz w:val="24"/>
                <w:szCs w:val="24"/>
              </w:rPr>
            </w:pPr>
            <w:r>
              <w:rPr>
                <w:rFonts w:ascii="Times New Roman" w:hAnsi="Times New Roman" w:cs="Times New Roman"/>
                <w:sz w:val="24"/>
                <w:szCs w:val="24"/>
              </w:rPr>
              <w:t>B1- Unilocular cyst</w:t>
            </w:r>
          </w:p>
        </w:tc>
      </w:tr>
      <w:tr w14:paraId="571EA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498D325">
            <w:pPr>
              <w:pStyle w:val="2"/>
              <w:spacing w:line="240" w:lineRule="auto"/>
              <w:rPr>
                <w:rFonts w:ascii="Times New Roman" w:hAnsi="Times New Roman" w:cs="Times New Roman"/>
                <w:color w:val="BFBFBF" w:themeColor="background1" w:themeShade="BF"/>
                <w:sz w:val="24"/>
                <w:szCs w:val="24"/>
              </w:rPr>
            </w:pPr>
            <w:r>
              <w:rPr>
                <w:rFonts w:ascii="Times New Roman" w:hAnsi="Times New Roman" w:cs="Times New Roman"/>
                <w:sz w:val="24"/>
                <w:szCs w:val="24"/>
              </w:rPr>
              <w:t>M2- Presence of ascites</w:t>
            </w:r>
          </w:p>
        </w:tc>
        <w:tc>
          <w:tcPr>
            <w:tcW w:w="4675" w:type="dxa"/>
          </w:tcPr>
          <w:p w14:paraId="64D2E051">
            <w:pPr>
              <w:pStyle w:val="2"/>
              <w:spacing w:line="240" w:lineRule="auto"/>
              <w:rPr>
                <w:rFonts w:ascii="Times New Roman" w:hAnsi="Times New Roman" w:cs="Times New Roman"/>
                <w:sz w:val="24"/>
                <w:szCs w:val="24"/>
              </w:rPr>
            </w:pPr>
            <w:r>
              <w:rPr>
                <w:rFonts w:ascii="Times New Roman" w:hAnsi="Times New Roman" w:cs="Times New Roman"/>
                <w:sz w:val="24"/>
                <w:szCs w:val="24"/>
              </w:rPr>
              <w:t>B2- Presence of solid component where largest solid component is less than 7mm in largest diameter</w:t>
            </w:r>
          </w:p>
        </w:tc>
      </w:tr>
      <w:tr w14:paraId="47908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D9F2D0" w:themeFill="accent6" w:themeFillTint="33"/>
          </w:tcPr>
          <w:p w14:paraId="7942B7C5">
            <w:pPr>
              <w:pStyle w:val="2"/>
              <w:spacing w:line="240" w:lineRule="auto"/>
              <w:rPr>
                <w:rFonts w:ascii="Times New Roman" w:hAnsi="Times New Roman" w:cs="Times New Roman"/>
                <w:sz w:val="24"/>
                <w:szCs w:val="24"/>
              </w:rPr>
            </w:pPr>
            <w:r>
              <w:rPr>
                <w:rFonts w:ascii="Times New Roman" w:hAnsi="Times New Roman" w:cs="Times New Roman"/>
                <w:sz w:val="24"/>
                <w:szCs w:val="24"/>
              </w:rPr>
              <w:t>M3- At least 4 papillary structure</w:t>
            </w:r>
          </w:p>
        </w:tc>
        <w:tc>
          <w:tcPr>
            <w:tcW w:w="4675" w:type="dxa"/>
            <w:shd w:val="clear" w:color="auto" w:fill="D9F2D0" w:themeFill="accent6" w:themeFillTint="33"/>
          </w:tcPr>
          <w:p w14:paraId="10817853">
            <w:pPr>
              <w:pStyle w:val="2"/>
              <w:spacing w:line="240" w:lineRule="auto"/>
              <w:rPr>
                <w:rFonts w:ascii="Times New Roman" w:hAnsi="Times New Roman" w:cs="Times New Roman"/>
                <w:sz w:val="24"/>
                <w:szCs w:val="24"/>
              </w:rPr>
            </w:pPr>
            <w:r>
              <w:rPr>
                <w:rFonts w:ascii="Times New Roman" w:hAnsi="Times New Roman" w:cs="Times New Roman"/>
                <w:sz w:val="24"/>
                <w:szCs w:val="24"/>
              </w:rPr>
              <w:t>B3- Presence of acoustic shadows</w:t>
            </w:r>
          </w:p>
        </w:tc>
      </w:tr>
      <w:tr w14:paraId="1221D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A05C6D7">
            <w:pPr>
              <w:pStyle w:val="2"/>
              <w:spacing w:line="240" w:lineRule="auto"/>
              <w:rPr>
                <w:rFonts w:ascii="Times New Roman" w:hAnsi="Times New Roman" w:cs="Times New Roman"/>
                <w:sz w:val="24"/>
                <w:szCs w:val="24"/>
              </w:rPr>
            </w:pPr>
            <w:r>
              <w:rPr>
                <w:rFonts w:ascii="Times New Roman" w:hAnsi="Times New Roman" w:cs="Times New Roman"/>
                <w:sz w:val="24"/>
                <w:szCs w:val="24"/>
              </w:rPr>
              <w:t>M4- Irregular multilocular solid tumor with largest diameter greater 100mm</w:t>
            </w:r>
          </w:p>
        </w:tc>
        <w:tc>
          <w:tcPr>
            <w:tcW w:w="4675" w:type="dxa"/>
          </w:tcPr>
          <w:p w14:paraId="1713DF46">
            <w:pPr>
              <w:pStyle w:val="2"/>
              <w:spacing w:line="240" w:lineRule="auto"/>
              <w:rPr>
                <w:rFonts w:ascii="Times New Roman" w:hAnsi="Times New Roman" w:cs="Times New Roman"/>
                <w:sz w:val="24"/>
                <w:szCs w:val="24"/>
              </w:rPr>
            </w:pPr>
            <w:r>
              <w:rPr>
                <w:rFonts w:ascii="Times New Roman" w:hAnsi="Times New Roman" w:cs="Times New Roman"/>
                <w:sz w:val="24"/>
                <w:szCs w:val="24"/>
              </w:rPr>
              <w:t>B4- Smooth multilocular tumor with largest diameter less than 100mm</w:t>
            </w:r>
          </w:p>
        </w:tc>
      </w:tr>
      <w:tr w14:paraId="4446A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D9F2D0" w:themeFill="accent6" w:themeFillTint="33"/>
          </w:tcPr>
          <w:p w14:paraId="37BBE131">
            <w:pPr>
              <w:pStyle w:val="2"/>
              <w:spacing w:line="240" w:lineRule="auto"/>
              <w:rPr>
                <w:rFonts w:ascii="Times New Roman" w:hAnsi="Times New Roman" w:cs="Times New Roman"/>
                <w:sz w:val="24"/>
                <w:szCs w:val="24"/>
              </w:rPr>
            </w:pPr>
            <w:r>
              <w:rPr>
                <w:rFonts w:ascii="Times New Roman" w:hAnsi="Times New Roman" w:cs="Times New Roman"/>
                <w:sz w:val="24"/>
                <w:szCs w:val="24"/>
              </w:rPr>
              <w:t>M5- Very strong blood flow (color score 4)</w:t>
            </w:r>
          </w:p>
        </w:tc>
        <w:tc>
          <w:tcPr>
            <w:tcW w:w="4675" w:type="dxa"/>
            <w:shd w:val="clear" w:color="auto" w:fill="D9F2D0" w:themeFill="accent6" w:themeFillTint="33"/>
          </w:tcPr>
          <w:p w14:paraId="7DF2EF6E">
            <w:pPr>
              <w:pStyle w:val="2"/>
              <w:spacing w:line="240" w:lineRule="auto"/>
              <w:rPr>
                <w:rFonts w:ascii="Times New Roman" w:hAnsi="Times New Roman" w:cs="Times New Roman"/>
                <w:sz w:val="24"/>
                <w:szCs w:val="24"/>
              </w:rPr>
            </w:pPr>
            <w:r>
              <w:rPr>
                <w:rFonts w:ascii="Times New Roman" w:hAnsi="Times New Roman" w:cs="Times New Roman"/>
                <w:sz w:val="24"/>
                <w:szCs w:val="24"/>
              </w:rPr>
              <w:t>B5- No blood flow (color score1)</w:t>
            </w:r>
          </w:p>
        </w:tc>
      </w:tr>
    </w:tbl>
    <w:p w14:paraId="6E646741">
      <w:pPr>
        <w:pStyle w:val="2"/>
        <w:rPr>
          <w:rFonts w:ascii="Times New Roman" w:hAnsi="Times New Roman" w:cs="Times New Roman"/>
          <w:sz w:val="24"/>
          <w:szCs w:val="24"/>
        </w:rPr>
      </w:pPr>
    </w:p>
    <w:p w14:paraId="5B17F515">
      <w:pPr>
        <w:pStyle w:val="2"/>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 IOTA LR1</w:t>
      </w:r>
      <w:r>
        <w:rPr>
          <w:rFonts w:hint="default" w:ascii="Times New Roman" w:hAnsi="Times New Roman" w:cs="Times New Roman"/>
          <w:sz w:val="28"/>
          <w:szCs w:val="28"/>
          <w:lang w:val="en-US"/>
        </w:rPr>
        <w:t>(Logistic Regression)</w:t>
      </w:r>
      <w:r>
        <w:rPr>
          <w:rFonts w:ascii="Times New Roman" w:hAnsi="Times New Roman" w:cs="Times New Roman"/>
          <w:sz w:val="28"/>
          <w:szCs w:val="28"/>
        </w:rPr>
        <w:t>-more sensitive</w:t>
      </w:r>
    </w:p>
    <w:p w14:paraId="2816CAE3">
      <w:pPr>
        <w:pStyle w:val="2"/>
        <w:rPr>
          <w:rFonts w:ascii="Times New Roman" w:hAnsi="Times New Roman" w:cs="Times New Roman"/>
          <w:sz w:val="24"/>
          <w:szCs w:val="24"/>
        </w:rPr>
      </w:pPr>
      <w:r>
        <w:rPr>
          <w:rFonts w:ascii="Times New Roman" w:hAnsi="Times New Roman" w:cs="Times New Roman"/>
          <w:sz w:val="24"/>
          <w:szCs w:val="24"/>
        </w:rPr>
        <w:t>Input Variables:</w:t>
      </w:r>
    </w:p>
    <w:p w14:paraId="06DDD569">
      <w:pPr>
        <w:pStyle w:val="31"/>
        <w:numPr>
          <w:ilvl w:val="0"/>
          <w:numId w:val="1"/>
        </w:numPr>
        <w:rPr>
          <w:rFonts w:ascii="Times New Roman" w:hAnsi="Times New Roman" w:cs="Times New Roman"/>
        </w:rPr>
      </w:pPr>
      <w:r>
        <w:rPr>
          <w:rFonts w:ascii="Times New Roman" w:hAnsi="Times New Roman" w:cs="Times New Roman"/>
        </w:rPr>
        <w:t>The LR1 model has 12 specific variables. E.g. personal history of ovarian cancer, hormonal therapy use, lesion size, presence of blood flow.</w:t>
      </w:r>
    </w:p>
    <w:p w14:paraId="1F5D06A4">
      <w:pPr>
        <w:pStyle w:val="2"/>
        <w:rPr>
          <w:rFonts w:ascii="Times New Roman" w:hAnsi="Times New Roman" w:cs="Times New Roman"/>
          <w:sz w:val="24"/>
          <w:szCs w:val="24"/>
        </w:rPr>
      </w:pPr>
      <w:r>
        <w:rPr>
          <w:rFonts w:ascii="Times New Roman" w:hAnsi="Times New Roman" w:cs="Times New Roman"/>
          <w:sz w:val="24"/>
          <w:szCs w:val="24"/>
        </w:rPr>
        <w:t>Calculation:</w:t>
      </w:r>
    </w:p>
    <w:p w14:paraId="0011DE34">
      <w:pPr>
        <w:pStyle w:val="31"/>
        <w:numPr>
          <w:ilvl w:val="0"/>
          <w:numId w:val="1"/>
        </w:numPr>
        <w:rPr>
          <w:rFonts w:ascii="Times New Roman" w:hAnsi="Times New Roman" w:cs="Times New Roman"/>
        </w:rPr>
      </w:pPr>
      <w:r>
        <w:rPr>
          <w:rFonts w:ascii="Times New Roman" w:hAnsi="Times New Roman" w:cs="Times New Roman"/>
        </w:rPr>
        <w:t>These variables are fed into a formula that calculates a probability of malignancy.</w:t>
      </w:r>
    </w:p>
    <w:p w14:paraId="4EBF8FBD">
      <w:pPr>
        <w:pStyle w:val="2"/>
        <w:rPr>
          <w:rFonts w:ascii="Times New Roman" w:hAnsi="Times New Roman" w:cs="Times New Roman"/>
          <w:sz w:val="24"/>
          <w:szCs w:val="24"/>
        </w:rPr>
      </w:pPr>
      <w:r>
        <w:rPr>
          <w:rFonts w:ascii="Times New Roman" w:hAnsi="Times New Roman" w:cs="Times New Roman"/>
          <w:sz w:val="24"/>
          <w:szCs w:val="24"/>
        </w:rPr>
        <w:t>Outcome:</w:t>
      </w:r>
    </w:p>
    <w:p w14:paraId="279BCB53">
      <w:pPr>
        <w:pStyle w:val="31"/>
        <w:numPr>
          <w:ilvl w:val="0"/>
          <w:numId w:val="1"/>
        </w:numPr>
        <w:rPr>
          <w:rFonts w:ascii="Times New Roman" w:hAnsi="Times New Roman" w:cs="Times New Roman"/>
        </w:rPr>
      </w:pPr>
      <w:r>
        <w:rPr>
          <w:rFonts w:ascii="Times New Roman" w:hAnsi="Times New Roman" w:cs="Times New Roman"/>
        </w:rPr>
        <w:t>A probability score is generated, which is then used to classify the mass as likely benign or malignant.</w:t>
      </w:r>
    </w:p>
    <w:p w14:paraId="66184BC7">
      <w:pPr>
        <w:pStyle w:val="2"/>
        <w:rPr>
          <w:rFonts w:ascii="Times New Roman" w:hAnsi="Times New Roman" w:cs="Times New Roman"/>
          <w:sz w:val="28"/>
          <w:szCs w:val="28"/>
        </w:rPr>
      </w:pPr>
      <w:r>
        <w:rPr>
          <w:rFonts w:ascii="Times New Roman" w:hAnsi="Times New Roman" w:cs="Times New Roman"/>
          <w:sz w:val="28"/>
          <w:szCs w:val="28"/>
        </w:rPr>
        <w:t xml:space="preserve"> IOTA LR2</w:t>
      </w:r>
      <w:r>
        <w:rPr>
          <w:rFonts w:hint="default" w:ascii="Times New Roman" w:hAnsi="Times New Roman" w:cs="Times New Roman"/>
          <w:sz w:val="28"/>
          <w:szCs w:val="28"/>
          <w:lang w:val="en-US"/>
        </w:rPr>
        <w:t>(Logistic Regression)</w:t>
      </w:r>
      <w:r>
        <w:rPr>
          <w:rFonts w:ascii="Times New Roman" w:hAnsi="Times New Roman" w:cs="Times New Roman"/>
          <w:sz w:val="28"/>
          <w:szCs w:val="28"/>
        </w:rPr>
        <w:t>-more specific</w:t>
      </w:r>
    </w:p>
    <w:p w14:paraId="42AE38FC">
      <w:pPr>
        <w:pStyle w:val="2"/>
        <w:rPr>
          <w:rFonts w:ascii="Times New Roman" w:hAnsi="Times New Roman" w:cs="Times New Roman"/>
          <w:sz w:val="24"/>
          <w:szCs w:val="24"/>
        </w:rPr>
      </w:pPr>
      <w:r>
        <w:rPr>
          <w:rFonts w:ascii="Times New Roman" w:hAnsi="Times New Roman" w:cs="Times New Roman"/>
          <w:sz w:val="24"/>
          <w:szCs w:val="24"/>
        </w:rPr>
        <w:t>Input Variables:</w:t>
      </w:r>
    </w:p>
    <w:p w14:paraId="42408313">
      <w:pPr>
        <w:pStyle w:val="31"/>
        <w:numPr>
          <w:ilvl w:val="0"/>
          <w:numId w:val="1"/>
        </w:numPr>
        <w:rPr>
          <w:rFonts w:ascii="Times New Roman" w:hAnsi="Times New Roman" w:cs="Times New Roman"/>
        </w:rPr>
      </w:pPr>
      <w:r>
        <w:rPr>
          <w:rFonts w:ascii="Times New Roman" w:hAnsi="Times New Roman" w:cs="Times New Roman"/>
        </w:rPr>
        <w:t>The model considers AGE and five USG features.</w:t>
      </w:r>
    </w:p>
    <w:p w14:paraId="14559A5C">
      <w:pPr>
        <w:pStyle w:val="2"/>
        <w:rPr>
          <w:rFonts w:ascii="Times New Roman" w:hAnsi="Times New Roman" w:cs="Times New Roman"/>
          <w:sz w:val="24"/>
          <w:szCs w:val="24"/>
        </w:rPr>
      </w:pPr>
      <w:r>
        <w:rPr>
          <w:rFonts w:ascii="Times New Roman" w:hAnsi="Times New Roman" w:cs="Times New Roman"/>
          <w:sz w:val="24"/>
          <w:szCs w:val="24"/>
        </w:rPr>
        <w:t>Predictive Power:</w:t>
      </w:r>
    </w:p>
    <w:p w14:paraId="57E59FE1">
      <w:pPr>
        <w:pStyle w:val="31"/>
        <w:numPr>
          <w:ilvl w:val="0"/>
          <w:numId w:val="1"/>
        </w:numPr>
        <w:rPr>
          <w:rFonts w:ascii="Times New Roman" w:hAnsi="Times New Roman" w:cs="Times New Roman"/>
        </w:rPr>
      </w:pPr>
      <w:r>
        <w:rPr>
          <w:rFonts w:ascii="Times New Roman" w:hAnsi="Times New Roman" w:cs="Times New Roman"/>
        </w:rPr>
        <w:t>It calculates a score that indicates the likelihood of the tumor being malignant.</w:t>
      </w:r>
    </w:p>
    <w:p w14:paraId="3D952F08">
      <w:pPr>
        <w:pStyle w:val="2"/>
        <w:rPr>
          <w:rFonts w:ascii="Times New Roman" w:hAnsi="Times New Roman" w:cs="Times New Roman"/>
          <w:sz w:val="24"/>
          <w:szCs w:val="24"/>
        </w:rPr>
      </w:pPr>
      <w:r>
        <w:rPr>
          <w:rFonts w:ascii="Times New Roman" w:hAnsi="Times New Roman" w:cs="Times New Roman"/>
          <w:sz w:val="24"/>
          <w:szCs w:val="24"/>
        </w:rPr>
        <w:t>Purpose:</w:t>
      </w:r>
    </w:p>
    <w:p w14:paraId="10FBEDEB">
      <w:pPr>
        <w:pStyle w:val="31"/>
        <w:numPr>
          <w:ilvl w:val="0"/>
          <w:numId w:val="1"/>
        </w:numPr>
        <w:rPr>
          <w:rFonts w:ascii="Times New Roman" w:hAnsi="Times New Roman" w:cs="Times New Roman"/>
        </w:rPr>
      </w:pPr>
      <w:r>
        <w:rPr>
          <w:rFonts w:ascii="Times New Roman" w:hAnsi="Times New Roman" w:cs="Times New Roman"/>
        </w:rPr>
        <w:t>LR2 helps classify adnexal masses as benign or malignant and can be used by non-expert examiners.</w:t>
      </w:r>
    </w:p>
    <w:p w14:paraId="73B56230">
      <w:pPr>
        <w:pStyle w:val="2"/>
        <w:rPr>
          <w:rFonts w:ascii="Times New Roman" w:hAnsi="Times New Roman" w:cs="Times New Roman"/>
          <w:sz w:val="32"/>
          <w:szCs w:val="32"/>
        </w:rPr>
      </w:pPr>
      <w:r>
        <w:rPr>
          <w:rFonts w:ascii="Times New Roman" w:hAnsi="Times New Roman" w:cs="Times New Roman"/>
          <w:sz w:val="32"/>
          <w:szCs w:val="32"/>
        </w:rPr>
        <w:t xml:space="preserve"> The ADNEX Model</w:t>
      </w:r>
    </w:p>
    <w:p w14:paraId="36EEC94C">
      <w:pPr>
        <w:rPr>
          <w:rFonts w:ascii="Times New Roman" w:hAnsi="Times New Roman" w:cs="Times New Roman"/>
        </w:rPr>
      </w:pPr>
    </w:p>
    <w:p w14:paraId="2009665B">
      <w:pPr>
        <w:pStyle w:val="31"/>
        <w:numPr>
          <w:ilvl w:val="0"/>
          <w:numId w:val="1"/>
        </w:numPr>
        <w:rPr>
          <w:rFonts w:ascii="Times New Roman" w:hAnsi="Times New Roman" w:cs="Times New Roman"/>
        </w:rPr>
      </w:pPr>
      <w:r>
        <w:rPr>
          <w:rFonts w:ascii="Times New Roman" w:hAnsi="Times New Roman" w:cs="Times New Roman"/>
        </w:rPr>
        <w:t>Assessment of different neoplasias in the adnexa.</w:t>
      </w:r>
    </w:p>
    <w:p w14:paraId="72050696">
      <w:pPr>
        <w:pStyle w:val="31"/>
        <w:numPr>
          <w:ilvl w:val="0"/>
          <w:numId w:val="1"/>
        </w:numPr>
        <w:rPr>
          <w:rFonts w:ascii="Times New Roman" w:hAnsi="Times New Roman" w:cs="Times New Roman"/>
        </w:rPr>
      </w:pPr>
      <w:r>
        <w:rPr>
          <w:rFonts w:ascii="Times New Roman" w:hAnsi="Times New Roman" w:cs="Times New Roman"/>
        </w:rPr>
        <w:t>The ADNEX Model was developed in 2014 by the IOTA group.</w:t>
      </w:r>
    </w:p>
    <w:p w14:paraId="4DBDF802">
      <w:pPr>
        <w:pStyle w:val="31"/>
        <w:numPr>
          <w:ilvl w:val="0"/>
          <w:numId w:val="1"/>
        </w:numPr>
        <w:rPr>
          <w:rFonts w:ascii="Times New Roman" w:hAnsi="Times New Roman" w:cs="Times New Roman"/>
        </w:rPr>
      </w:pPr>
      <w:r>
        <w:rPr>
          <w:rFonts w:ascii="Times New Roman" w:hAnsi="Times New Roman" w:cs="Times New Roman"/>
        </w:rPr>
        <w:t>To differentiate between benign, borderline tumors, stage1 invasive, stage 2-4 invasive ovarian cancer and secondary metastatic cancer.</w:t>
      </w:r>
    </w:p>
    <w:p w14:paraId="55B7B60F">
      <w:pPr>
        <w:pStyle w:val="31"/>
        <w:numPr>
          <w:ilvl w:val="0"/>
          <w:numId w:val="1"/>
        </w:numPr>
        <w:rPr>
          <w:rFonts w:ascii="Times New Roman" w:hAnsi="Times New Roman" w:cs="Times New Roman"/>
        </w:rPr>
      </w:pPr>
      <w:r>
        <w:rPr>
          <w:rFonts w:ascii="Times New Roman" w:hAnsi="Times New Roman" w:cs="Times New Roman"/>
        </w:rPr>
        <w:t>The model uses nine different predictors, three clinical and six ultrasound variables.</w:t>
      </w:r>
    </w:p>
    <w:p w14:paraId="10494381">
      <w:pPr>
        <w:pStyle w:val="2"/>
        <w:rPr>
          <w:rFonts w:ascii="Times New Roman" w:hAnsi="Times New Roman" w:cs="Times New Roman"/>
          <w:sz w:val="24"/>
          <w:szCs w:val="24"/>
        </w:rPr>
      </w:pPr>
      <w:r>
        <w:rPr>
          <w:rFonts w:ascii="Times New Roman" w:hAnsi="Times New Roman" w:cs="Times New Roman"/>
          <w:sz w:val="24"/>
          <w:szCs w:val="24"/>
        </w:rPr>
        <w:t>Clinical variable</w:t>
      </w:r>
    </w:p>
    <w:p w14:paraId="37E9734B">
      <w:pPr>
        <w:rPr>
          <w:rFonts w:ascii="Times New Roman" w:hAnsi="Times New Roman" w:cs="Times New Roman"/>
        </w:rPr>
      </w:pPr>
    </w:p>
    <w:p w14:paraId="2BABFACC">
      <w:pPr>
        <w:pStyle w:val="31"/>
        <w:numPr>
          <w:ilvl w:val="0"/>
          <w:numId w:val="2"/>
        </w:numPr>
        <w:rPr>
          <w:rFonts w:ascii="Times New Roman" w:hAnsi="Times New Roman" w:cs="Times New Roman"/>
        </w:rPr>
      </w:pPr>
      <w:r>
        <w:rPr>
          <w:rFonts w:ascii="Times New Roman" w:hAnsi="Times New Roman" w:cs="Times New Roman"/>
        </w:rPr>
        <w:t>Age</w:t>
      </w:r>
    </w:p>
    <w:p w14:paraId="7F2C0F12">
      <w:pPr>
        <w:pStyle w:val="31"/>
        <w:numPr>
          <w:ilvl w:val="0"/>
          <w:numId w:val="2"/>
        </w:numPr>
        <w:rPr>
          <w:rFonts w:ascii="Times New Roman" w:hAnsi="Times New Roman" w:cs="Times New Roman"/>
        </w:rPr>
      </w:pPr>
      <w:r>
        <w:rPr>
          <w:rFonts w:ascii="Times New Roman" w:hAnsi="Times New Roman" w:cs="Times New Roman"/>
        </w:rPr>
        <w:t>Serum CA-125 level</w:t>
      </w:r>
    </w:p>
    <w:p w14:paraId="2C148CE9">
      <w:pPr>
        <w:pStyle w:val="31"/>
        <w:numPr>
          <w:ilvl w:val="0"/>
          <w:numId w:val="2"/>
        </w:numPr>
        <w:rPr>
          <w:rFonts w:ascii="Times New Roman" w:hAnsi="Times New Roman" w:cs="Times New Roman"/>
        </w:rPr>
      </w:pPr>
      <w:r>
        <w:rPr>
          <w:rFonts w:ascii="Times New Roman" w:hAnsi="Times New Roman" w:cs="Times New Roman"/>
        </w:rPr>
        <w:t>The type of center (oncology centers vs other hospitals)</w:t>
      </w:r>
    </w:p>
    <w:p w14:paraId="560C584E">
      <w:pPr>
        <w:pStyle w:val="2"/>
        <w:rPr>
          <w:rFonts w:ascii="Times New Roman" w:hAnsi="Times New Roman" w:cs="Times New Roman"/>
          <w:sz w:val="24"/>
          <w:szCs w:val="24"/>
        </w:rPr>
      </w:pPr>
      <w:r>
        <w:rPr>
          <w:rFonts w:ascii="Times New Roman" w:hAnsi="Times New Roman" w:cs="Times New Roman"/>
          <w:sz w:val="24"/>
          <w:szCs w:val="24"/>
        </w:rPr>
        <w:t>Ultrasound predictors</w:t>
      </w:r>
    </w:p>
    <w:p w14:paraId="24138D57">
      <w:pPr>
        <w:rPr>
          <w:rFonts w:ascii="Times New Roman" w:hAnsi="Times New Roman" w:cs="Times New Roman"/>
        </w:rPr>
      </w:pPr>
    </w:p>
    <w:p w14:paraId="2B0E36AB">
      <w:pPr>
        <w:pStyle w:val="31"/>
        <w:numPr>
          <w:ilvl w:val="0"/>
          <w:numId w:val="3"/>
        </w:numPr>
        <w:rPr>
          <w:rFonts w:ascii="Times New Roman" w:hAnsi="Times New Roman" w:cs="Times New Roman"/>
        </w:rPr>
      </w:pPr>
      <w:r>
        <w:rPr>
          <w:rFonts w:ascii="Times New Roman" w:hAnsi="Times New Roman" w:cs="Times New Roman"/>
        </w:rPr>
        <w:t>Maximum diameter of the lesion</w:t>
      </w:r>
    </w:p>
    <w:p w14:paraId="794F4069">
      <w:pPr>
        <w:pStyle w:val="31"/>
        <w:numPr>
          <w:ilvl w:val="0"/>
          <w:numId w:val="3"/>
        </w:numPr>
        <w:rPr>
          <w:rFonts w:ascii="Times New Roman" w:hAnsi="Times New Roman" w:cs="Times New Roman"/>
        </w:rPr>
      </w:pPr>
      <w:r>
        <w:rPr>
          <w:rFonts w:ascii="Times New Roman" w:hAnsi="Times New Roman" w:cs="Times New Roman"/>
        </w:rPr>
        <w:t>The proportion of solid tissue</w:t>
      </w:r>
    </w:p>
    <w:p w14:paraId="514CB9F0">
      <w:pPr>
        <w:pStyle w:val="31"/>
        <w:numPr>
          <w:ilvl w:val="0"/>
          <w:numId w:val="3"/>
        </w:numPr>
        <w:rPr>
          <w:rFonts w:ascii="Times New Roman" w:hAnsi="Times New Roman" w:cs="Times New Roman"/>
        </w:rPr>
      </w:pPr>
      <w:r>
        <w:rPr>
          <w:rFonts w:ascii="Times New Roman" w:hAnsi="Times New Roman" w:cs="Times New Roman"/>
        </w:rPr>
        <w:t>More than ten cyst locules</w:t>
      </w:r>
    </w:p>
    <w:p w14:paraId="5A788FF3">
      <w:pPr>
        <w:pStyle w:val="31"/>
        <w:numPr>
          <w:ilvl w:val="0"/>
          <w:numId w:val="3"/>
        </w:numPr>
        <w:rPr>
          <w:rFonts w:ascii="Times New Roman" w:hAnsi="Times New Roman" w:cs="Times New Roman"/>
        </w:rPr>
      </w:pPr>
      <w:r>
        <w:rPr>
          <w:rFonts w:ascii="Times New Roman" w:hAnsi="Times New Roman" w:cs="Times New Roman"/>
        </w:rPr>
        <w:t>Number of papillary projections</w:t>
      </w:r>
    </w:p>
    <w:p w14:paraId="1DD177B3">
      <w:pPr>
        <w:pStyle w:val="31"/>
        <w:numPr>
          <w:ilvl w:val="0"/>
          <w:numId w:val="3"/>
        </w:numPr>
        <w:rPr>
          <w:rFonts w:ascii="Times New Roman" w:hAnsi="Times New Roman" w:cs="Times New Roman"/>
        </w:rPr>
      </w:pPr>
      <w:r>
        <w:rPr>
          <w:rFonts w:ascii="Times New Roman" w:hAnsi="Times New Roman" w:cs="Times New Roman"/>
        </w:rPr>
        <w:t>Acoustic shadows</w:t>
      </w:r>
    </w:p>
    <w:p w14:paraId="6F22F348">
      <w:pPr>
        <w:pStyle w:val="31"/>
        <w:numPr>
          <w:ilvl w:val="0"/>
          <w:numId w:val="3"/>
        </w:numPr>
        <w:rPr>
          <w:rFonts w:ascii="Times New Roman" w:hAnsi="Times New Roman" w:cs="Times New Roman"/>
        </w:rPr>
      </w:pPr>
      <w:r>
        <w:rPr>
          <w:rFonts w:ascii="Times New Roman" w:hAnsi="Times New Roman" w:cs="Times New Roman"/>
        </w:rPr>
        <w:t>Ascites</w:t>
      </w:r>
    </w:p>
    <w:p w14:paraId="078620D9">
      <w:pPr>
        <w:pStyle w:val="2"/>
        <w:rPr>
          <w:rFonts w:ascii="Times New Roman" w:hAnsi="Times New Roman" w:cs="Times New Roman"/>
          <w:sz w:val="36"/>
          <w:szCs w:val="36"/>
        </w:rPr>
      </w:pPr>
      <w:r>
        <w:rPr>
          <w:rFonts w:ascii="Times New Roman" w:hAnsi="Times New Roman" w:cs="Times New Roman"/>
          <w:sz w:val="36"/>
          <w:szCs w:val="36"/>
        </w:rPr>
        <w:t>Comparisons of various model</w:t>
      </w:r>
    </w:p>
    <w:tbl>
      <w:tblPr>
        <w:tblStyle w:val="16"/>
        <w:tblpPr w:leftFromText="180" w:rightFromText="180" w:vertAnchor="page" w:horzAnchor="margin" w:tblpY="3131"/>
        <w:tblW w:w="10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2054"/>
        <w:gridCol w:w="1648"/>
        <w:gridCol w:w="1446"/>
        <w:gridCol w:w="3342"/>
      </w:tblGrid>
      <w:tr w14:paraId="3AD139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8ED873" w:themeFill="accent6" w:themeFillTint="99"/>
          </w:tcPr>
          <w:p w14:paraId="436EB372">
            <w:pPr>
              <w:pStyle w:val="2"/>
              <w:spacing w:line="240" w:lineRule="auto"/>
              <w:rPr>
                <w:rFonts w:ascii="Times New Roman" w:hAnsi="Times New Roman" w:cs="Times New Roman"/>
                <w:sz w:val="24"/>
                <w:szCs w:val="24"/>
              </w:rPr>
            </w:pPr>
            <w:r>
              <w:rPr>
                <w:rFonts w:ascii="Times New Roman" w:hAnsi="Times New Roman" w:cs="Times New Roman"/>
                <w:sz w:val="24"/>
                <w:szCs w:val="24"/>
              </w:rPr>
              <w:t>Variable</w:t>
            </w:r>
          </w:p>
        </w:tc>
        <w:tc>
          <w:tcPr>
            <w:tcW w:w="2054" w:type="dxa"/>
            <w:shd w:val="clear" w:color="auto" w:fill="8ED873" w:themeFill="accent6" w:themeFillTint="99"/>
          </w:tcPr>
          <w:p w14:paraId="7DCFF790">
            <w:pPr>
              <w:pStyle w:val="2"/>
              <w:spacing w:line="240" w:lineRule="auto"/>
              <w:rPr>
                <w:rFonts w:ascii="Times New Roman" w:hAnsi="Times New Roman" w:cs="Times New Roman"/>
                <w:sz w:val="24"/>
                <w:szCs w:val="24"/>
              </w:rPr>
            </w:pPr>
            <w:r>
              <w:rPr>
                <w:rFonts w:ascii="Times New Roman" w:hAnsi="Times New Roman" w:cs="Times New Roman"/>
                <w:sz w:val="24"/>
                <w:szCs w:val="24"/>
              </w:rPr>
              <w:t>RMI</w:t>
            </w:r>
          </w:p>
        </w:tc>
        <w:tc>
          <w:tcPr>
            <w:tcW w:w="1648" w:type="dxa"/>
            <w:shd w:val="clear" w:color="auto" w:fill="8ED873" w:themeFill="accent6" w:themeFillTint="99"/>
          </w:tcPr>
          <w:p w14:paraId="5AA756F9">
            <w:pPr>
              <w:pStyle w:val="2"/>
              <w:spacing w:line="240" w:lineRule="auto"/>
              <w:rPr>
                <w:rFonts w:ascii="Times New Roman" w:hAnsi="Times New Roman" w:cs="Times New Roman"/>
                <w:sz w:val="24"/>
                <w:szCs w:val="24"/>
              </w:rPr>
            </w:pPr>
            <w:r>
              <w:rPr>
                <w:rFonts w:ascii="Times New Roman" w:hAnsi="Times New Roman" w:cs="Times New Roman"/>
                <w:sz w:val="24"/>
                <w:szCs w:val="24"/>
              </w:rPr>
              <w:t>IOTA-Simple Rules</w:t>
            </w:r>
          </w:p>
        </w:tc>
        <w:tc>
          <w:tcPr>
            <w:tcW w:w="1446" w:type="dxa"/>
            <w:shd w:val="clear" w:color="auto" w:fill="8ED873" w:themeFill="accent6" w:themeFillTint="99"/>
          </w:tcPr>
          <w:p w14:paraId="7ABC7FB6">
            <w:pPr>
              <w:pStyle w:val="2"/>
              <w:spacing w:line="240" w:lineRule="auto"/>
              <w:rPr>
                <w:rFonts w:ascii="Times New Roman" w:hAnsi="Times New Roman" w:cs="Times New Roman"/>
                <w:sz w:val="24"/>
                <w:szCs w:val="24"/>
              </w:rPr>
            </w:pPr>
            <w:r>
              <w:rPr>
                <w:rFonts w:ascii="Times New Roman" w:hAnsi="Times New Roman" w:cs="Times New Roman"/>
                <w:sz w:val="24"/>
                <w:szCs w:val="24"/>
              </w:rPr>
              <w:t>IOTA-LR1 &amp; LR2</w:t>
            </w:r>
          </w:p>
        </w:tc>
        <w:tc>
          <w:tcPr>
            <w:tcW w:w="3342" w:type="dxa"/>
            <w:shd w:val="clear" w:color="auto" w:fill="8ED873" w:themeFill="accent6" w:themeFillTint="99"/>
          </w:tcPr>
          <w:p w14:paraId="12642FE1">
            <w:pPr>
              <w:pStyle w:val="2"/>
              <w:spacing w:line="240" w:lineRule="auto"/>
              <w:rPr>
                <w:rFonts w:ascii="Times New Roman" w:hAnsi="Times New Roman" w:cs="Times New Roman"/>
                <w:sz w:val="24"/>
                <w:szCs w:val="24"/>
              </w:rPr>
            </w:pPr>
            <w:r>
              <w:rPr>
                <w:rFonts w:ascii="Times New Roman" w:hAnsi="Times New Roman" w:cs="Times New Roman"/>
                <w:sz w:val="24"/>
                <w:szCs w:val="24"/>
              </w:rPr>
              <w:t>IOTA-ADNEX</w:t>
            </w:r>
          </w:p>
        </w:tc>
      </w:tr>
      <w:tr w14:paraId="432B1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F1F1F1" w:themeFill="background1" w:themeFillShade="F2"/>
          </w:tcPr>
          <w:p w14:paraId="02A0A50E">
            <w:pPr>
              <w:pStyle w:val="2"/>
              <w:spacing w:line="240" w:lineRule="auto"/>
              <w:rPr>
                <w:rFonts w:ascii="Times New Roman" w:hAnsi="Times New Roman" w:cs="Times New Roman"/>
                <w:sz w:val="24"/>
                <w:szCs w:val="24"/>
              </w:rPr>
            </w:pPr>
            <w:r>
              <w:rPr>
                <w:rFonts w:ascii="Times New Roman" w:hAnsi="Times New Roman" w:cs="Times New Roman"/>
                <w:sz w:val="24"/>
                <w:szCs w:val="24"/>
              </w:rPr>
              <w:t>Year Developed</w:t>
            </w:r>
          </w:p>
        </w:tc>
        <w:tc>
          <w:tcPr>
            <w:tcW w:w="2054" w:type="dxa"/>
            <w:shd w:val="clear" w:color="auto" w:fill="F1F1F1" w:themeFill="background1" w:themeFillShade="F2"/>
          </w:tcPr>
          <w:p w14:paraId="78FC106E">
            <w:pPr>
              <w:spacing w:after="0" w:line="240" w:lineRule="auto"/>
              <w:rPr>
                <w:rFonts w:ascii="Times New Roman" w:hAnsi="Times New Roman" w:cs="Times New Roman"/>
              </w:rPr>
            </w:pPr>
            <w:r>
              <w:rPr>
                <w:rFonts w:ascii="Times New Roman" w:hAnsi="Times New Roman" w:cs="Times New Roman"/>
              </w:rPr>
              <w:t>1990</w:t>
            </w:r>
          </w:p>
        </w:tc>
        <w:tc>
          <w:tcPr>
            <w:tcW w:w="1648" w:type="dxa"/>
            <w:shd w:val="clear" w:color="auto" w:fill="F1F1F1" w:themeFill="background1" w:themeFillShade="F2"/>
          </w:tcPr>
          <w:p w14:paraId="69450240">
            <w:pPr>
              <w:spacing w:after="0" w:line="240" w:lineRule="auto"/>
              <w:rPr>
                <w:rFonts w:ascii="Times New Roman" w:hAnsi="Times New Roman" w:cs="Times New Roman"/>
              </w:rPr>
            </w:pPr>
            <w:r>
              <w:rPr>
                <w:rFonts w:ascii="Times New Roman" w:hAnsi="Times New Roman" w:cs="Times New Roman"/>
              </w:rPr>
              <w:t>2008</w:t>
            </w:r>
          </w:p>
        </w:tc>
        <w:tc>
          <w:tcPr>
            <w:tcW w:w="1446" w:type="dxa"/>
            <w:shd w:val="clear" w:color="auto" w:fill="F1F1F1" w:themeFill="background1" w:themeFillShade="F2"/>
          </w:tcPr>
          <w:p w14:paraId="39C6BE8E">
            <w:pPr>
              <w:spacing w:after="0" w:line="240" w:lineRule="auto"/>
              <w:rPr>
                <w:rFonts w:ascii="Times New Roman" w:hAnsi="Times New Roman" w:cs="Times New Roman"/>
              </w:rPr>
            </w:pPr>
            <w:r>
              <w:rPr>
                <w:rFonts w:ascii="Times New Roman" w:hAnsi="Times New Roman" w:cs="Times New Roman"/>
              </w:rPr>
              <w:t>2013</w:t>
            </w:r>
          </w:p>
        </w:tc>
        <w:tc>
          <w:tcPr>
            <w:tcW w:w="3342" w:type="dxa"/>
            <w:shd w:val="clear" w:color="auto" w:fill="F1F1F1" w:themeFill="background1" w:themeFillShade="F2"/>
          </w:tcPr>
          <w:p w14:paraId="5879647D">
            <w:pPr>
              <w:spacing w:after="0" w:line="240" w:lineRule="auto"/>
              <w:rPr>
                <w:rFonts w:ascii="Times New Roman" w:hAnsi="Times New Roman" w:cs="Times New Roman"/>
              </w:rPr>
            </w:pPr>
            <w:r>
              <w:rPr>
                <w:rFonts w:ascii="Times New Roman" w:hAnsi="Times New Roman" w:cs="Times New Roman"/>
              </w:rPr>
              <w:t>2014</w:t>
            </w:r>
          </w:p>
        </w:tc>
      </w:tr>
      <w:tr w14:paraId="184CD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DAF2D1" w:themeFill="accent6" w:themeFillTint="32"/>
          </w:tcPr>
          <w:p w14:paraId="7F679DAB">
            <w:pPr>
              <w:pStyle w:val="2"/>
              <w:spacing w:line="240" w:lineRule="auto"/>
              <w:rPr>
                <w:rFonts w:ascii="Times New Roman" w:hAnsi="Times New Roman" w:cs="Times New Roman"/>
                <w:sz w:val="24"/>
                <w:szCs w:val="24"/>
              </w:rPr>
            </w:pPr>
            <w:r>
              <w:rPr>
                <w:rFonts w:ascii="Times New Roman" w:hAnsi="Times New Roman" w:cs="Times New Roman"/>
                <w:sz w:val="24"/>
                <w:szCs w:val="24"/>
              </w:rPr>
              <w:t>Use</w:t>
            </w:r>
          </w:p>
        </w:tc>
        <w:tc>
          <w:tcPr>
            <w:tcW w:w="2054" w:type="dxa"/>
            <w:shd w:val="clear" w:color="auto" w:fill="DAF2D1" w:themeFill="accent6" w:themeFillTint="32"/>
          </w:tcPr>
          <w:p w14:paraId="5C6203EB">
            <w:pPr>
              <w:spacing w:after="0" w:line="240" w:lineRule="auto"/>
              <w:rPr>
                <w:rFonts w:ascii="Times New Roman" w:hAnsi="Times New Roman" w:cs="Times New Roman"/>
              </w:rPr>
            </w:pPr>
            <w:r>
              <w:rPr>
                <w:rFonts w:ascii="Times New Roman" w:hAnsi="Times New Roman" w:cs="Times New Roman"/>
              </w:rPr>
              <w:t>Used for discriminating benign and malignant adnexal masses</w:t>
            </w:r>
          </w:p>
        </w:tc>
        <w:tc>
          <w:tcPr>
            <w:tcW w:w="1648" w:type="dxa"/>
            <w:shd w:val="clear" w:color="auto" w:fill="DAF2D1" w:themeFill="accent6" w:themeFillTint="32"/>
          </w:tcPr>
          <w:p w14:paraId="7054ABB8">
            <w:pPr>
              <w:spacing w:after="0" w:line="240" w:lineRule="auto"/>
              <w:rPr>
                <w:rFonts w:ascii="Times New Roman" w:hAnsi="Times New Roman" w:cs="Times New Roman"/>
              </w:rPr>
            </w:pPr>
            <w:r>
              <w:rPr>
                <w:rFonts w:ascii="Times New Roman" w:hAnsi="Times New Roman" w:cs="Times New Roman"/>
              </w:rPr>
              <w:t>Use to predict malignancy peri-operatively</w:t>
            </w:r>
          </w:p>
        </w:tc>
        <w:tc>
          <w:tcPr>
            <w:tcW w:w="1446" w:type="dxa"/>
            <w:shd w:val="clear" w:color="auto" w:fill="DAF2D1" w:themeFill="accent6" w:themeFillTint="32"/>
          </w:tcPr>
          <w:p w14:paraId="78701AB5">
            <w:pPr>
              <w:spacing w:after="0" w:line="240" w:lineRule="auto"/>
              <w:rPr>
                <w:rFonts w:ascii="Times New Roman" w:hAnsi="Times New Roman" w:cs="Times New Roman"/>
              </w:rPr>
            </w:pPr>
            <w:r>
              <w:rPr>
                <w:rFonts w:ascii="Times New Roman" w:hAnsi="Times New Roman" w:cs="Times New Roman"/>
              </w:rPr>
              <w:t>Use to predict likelihood of malignancy</w:t>
            </w:r>
          </w:p>
        </w:tc>
        <w:tc>
          <w:tcPr>
            <w:tcW w:w="3342" w:type="dxa"/>
            <w:shd w:val="clear" w:color="auto" w:fill="DAF2D1" w:themeFill="accent6" w:themeFillTint="32"/>
          </w:tcPr>
          <w:p w14:paraId="7C098A3C">
            <w:pPr>
              <w:spacing w:after="0" w:line="240" w:lineRule="auto"/>
              <w:rPr>
                <w:rFonts w:ascii="Times New Roman" w:hAnsi="Times New Roman" w:cs="Times New Roman"/>
              </w:rPr>
            </w:pPr>
            <w:r>
              <w:rPr>
                <w:rFonts w:ascii="Times New Roman" w:hAnsi="Times New Roman" w:cs="Times New Roman"/>
              </w:rPr>
              <w:t>Use to discriminate benign and malignant and also suggest stage of malignancy</w:t>
            </w:r>
          </w:p>
        </w:tc>
      </w:tr>
      <w:tr w14:paraId="5221C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F1F1F1" w:themeFill="background1" w:themeFillShade="F2"/>
          </w:tcPr>
          <w:p w14:paraId="1EE6580B">
            <w:pPr>
              <w:pStyle w:val="2"/>
              <w:spacing w:line="240" w:lineRule="auto"/>
              <w:rPr>
                <w:rFonts w:ascii="Times New Roman" w:hAnsi="Times New Roman" w:cs="Times New Roman"/>
                <w:sz w:val="24"/>
                <w:szCs w:val="24"/>
              </w:rPr>
            </w:pPr>
            <w:r>
              <w:rPr>
                <w:rFonts w:ascii="Times New Roman" w:hAnsi="Times New Roman" w:cs="Times New Roman"/>
                <w:sz w:val="24"/>
                <w:szCs w:val="24"/>
              </w:rPr>
              <w:t>System</w:t>
            </w:r>
          </w:p>
        </w:tc>
        <w:tc>
          <w:tcPr>
            <w:tcW w:w="2054" w:type="dxa"/>
            <w:shd w:val="clear" w:color="auto" w:fill="F1F1F1" w:themeFill="background1" w:themeFillShade="F2"/>
          </w:tcPr>
          <w:p w14:paraId="4980764C">
            <w:pPr>
              <w:spacing w:after="0" w:line="240" w:lineRule="auto"/>
              <w:rPr>
                <w:rFonts w:ascii="Times New Roman" w:hAnsi="Times New Roman" w:cs="Times New Roman"/>
              </w:rPr>
            </w:pPr>
            <w:r>
              <w:rPr>
                <w:rFonts w:ascii="Times New Roman" w:hAnsi="Times New Roman" w:cs="Times New Roman"/>
              </w:rPr>
              <w:t>RMI1, RMI2, RMI3, RMI4</w:t>
            </w:r>
          </w:p>
        </w:tc>
        <w:tc>
          <w:tcPr>
            <w:tcW w:w="1648" w:type="dxa"/>
            <w:shd w:val="clear" w:color="auto" w:fill="F1F1F1" w:themeFill="background1" w:themeFillShade="F2"/>
          </w:tcPr>
          <w:p w14:paraId="418AB891">
            <w:pPr>
              <w:spacing w:after="0" w:line="240" w:lineRule="auto"/>
              <w:rPr>
                <w:rFonts w:ascii="Times New Roman" w:hAnsi="Times New Roman" w:cs="Times New Roman"/>
              </w:rPr>
            </w:pPr>
            <w:r>
              <w:rPr>
                <w:rFonts w:ascii="Times New Roman" w:hAnsi="Times New Roman" w:cs="Times New Roman"/>
              </w:rPr>
              <w:t>No different scoring system</w:t>
            </w:r>
          </w:p>
        </w:tc>
        <w:tc>
          <w:tcPr>
            <w:tcW w:w="1446" w:type="dxa"/>
            <w:shd w:val="clear" w:color="auto" w:fill="F1F1F1" w:themeFill="background1" w:themeFillShade="F2"/>
          </w:tcPr>
          <w:p w14:paraId="4B684B22">
            <w:pPr>
              <w:spacing w:after="0" w:line="240" w:lineRule="auto"/>
              <w:rPr>
                <w:rFonts w:ascii="Times New Roman" w:hAnsi="Times New Roman" w:cs="Times New Roman"/>
              </w:rPr>
            </w:pPr>
            <w:r>
              <w:rPr>
                <w:rFonts w:ascii="Times New Roman" w:hAnsi="Times New Roman" w:cs="Times New Roman"/>
              </w:rPr>
              <w:t>LR1 and LR2</w:t>
            </w:r>
          </w:p>
        </w:tc>
        <w:tc>
          <w:tcPr>
            <w:tcW w:w="3342" w:type="dxa"/>
            <w:shd w:val="clear" w:color="auto" w:fill="F1F1F1" w:themeFill="background1" w:themeFillShade="F2"/>
          </w:tcPr>
          <w:p w14:paraId="603719AA">
            <w:pPr>
              <w:spacing w:after="0" w:line="240" w:lineRule="auto"/>
              <w:rPr>
                <w:rFonts w:ascii="Times New Roman" w:hAnsi="Times New Roman" w:cs="Times New Roman"/>
              </w:rPr>
            </w:pPr>
            <w:r>
              <w:rPr>
                <w:rFonts w:ascii="Times New Roman" w:hAnsi="Times New Roman" w:cs="Times New Roman"/>
              </w:rPr>
              <w:t>Calculation is done with or without Serum CA-125 marker</w:t>
            </w:r>
          </w:p>
        </w:tc>
      </w:tr>
      <w:tr w14:paraId="1D01B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shd w:val="clear" w:color="auto" w:fill="DAF2D1" w:themeFill="accent6" w:themeFillTint="32"/>
          </w:tcPr>
          <w:p w14:paraId="11A23BA3">
            <w:pPr>
              <w:pStyle w:val="2"/>
              <w:spacing w:line="240" w:lineRule="auto"/>
              <w:rPr>
                <w:rFonts w:ascii="Times New Roman" w:hAnsi="Times New Roman" w:cs="Times New Roman"/>
                <w:sz w:val="24"/>
                <w:szCs w:val="24"/>
              </w:rPr>
            </w:pPr>
            <w:r>
              <w:rPr>
                <w:rFonts w:ascii="Times New Roman" w:hAnsi="Times New Roman" w:cs="Times New Roman"/>
                <w:sz w:val="24"/>
                <w:szCs w:val="24"/>
              </w:rPr>
              <w:t>Algorithm</w:t>
            </w:r>
          </w:p>
        </w:tc>
        <w:tc>
          <w:tcPr>
            <w:tcW w:w="2054" w:type="dxa"/>
            <w:shd w:val="clear" w:color="auto" w:fill="DAF2D1" w:themeFill="accent6" w:themeFillTint="32"/>
          </w:tcPr>
          <w:p w14:paraId="7AC73F88">
            <w:pPr>
              <w:pStyle w:val="31"/>
              <w:spacing w:after="0" w:line="240" w:lineRule="auto"/>
              <w:ind w:left="0"/>
              <w:rPr>
                <w:rFonts w:ascii="Times New Roman" w:hAnsi="Times New Roman" w:cs="Times New Roman"/>
              </w:rPr>
            </w:pPr>
            <w:r>
              <w:rPr>
                <w:rFonts w:ascii="Times New Roman" w:hAnsi="Times New Roman" w:cs="Times New Roman"/>
              </w:rPr>
              <w:t>The equation used is: the product of the menopausal status score(M), ultrasonographic score (U), and an absolute value of Serum CA-125</w:t>
            </w:r>
          </w:p>
        </w:tc>
        <w:tc>
          <w:tcPr>
            <w:tcW w:w="1648" w:type="dxa"/>
            <w:shd w:val="clear" w:color="auto" w:fill="DAF2D1" w:themeFill="accent6" w:themeFillTint="32"/>
          </w:tcPr>
          <w:p w14:paraId="11B9C595">
            <w:pPr>
              <w:pStyle w:val="31"/>
              <w:spacing w:after="0" w:line="240" w:lineRule="auto"/>
              <w:ind w:left="0"/>
              <w:rPr>
                <w:rFonts w:ascii="Times New Roman" w:hAnsi="Times New Roman" w:cs="Times New Roman"/>
              </w:rPr>
            </w:pPr>
            <w:r>
              <w:rPr>
                <w:rFonts w:ascii="Times New Roman" w:hAnsi="Times New Roman" w:cs="Times New Roman"/>
              </w:rPr>
              <w:t>The Simple Rules consist of five features typical for benign tumors(B-features) and five features typical for malignant tumors(M-features)</w:t>
            </w:r>
          </w:p>
        </w:tc>
        <w:tc>
          <w:tcPr>
            <w:tcW w:w="1446" w:type="dxa"/>
            <w:shd w:val="clear" w:color="auto" w:fill="DAF2D1" w:themeFill="accent6" w:themeFillTint="32"/>
          </w:tcPr>
          <w:p w14:paraId="5230A1D4">
            <w:pPr>
              <w:pStyle w:val="31"/>
              <w:spacing w:after="0" w:line="240" w:lineRule="auto"/>
              <w:ind w:left="0"/>
              <w:rPr>
                <w:rFonts w:ascii="Times New Roman" w:hAnsi="Times New Roman" w:cs="Times New Roman"/>
              </w:rPr>
            </w:pPr>
            <w:r>
              <w:rPr>
                <w:rFonts w:ascii="Times New Roman" w:hAnsi="Times New Roman" w:cs="Times New Roman"/>
              </w:rPr>
              <w:t>LR1 consists of 12 selected variables.A simpler version (LR2) uses six selected variables</w:t>
            </w:r>
          </w:p>
        </w:tc>
        <w:tc>
          <w:tcPr>
            <w:tcW w:w="3342" w:type="dxa"/>
            <w:shd w:val="clear" w:color="auto" w:fill="DAF2D1" w:themeFill="accent6" w:themeFillTint="32"/>
          </w:tcPr>
          <w:p w14:paraId="35F3A65B">
            <w:pPr>
              <w:pStyle w:val="31"/>
              <w:spacing w:after="0" w:line="240" w:lineRule="auto"/>
              <w:ind w:left="0"/>
              <w:rPr>
                <w:rFonts w:ascii="Times New Roman" w:hAnsi="Times New Roman" w:cs="Times New Roman"/>
              </w:rPr>
            </w:pPr>
            <w:r>
              <w:rPr>
                <w:rFonts w:ascii="Times New Roman" w:hAnsi="Times New Roman" w:cs="Times New Roman"/>
              </w:rPr>
              <w:t>The IOTA-ADNEX model uses three clinical features and six ultrasound parameters with or without Serum CA-125 marker</w:t>
            </w:r>
          </w:p>
        </w:tc>
      </w:tr>
      <w:tr w14:paraId="7727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7" w:hRule="atLeast"/>
        </w:trPr>
        <w:tc>
          <w:tcPr>
            <w:tcW w:w="2250" w:type="dxa"/>
            <w:shd w:val="clear" w:color="auto" w:fill="F1F1F1" w:themeFill="background1" w:themeFillShade="F2"/>
          </w:tcPr>
          <w:p w14:paraId="5311968F">
            <w:pPr>
              <w:pStyle w:val="2"/>
              <w:spacing w:line="240" w:lineRule="auto"/>
              <w:rPr>
                <w:rFonts w:ascii="Times New Roman" w:hAnsi="Times New Roman" w:cs="Times New Roman"/>
                <w:sz w:val="24"/>
                <w:szCs w:val="24"/>
              </w:rPr>
            </w:pPr>
            <w:r>
              <w:rPr>
                <w:rFonts w:ascii="Times New Roman" w:hAnsi="Times New Roman" w:cs="Times New Roman"/>
                <w:sz w:val="24"/>
                <w:szCs w:val="24"/>
              </w:rPr>
              <w:t>Results Interpretation</w:t>
            </w:r>
          </w:p>
        </w:tc>
        <w:tc>
          <w:tcPr>
            <w:tcW w:w="2054" w:type="dxa"/>
            <w:shd w:val="clear" w:color="auto" w:fill="F1F1F1" w:themeFill="background1" w:themeFillShade="F2"/>
          </w:tcPr>
          <w:p w14:paraId="20475954">
            <w:pPr>
              <w:pStyle w:val="31"/>
              <w:spacing w:after="0" w:line="240" w:lineRule="auto"/>
              <w:ind w:left="0"/>
              <w:rPr>
                <w:rFonts w:ascii="Times New Roman" w:hAnsi="Times New Roman" w:cs="Times New Roman"/>
              </w:rPr>
            </w:pPr>
            <w:r>
              <w:rPr>
                <w:rFonts w:ascii="Times New Roman" w:hAnsi="Times New Roman" w:cs="Times New Roman"/>
              </w:rPr>
              <w:t>More than 200: high risk,25-200: intermediate risk, less than 25: low risk</w:t>
            </w:r>
          </w:p>
        </w:tc>
        <w:tc>
          <w:tcPr>
            <w:tcW w:w="1648" w:type="dxa"/>
            <w:shd w:val="clear" w:color="auto" w:fill="F1F1F1" w:themeFill="background1" w:themeFillShade="F2"/>
          </w:tcPr>
          <w:p w14:paraId="0841A73F">
            <w:pPr>
              <w:pStyle w:val="31"/>
              <w:spacing w:after="0" w:line="240" w:lineRule="auto"/>
              <w:ind w:left="0"/>
              <w:rPr>
                <w:rFonts w:ascii="Times New Roman" w:hAnsi="Times New Roman" w:cs="Times New Roman"/>
              </w:rPr>
            </w:pPr>
            <w:r>
              <w:rPr>
                <w:rFonts w:ascii="Times New Roman" w:hAnsi="Times New Roman" w:cs="Times New Roman"/>
              </w:rPr>
              <w:t>Benign: Only B-features apply, Malignant: Only M-features apply, Inconclusive: No features apply or both B and M-features apply</w:t>
            </w:r>
          </w:p>
        </w:tc>
        <w:tc>
          <w:tcPr>
            <w:tcW w:w="1446" w:type="dxa"/>
            <w:shd w:val="clear" w:color="auto" w:fill="F1F1F1" w:themeFill="background1" w:themeFillShade="F2"/>
          </w:tcPr>
          <w:p w14:paraId="07EDF050">
            <w:pPr>
              <w:pStyle w:val="31"/>
              <w:spacing w:after="0" w:line="240" w:lineRule="auto"/>
              <w:ind w:left="0"/>
              <w:rPr>
                <w:rFonts w:ascii="Times New Roman" w:hAnsi="Times New Roman" w:cs="Times New Roman"/>
              </w:rPr>
            </w:pPr>
          </w:p>
        </w:tc>
        <w:tc>
          <w:tcPr>
            <w:tcW w:w="3342" w:type="dxa"/>
            <w:shd w:val="clear" w:color="auto" w:fill="F1F1F1" w:themeFill="background1" w:themeFillShade="F2"/>
          </w:tcPr>
          <w:p w14:paraId="317B7A91">
            <w:pPr>
              <w:pStyle w:val="31"/>
              <w:spacing w:after="0" w:line="240" w:lineRule="auto"/>
              <w:ind w:left="0"/>
              <w:rPr>
                <w:rFonts w:ascii="Times New Roman" w:hAnsi="Times New Roman" w:cs="Times New Roman"/>
              </w:rPr>
            </w:pPr>
            <w:r>
              <w:rPr>
                <w:rFonts w:ascii="Times New Roman" w:hAnsi="Times New Roman" w:cs="Times New Roman"/>
              </w:rPr>
              <w:t>Benign tumors, borderline tumors, early-stage primary cancers, late-stage primary cancers(stage 2-4), and secondary metastatic cancers</w:t>
            </w:r>
          </w:p>
        </w:tc>
      </w:tr>
    </w:tbl>
    <w:p w14:paraId="325F1752">
      <w:pPr>
        <w:pStyle w:val="2"/>
        <w:rPr>
          <w:rFonts w:ascii="Times New Roman" w:hAnsi="Times New Roman" w:cs="Times New Roman"/>
          <w:sz w:val="24"/>
          <w:szCs w:val="24"/>
        </w:rPr>
      </w:pPr>
      <w:r>
        <w:rPr>
          <w:rFonts w:ascii="Times New Roman" w:hAnsi="Times New Roman" w:cs="Times New Roman"/>
          <w:sz w:val="24"/>
          <w:szCs w:val="24"/>
        </w:rPr>
        <w:t xml:space="preserve"> </w:t>
      </w:r>
    </w:p>
    <w:p w14:paraId="413099E2">
      <w:pPr>
        <w:pStyle w:val="31"/>
        <w:rPr>
          <w:rFonts w:ascii="Times New Roman" w:hAnsi="Times New Roman" w:cs="Times New Roman"/>
        </w:rPr>
      </w:pPr>
    </w:p>
    <w:p w14:paraId="49C058F2">
      <w:pPr>
        <w:rPr>
          <w:rFonts w:ascii="Times New Roman" w:hAnsi="Times New Roman" w:cs="Times New Roman"/>
          <w:b/>
          <w:bCs/>
          <w:color w:val="156082" w:themeColor="accent1"/>
          <w:sz w:val="32"/>
          <w:szCs w:val="32"/>
          <w14:textFill>
            <w14:solidFill>
              <w14:schemeClr w14:val="accent1"/>
            </w14:solidFill>
          </w14:textFill>
        </w:rPr>
      </w:pPr>
      <w:r>
        <w:rPr>
          <w:rFonts w:ascii="Times New Roman" w:hAnsi="Times New Roman" w:cs="Times New Roman"/>
          <w:b/>
          <w:bCs/>
          <w:color w:val="156082" w:themeColor="accent1"/>
          <w:sz w:val="32"/>
          <w:szCs w:val="32"/>
          <w14:textFill>
            <w14:solidFill>
              <w14:schemeClr w14:val="accent1"/>
            </w14:solidFill>
          </w14:textFill>
        </w:rPr>
        <w:t>O-RADS(Ovarian -Adnexal Reporting and Data System)</w:t>
      </w:r>
    </w:p>
    <w:p w14:paraId="1D0A6209">
      <w:pPr>
        <w:rPr>
          <w:rFonts w:ascii="Times New Roman" w:hAnsi="Times New Roman" w:cs="Times New Roman"/>
          <w:b/>
          <w:bCs/>
          <w:color w:val="156082" w:themeColor="accent1"/>
          <w14:textFill>
            <w14:solidFill>
              <w14:schemeClr w14:val="accent1"/>
            </w14:solidFill>
          </w14:textFill>
        </w:rPr>
      </w:pPr>
    </w:p>
    <w:tbl>
      <w:tblPr>
        <w:tblStyle w:val="16"/>
        <w:tblW w:w="11380" w:type="dxa"/>
        <w:tblInd w:w="-8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8"/>
        <w:gridCol w:w="3003"/>
        <w:gridCol w:w="5039"/>
      </w:tblGrid>
      <w:tr w14:paraId="50ACB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0" w:type="dxa"/>
            <w:tcBorders>
              <w:top w:val="single" w:color="auto" w:sz="4" w:space="0"/>
              <w:left w:val="single" w:color="auto" w:sz="4" w:space="0"/>
              <w:bottom w:val="single" w:color="auto" w:sz="4" w:space="0"/>
              <w:right w:val="single" w:color="auto" w:sz="4" w:space="0"/>
            </w:tcBorders>
            <w:shd w:val="clear" w:color="auto" w:fill="4EA72E" w:themeFill="accent6"/>
          </w:tcPr>
          <w:p w14:paraId="289277A5">
            <w:pPr>
              <w:numPr>
                <w:ilvl w:val="1"/>
                <w:numId w:val="4"/>
              </w:numPr>
              <w:tabs>
                <w:tab w:val="clear" w:pos="1440"/>
              </w:tabs>
              <w:rPr>
                <w:rFonts w:ascii="Times New Roman" w:hAnsi="Times New Roman" w:cs="Times New Roman"/>
                <w:b/>
                <w:bCs/>
              </w:rPr>
            </w:pPr>
            <w:r>
              <w:rPr>
                <w:rFonts w:ascii="Times New Roman" w:hAnsi="Times New Roman" w:cs="Times New Roman"/>
                <w:b/>
                <w:bCs/>
              </w:rPr>
              <w:t>O-RADS</w:t>
            </w:r>
          </w:p>
        </w:tc>
        <w:tc>
          <w:tcPr>
            <w:tcW w:w="2976" w:type="dxa"/>
            <w:tcBorders>
              <w:top w:val="single" w:color="auto" w:sz="4" w:space="0"/>
              <w:left w:val="single" w:color="auto" w:sz="4" w:space="0"/>
              <w:bottom w:val="single" w:color="auto" w:sz="4" w:space="0"/>
              <w:right w:val="single" w:color="auto" w:sz="4" w:space="0"/>
            </w:tcBorders>
            <w:shd w:val="clear" w:color="auto" w:fill="4EA72E" w:themeFill="accent6"/>
          </w:tcPr>
          <w:p w14:paraId="4E673451">
            <w:pPr>
              <w:numPr>
                <w:ilvl w:val="1"/>
                <w:numId w:val="4"/>
              </w:numPr>
              <w:tabs>
                <w:tab w:val="clear" w:pos="1440"/>
              </w:tabs>
              <w:rPr>
                <w:rFonts w:ascii="Times New Roman" w:hAnsi="Times New Roman" w:cs="Times New Roman"/>
                <w:b/>
                <w:bCs/>
              </w:rPr>
            </w:pPr>
            <w:r>
              <w:rPr>
                <w:rFonts w:ascii="Times New Roman" w:hAnsi="Times New Roman" w:cs="Times New Roman"/>
                <w:b/>
                <w:bCs/>
              </w:rPr>
              <w:t>Risk category</w:t>
            </w:r>
          </w:p>
        </w:tc>
        <w:tc>
          <w:tcPr>
            <w:tcW w:w="5044" w:type="dxa"/>
            <w:tcBorders>
              <w:top w:val="single" w:color="auto" w:sz="4" w:space="0"/>
              <w:left w:val="single" w:color="auto" w:sz="4" w:space="0"/>
              <w:bottom w:val="single" w:color="auto" w:sz="4" w:space="0"/>
              <w:right w:val="single" w:color="auto" w:sz="4" w:space="0"/>
            </w:tcBorders>
            <w:shd w:val="clear" w:color="auto" w:fill="4EA72E" w:themeFill="accent6"/>
          </w:tcPr>
          <w:p w14:paraId="0DE13EDF">
            <w:pPr>
              <w:numPr>
                <w:ilvl w:val="1"/>
                <w:numId w:val="4"/>
              </w:numPr>
              <w:tabs>
                <w:tab w:val="clear" w:pos="1440"/>
              </w:tabs>
              <w:rPr>
                <w:rFonts w:ascii="Times New Roman" w:hAnsi="Times New Roman" w:cs="Times New Roman"/>
                <w:b/>
                <w:bCs/>
              </w:rPr>
            </w:pPr>
            <w:r>
              <w:rPr>
                <w:rFonts w:ascii="Times New Roman" w:hAnsi="Times New Roman" w:cs="Times New Roman"/>
                <w:b/>
                <w:bCs/>
              </w:rPr>
              <w:t>Lexicon description</w:t>
            </w:r>
          </w:p>
        </w:tc>
      </w:tr>
      <w:tr w14:paraId="18463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0" w:type="dxa"/>
            <w:tcBorders>
              <w:top w:val="single" w:color="auto" w:sz="4" w:space="0"/>
              <w:left w:val="single" w:color="auto" w:sz="4" w:space="0"/>
              <w:bottom w:val="single" w:color="auto" w:sz="4" w:space="0"/>
              <w:right w:val="single" w:color="auto" w:sz="4" w:space="0"/>
            </w:tcBorders>
          </w:tcPr>
          <w:p w14:paraId="76BCDAE7">
            <w:pPr>
              <w:numPr>
                <w:ilvl w:val="1"/>
                <w:numId w:val="4"/>
              </w:numPr>
              <w:tabs>
                <w:tab w:val="clear" w:pos="1440"/>
              </w:tabs>
              <w:rPr>
                <w:rFonts w:ascii="Times New Roman" w:hAnsi="Times New Roman" w:cs="Times New Roman"/>
                <w:b/>
                <w:bCs/>
              </w:rPr>
            </w:pPr>
            <w:r>
              <w:rPr>
                <w:rFonts w:ascii="Times New Roman" w:hAnsi="Times New Roman" w:cs="Times New Roman"/>
                <w:b/>
                <w:bCs/>
              </w:rPr>
              <w:t>0</w:t>
            </w:r>
          </w:p>
        </w:tc>
        <w:tc>
          <w:tcPr>
            <w:tcW w:w="2976" w:type="dxa"/>
            <w:tcBorders>
              <w:top w:val="single" w:color="auto" w:sz="4" w:space="0"/>
              <w:left w:val="single" w:color="auto" w:sz="4" w:space="0"/>
              <w:bottom w:val="single" w:color="auto" w:sz="4" w:space="0"/>
              <w:right w:val="single" w:color="auto" w:sz="4" w:space="0"/>
            </w:tcBorders>
          </w:tcPr>
          <w:p w14:paraId="06A930DB">
            <w:pPr>
              <w:numPr>
                <w:ilvl w:val="1"/>
                <w:numId w:val="4"/>
              </w:numPr>
              <w:tabs>
                <w:tab w:val="clear" w:pos="1440"/>
              </w:tabs>
              <w:rPr>
                <w:rFonts w:ascii="Times New Roman" w:hAnsi="Times New Roman" w:cs="Times New Roman"/>
                <w:b/>
                <w:bCs/>
              </w:rPr>
            </w:pPr>
          </w:p>
        </w:tc>
        <w:tc>
          <w:tcPr>
            <w:tcW w:w="5044" w:type="dxa"/>
            <w:tcBorders>
              <w:top w:val="single" w:color="auto" w:sz="4" w:space="0"/>
              <w:left w:val="single" w:color="auto" w:sz="4" w:space="0"/>
              <w:bottom w:val="single" w:color="auto" w:sz="4" w:space="0"/>
              <w:right w:val="single" w:color="auto" w:sz="4" w:space="0"/>
            </w:tcBorders>
          </w:tcPr>
          <w:p w14:paraId="0DB8FAC8">
            <w:pPr>
              <w:numPr>
                <w:ilvl w:val="1"/>
                <w:numId w:val="4"/>
              </w:numPr>
              <w:tabs>
                <w:tab w:val="clear" w:pos="1440"/>
              </w:tabs>
              <w:rPr>
                <w:rFonts w:ascii="Times New Roman" w:hAnsi="Times New Roman" w:cs="Times New Roman"/>
                <w:b/>
                <w:bCs/>
              </w:rPr>
            </w:pPr>
            <w:r>
              <w:rPr>
                <w:rFonts w:ascii="Times New Roman" w:hAnsi="Times New Roman" w:cs="Times New Roman"/>
                <w:b/>
                <w:bCs/>
              </w:rPr>
              <w:t>Incomplete evaluation</w:t>
            </w:r>
          </w:p>
        </w:tc>
      </w:tr>
      <w:tr w14:paraId="28A7E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3360"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3E676414">
            <w:pPr>
              <w:numPr>
                <w:ilvl w:val="1"/>
                <w:numId w:val="4"/>
              </w:numPr>
              <w:tabs>
                <w:tab w:val="clear" w:pos="1440"/>
              </w:tabs>
              <w:rPr>
                <w:rFonts w:ascii="Times New Roman" w:hAnsi="Times New Roman" w:cs="Times New Roman"/>
                <w:b/>
                <w:bCs/>
              </w:rPr>
            </w:pPr>
            <w:r>
              <w:rPr>
                <w:rFonts w:ascii="Times New Roman" w:hAnsi="Times New Roman" w:cs="Times New Roman"/>
                <w:b/>
                <w:bCs/>
              </w:rPr>
              <w:t>1</w:t>
            </w:r>
          </w:p>
        </w:tc>
        <w:tc>
          <w:tcPr>
            <w:tcW w:w="2976"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2E7CD4DB">
            <w:pPr>
              <w:numPr>
                <w:ilvl w:val="1"/>
                <w:numId w:val="4"/>
              </w:numPr>
              <w:tabs>
                <w:tab w:val="clear" w:pos="1440"/>
              </w:tabs>
              <w:rPr>
                <w:rFonts w:ascii="Times New Roman" w:hAnsi="Times New Roman" w:cs="Times New Roman"/>
                <w:b/>
                <w:bCs/>
              </w:rPr>
            </w:pPr>
            <w:r>
              <w:rPr>
                <w:rFonts w:ascii="Times New Roman" w:hAnsi="Times New Roman" w:cs="Times New Roman"/>
                <w:b/>
                <w:bCs/>
              </w:rPr>
              <w:t>Normal ovary</w:t>
            </w:r>
          </w:p>
        </w:tc>
        <w:tc>
          <w:tcPr>
            <w:tcW w:w="5044"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43B90B82">
            <w:pPr>
              <w:numPr>
                <w:ilvl w:val="1"/>
                <w:numId w:val="4"/>
              </w:numPr>
              <w:tabs>
                <w:tab w:val="clear" w:pos="1440"/>
              </w:tabs>
              <w:rPr>
                <w:rFonts w:ascii="Times New Roman" w:hAnsi="Times New Roman" w:cs="Times New Roman"/>
                <w:b/>
                <w:bCs/>
              </w:rPr>
            </w:pPr>
            <w:r>
              <w:rPr>
                <w:rFonts w:ascii="Times New Roman" w:hAnsi="Times New Roman" w:cs="Times New Roman"/>
                <w:b/>
                <w:bCs/>
              </w:rPr>
              <w:t>Follicle≤ 3cm,corpus ≤3cm</w:t>
            </w:r>
          </w:p>
        </w:tc>
      </w:tr>
      <w:tr w14:paraId="11FF3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0" w:type="dxa"/>
            <w:tcBorders>
              <w:top w:val="single" w:color="auto" w:sz="4" w:space="0"/>
              <w:left w:val="single" w:color="auto" w:sz="4" w:space="0"/>
              <w:bottom w:val="single" w:color="auto" w:sz="4" w:space="0"/>
              <w:right w:val="single" w:color="auto" w:sz="4" w:space="0"/>
            </w:tcBorders>
          </w:tcPr>
          <w:p w14:paraId="5E9293F4">
            <w:pPr>
              <w:numPr>
                <w:ilvl w:val="1"/>
                <w:numId w:val="4"/>
              </w:numPr>
              <w:tabs>
                <w:tab w:val="clear" w:pos="1440"/>
              </w:tabs>
              <w:rPr>
                <w:rFonts w:ascii="Times New Roman" w:hAnsi="Times New Roman" w:cs="Times New Roman"/>
                <w:b/>
                <w:bCs/>
              </w:rPr>
            </w:pPr>
            <w:r>
              <w:rPr>
                <w:rFonts w:ascii="Times New Roman" w:hAnsi="Times New Roman" w:cs="Times New Roman"/>
                <w:b/>
                <w:bCs/>
              </w:rPr>
              <w:t>2</w:t>
            </w:r>
          </w:p>
        </w:tc>
        <w:tc>
          <w:tcPr>
            <w:tcW w:w="2976" w:type="dxa"/>
            <w:tcBorders>
              <w:top w:val="single" w:color="auto" w:sz="4" w:space="0"/>
              <w:left w:val="single" w:color="auto" w:sz="4" w:space="0"/>
              <w:bottom w:val="single" w:color="auto" w:sz="4" w:space="0"/>
              <w:right w:val="single" w:color="auto" w:sz="4" w:space="0"/>
            </w:tcBorders>
          </w:tcPr>
          <w:p w14:paraId="05C60C67">
            <w:pPr>
              <w:numPr>
                <w:ilvl w:val="1"/>
                <w:numId w:val="4"/>
              </w:numPr>
              <w:tabs>
                <w:tab w:val="clear" w:pos="1440"/>
              </w:tabs>
              <w:rPr>
                <w:rFonts w:ascii="Times New Roman" w:hAnsi="Times New Roman" w:cs="Times New Roman"/>
                <w:b/>
                <w:bCs/>
              </w:rPr>
            </w:pPr>
            <w:r>
              <w:rPr>
                <w:rFonts w:ascii="Times New Roman" w:hAnsi="Times New Roman" w:cs="Times New Roman"/>
                <w:b/>
                <w:bCs/>
              </w:rPr>
              <w:t>Almost certainly benign(&lt;1%)</w:t>
            </w:r>
          </w:p>
        </w:tc>
        <w:tc>
          <w:tcPr>
            <w:tcW w:w="5044" w:type="dxa"/>
            <w:tcBorders>
              <w:top w:val="single" w:color="auto" w:sz="4" w:space="0"/>
              <w:left w:val="single" w:color="auto" w:sz="4" w:space="0"/>
              <w:bottom w:val="single" w:color="auto" w:sz="4" w:space="0"/>
              <w:right w:val="single" w:color="auto" w:sz="4" w:space="0"/>
            </w:tcBorders>
          </w:tcPr>
          <w:p w14:paraId="7CD2EACB">
            <w:pPr>
              <w:numPr>
                <w:ilvl w:val="1"/>
                <w:numId w:val="4"/>
              </w:numPr>
              <w:tabs>
                <w:tab w:val="clear" w:pos="1440"/>
              </w:tabs>
              <w:rPr>
                <w:rFonts w:ascii="Times New Roman" w:hAnsi="Times New Roman" w:cs="Times New Roman"/>
                <w:b/>
                <w:bCs/>
              </w:rPr>
            </w:pPr>
            <w:r>
              <w:rPr>
                <w:rFonts w:ascii="Times New Roman" w:hAnsi="Times New Roman" w:cs="Times New Roman"/>
                <w:b/>
                <w:bCs/>
              </w:rPr>
              <w:t>1.Simple cyst&lt;10cm</w:t>
            </w:r>
          </w:p>
          <w:p w14:paraId="150149EF">
            <w:pPr>
              <w:numPr>
                <w:ilvl w:val="1"/>
                <w:numId w:val="4"/>
              </w:numPr>
              <w:tabs>
                <w:tab w:val="clear" w:pos="1440"/>
              </w:tabs>
              <w:rPr>
                <w:rFonts w:ascii="Times New Roman" w:hAnsi="Times New Roman" w:cs="Times New Roman"/>
                <w:b/>
                <w:bCs/>
              </w:rPr>
            </w:pPr>
            <w:r>
              <w:rPr>
                <w:rFonts w:ascii="Times New Roman" w:hAnsi="Times New Roman" w:cs="Times New Roman"/>
                <w:b/>
                <w:bCs/>
              </w:rPr>
              <w:t>2.Classic benign lesions:hemorrhagic (&lt;10cm),mature teratoma (&lt;10cm),endometrioma (&lt;10cm</w:t>
            </w:r>
            <w:r>
              <w:rPr>
                <w:rFonts w:ascii="Times New Roman" w:hAnsi="Times New Roman" w:cs="Times New Roman"/>
                <w:b/>
                <w:bCs/>
              </w:rPr>
              <w:br w:type="textWrapping"/>
            </w:r>
            <w:r>
              <w:rPr>
                <w:rFonts w:ascii="Times New Roman" w:hAnsi="Times New Roman" w:cs="Times New Roman"/>
                <w:b/>
                <w:bCs/>
              </w:rPr>
              <w:t>),paraovarian cyst (any size),peritoneal inclusion cyst(any size)hydrosalpinx(any size)</w:t>
            </w:r>
          </w:p>
          <w:p w14:paraId="16102341">
            <w:pPr>
              <w:numPr>
                <w:ilvl w:val="1"/>
                <w:numId w:val="4"/>
              </w:numPr>
              <w:tabs>
                <w:tab w:val="clear" w:pos="1440"/>
              </w:tabs>
              <w:rPr>
                <w:rFonts w:ascii="Times New Roman" w:hAnsi="Times New Roman" w:cs="Times New Roman"/>
                <w:b/>
                <w:bCs/>
              </w:rPr>
            </w:pPr>
            <w:r>
              <w:rPr>
                <w:rFonts w:ascii="Times New Roman" w:hAnsi="Times New Roman" w:cs="Times New Roman"/>
                <w:b/>
                <w:bCs/>
              </w:rPr>
              <w:t>3.Non -simple unilocular(smooth inner margin &lt;10cm</w:t>
            </w:r>
          </w:p>
        </w:tc>
      </w:tr>
      <w:tr w14:paraId="39D80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0"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4FBF0D04">
            <w:pPr>
              <w:numPr>
                <w:ilvl w:val="1"/>
                <w:numId w:val="4"/>
              </w:numPr>
              <w:tabs>
                <w:tab w:val="clear" w:pos="1440"/>
              </w:tabs>
              <w:rPr>
                <w:rFonts w:ascii="Times New Roman" w:hAnsi="Times New Roman" w:cs="Times New Roman"/>
                <w:b/>
                <w:bCs/>
              </w:rPr>
            </w:pPr>
            <w:r>
              <w:rPr>
                <w:rFonts w:ascii="Times New Roman" w:hAnsi="Times New Roman" w:cs="Times New Roman"/>
                <w:b/>
                <w:bCs/>
              </w:rPr>
              <w:t>3</w:t>
            </w:r>
          </w:p>
        </w:tc>
        <w:tc>
          <w:tcPr>
            <w:tcW w:w="2976"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0B6308C2">
            <w:pPr>
              <w:numPr>
                <w:ilvl w:val="1"/>
                <w:numId w:val="4"/>
              </w:numPr>
              <w:tabs>
                <w:tab w:val="clear" w:pos="1440"/>
              </w:tabs>
              <w:rPr>
                <w:rFonts w:ascii="Times New Roman" w:hAnsi="Times New Roman" w:cs="Times New Roman"/>
                <w:b/>
                <w:bCs/>
              </w:rPr>
            </w:pPr>
            <w:r>
              <w:rPr>
                <w:rFonts w:ascii="Times New Roman" w:hAnsi="Times New Roman" w:cs="Times New Roman"/>
                <w:b/>
                <w:bCs/>
              </w:rPr>
              <w:t>Low risk malignancy(1%-10%)</w:t>
            </w:r>
          </w:p>
        </w:tc>
        <w:tc>
          <w:tcPr>
            <w:tcW w:w="5044"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6D27484C">
            <w:pPr>
              <w:numPr>
                <w:ilvl w:val="1"/>
                <w:numId w:val="4"/>
              </w:numPr>
              <w:tabs>
                <w:tab w:val="clear" w:pos="1440"/>
              </w:tabs>
              <w:rPr>
                <w:rFonts w:ascii="Times New Roman" w:hAnsi="Times New Roman" w:cs="Times New Roman"/>
                <w:b/>
                <w:bCs/>
              </w:rPr>
            </w:pPr>
            <w:r>
              <w:rPr>
                <w:rFonts w:ascii="Times New Roman" w:hAnsi="Times New Roman" w:cs="Times New Roman"/>
                <w:b/>
                <w:bCs/>
              </w:rPr>
              <w:t>1. Unilocular cyst≥10cm</w:t>
            </w:r>
          </w:p>
          <w:p w14:paraId="43D0BC12">
            <w:pPr>
              <w:numPr>
                <w:ilvl w:val="1"/>
                <w:numId w:val="4"/>
              </w:numPr>
              <w:tabs>
                <w:tab w:val="clear" w:pos="1440"/>
              </w:tabs>
              <w:rPr>
                <w:rFonts w:ascii="Times New Roman" w:hAnsi="Times New Roman" w:cs="Times New Roman"/>
                <w:b/>
                <w:bCs/>
              </w:rPr>
            </w:pPr>
            <w:r>
              <w:rPr>
                <w:rFonts w:ascii="Times New Roman" w:hAnsi="Times New Roman" w:cs="Times New Roman"/>
                <w:b/>
                <w:bCs/>
              </w:rPr>
              <w:t>2.Typical dermoid cyst,endometriomas,hemorrhagic cyst≥10cm</w:t>
            </w:r>
          </w:p>
          <w:p w14:paraId="37757314">
            <w:pPr>
              <w:numPr>
                <w:ilvl w:val="1"/>
                <w:numId w:val="4"/>
              </w:numPr>
              <w:tabs>
                <w:tab w:val="clear" w:pos="1440"/>
              </w:tabs>
              <w:rPr>
                <w:rFonts w:ascii="Times New Roman" w:hAnsi="Times New Roman" w:cs="Times New Roman"/>
                <w:b/>
                <w:bCs/>
              </w:rPr>
            </w:pPr>
            <w:r>
              <w:rPr>
                <w:rFonts w:ascii="Times New Roman" w:hAnsi="Times New Roman" w:cs="Times New Roman"/>
                <w:b/>
                <w:bCs/>
              </w:rPr>
              <w:t>3. Unilocular cyst,any size,irregular inner wall(thickness&lt;3mm)</w:t>
            </w:r>
          </w:p>
          <w:p w14:paraId="40B28EE4">
            <w:pPr>
              <w:numPr>
                <w:ilvl w:val="1"/>
                <w:numId w:val="4"/>
              </w:numPr>
              <w:tabs>
                <w:tab w:val="clear" w:pos="1440"/>
              </w:tabs>
              <w:rPr>
                <w:rFonts w:ascii="Times New Roman" w:hAnsi="Times New Roman" w:cs="Times New Roman"/>
                <w:b/>
                <w:bCs/>
              </w:rPr>
            </w:pPr>
            <w:r>
              <w:rPr>
                <w:rFonts w:ascii="Times New Roman" w:hAnsi="Times New Roman" w:cs="Times New Roman"/>
                <w:b/>
                <w:bCs/>
              </w:rPr>
              <w:t>4.Multilocular cyst&lt;10cm,smooth inner wall,CS=1-3</w:t>
            </w:r>
          </w:p>
          <w:p w14:paraId="5F398AED">
            <w:pPr>
              <w:numPr>
                <w:ilvl w:val="1"/>
                <w:numId w:val="4"/>
              </w:numPr>
              <w:tabs>
                <w:tab w:val="clear" w:pos="1440"/>
              </w:tabs>
              <w:rPr>
                <w:rFonts w:ascii="Times New Roman" w:hAnsi="Times New Roman" w:cs="Times New Roman"/>
                <w:b/>
                <w:bCs/>
              </w:rPr>
            </w:pPr>
            <w:r>
              <w:rPr>
                <w:rFonts w:ascii="Times New Roman" w:hAnsi="Times New Roman" w:cs="Times New Roman"/>
                <w:b/>
                <w:bCs/>
              </w:rPr>
              <w:t>5. Solid smooth, any size,CS=1</w:t>
            </w:r>
          </w:p>
        </w:tc>
      </w:tr>
      <w:tr w14:paraId="2BFE9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0" w:type="dxa"/>
            <w:tcBorders>
              <w:top w:val="single" w:color="auto" w:sz="4" w:space="0"/>
              <w:left w:val="single" w:color="auto" w:sz="4" w:space="0"/>
              <w:bottom w:val="single" w:color="auto" w:sz="4" w:space="0"/>
              <w:right w:val="single" w:color="auto" w:sz="4" w:space="0"/>
            </w:tcBorders>
          </w:tcPr>
          <w:p w14:paraId="1F6F162D">
            <w:pPr>
              <w:numPr>
                <w:ilvl w:val="1"/>
                <w:numId w:val="4"/>
              </w:numPr>
              <w:tabs>
                <w:tab w:val="clear" w:pos="1440"/>
              </w:tabs>
              <w:rPr>
                <w:rFonts w:ascii="Times New Roman" w:hAnsi="Times New Roman" w:cs="Times New Roman"/>
                <w:b/>
                <w:bCs/>
              </w:rPr>
            </w:pPr>
            <w:r>
              <w:rPr>
                <w:rFonts w:ascii="Times New Roman" w:hAnsi="Times New Roman" w:cs="Times New Roman"/>
                <w:b/>
                <w:bCs/>
              </w:rPr>
              <w:t>4</w:t>
            </w:r>
          </w:p>
        </w:tc>
        <w:tc>
          <w:tcPr>
            <w:tcW w:w="2976" w:type="dxa"/>
            <w:tcBorders>
              <w:top w:val="single" w:color="auto" w:sz="4" w:space="0"/>
              <w:left w:val="single" w:color="auto" w:sz="4" w:space="0"/>
              <w:bottom w:val="single" w:color="auto" w:sz="4" w:space="0"/>
              <w:right w:val="single" w:color="auto" w:sz="4" w:space="0"/>
            </w:tcBorders>
          </w:tcPr>
          <w:p w14:paraId="5656C424">
            <w:pPr>
              <w:numPr>
                <w:ilvl w:val="1"/>
                <w:numId w:val="4"/>
              </w:numPr>
              <w:tabs>
                <w:tab w:val="clear" w:pos="1440"/>
              </w:tabs>
              <w:rPr>
                <w:rFonts w:ascii="Times New Roman" w:hAnsi="Times New Roman" w:cs="Times New Roman"/>
                <w:b/>
                <w:bCs/>
              </w:rPr>
            </w:pPr>
            <w:r>
              <w:rPr>
                <w:rFonts w:ascii="Times New Roman" w:hAnsi="Times New Roman" w:cs="Times New Roman"/>
                <w:b/>
                <w:bCs/>
              </w:rPr>
              <w:t>Intermediate risk(10%-50%)_</w:t>
            </w:r>
          </w:p>
        </w:tc>
        <w:tc>
          <w:tcPr>
            <w:tcW w:w="5044" w:type="dxa"/>
            <w:tcBorders>
              <w:top w:val="single" w:color="auto" w:sz="4" w:space="0"/>
              <w:left w:val="single" w:color="auto" w:sz="4" w:space="0"/>
              <w:bottom w:val="single" w:color="auto" w:sz="4" w:space="0"/>
              <w:right w:val="single" w:color="auto" w:sz="4" w:space="0"/>
            </w:tcBorders>
          </w:tcPr>
          <w:p w14:paraId="69ACFE66">
            <w:pPr>
              <w:numPr>
                <w:ilvl w:val="1"/>
                <w:numId w:val="4"/>
              </w:numPr>
              <w:tabs>
                <w:tab w:val="clear" w:pos="1440"/>
              </w:tabs>
              <w:rPr>
                <w:rFonts w:ascii="Times New Roman" w:hAnsi="Times New Roman" w:cs="Times New Roman"/>
                <w:b/>
                <w:bCs/>
              </w:rPr>
            </w:pPr>
            <w:r>
              <w:rPr>
                <w:rFonts w:ascii="Times New Roman" w:hAnsi="Times New Roman" w:cs="Times New Roman"/>
                <w:b/>
                <w:bCs/>
              </w:rPr>
              <w:t>1. Multilocular cyst with no solid component(≥10cm,smooth inner wall,CS=1-3;any size,smooth inner wall,CS=4;any size ,irregular inner wall and/ or irregular seoatation,any colour score)</w:t>
            </w:r>
          </w:p>
          <w:p w14:paraId="2C5BB95A">
            <w:pPr>
              <w:numPr>
                <w:ilvl w:val="1"/>
                <w:numId w:val="4"/>
              </w:numPr>
              <w:tabs>
                <w:tab w:val="clear" w:pos="1440"/>
              </w:tabs>
              <w:rPr>
                <w:rFonts w:ascii="Times New Roman" w:hAnsi="Times New Roman" w:cs="Times New Roman"/>
                <w:b/>
                <w:bCs/>
              </w:rPr>
            </w:pPr>
            <w:r>
              <w:rPr>
                <w:rFonts w:ascii="Times New Roman" w:hAnsi="Times New Roman" w:cs="Times New Roman"/>
                <w:b/>
                <w:bCs/>
              </w:rPr>
              <w:t>2.Unilocular cyst with solid component,any size,0-3 papillary projection(height&gt;3mm),any colour score</w:t>
            </w:r>
          </w:p>
          <w:p w14:paraId="5E365433">
            <w:pPr>
              <w:numPr>
                <w:ilvl w:val="1"/>
                <w:numId w:val="4"/>
              </w:numPr>
              <w:tabs>
                <w:tab w:val="clear" w:pos="1440"/>
              </w:tabs>
              <w:rPr>
                <w:rFonts w:ascii="Times New Roman" w:hAnsi="Times New Roman" w:cs="Times New Roman"/>
                <w:b/>
                <w:bCs/>
              </w:rPr>
            </w:pPr>
            <w:r>
              <w:rPr>
                <w:rFonts w:ascii="Times New Roman" w:hAnsi="Times New Roman" w:cs="Times New Roman"/>
                <w:b/>
                <w:bCs/>
              </w:rPr>
              <w:t>3Multilocular cyst with solid component,any size,CS=1-2</w:t>
            </w:r>
          </w:p>
          <w:p w14:paraId="7F9FF5E0">
            <w:pPr>
              <w:numPr>
                <w:ilvl w:val="1"/>
                <w:numId w:val="4"/>
              </w:numPr>
              <w:tabs>
                <w:tab w:val="clear" w:pos="1440"/>
              </w:tabs>
              <w:rPr>
                <w:rFonts w:ascii="Times New Roman" w:hAnsi="Times New Roman" w:cs="Times New Roman"/>
                <w:b/>
                <w:bCs/>
              </w:rPr>
            </w:pPr>
            <w:r>
              <w:rPr>
                <w:rFonts w:ascii="Times New Roman" w:hAnsi="Times New Roman" w:cs="Times New Roman"/>
                <w:b/>
                <w:bCs/>
              </w:rPr>
              <w:t>4.Solid ,smooth, any size, CS=2-3</w:t>
            </w:r>
          </w:p>
        </w:tc>
      </w:tr>
      <w:tr w14:paraId="3D27D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0"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1A1A2AC4">
            <w:pPr>
              <w:numPr>
                <w:ilvl w:val="1"/>
                <w:numId w:val="4"/>
              </w:numPr>
              <w:tabs>
                <w:tab w:val="clear" w:pos="1440"/>
              </w:tabs>
              <w:rPr>
                <w:rFonts w:ascii="Times New Roman" w:hAnsi="Times New Roman" w:cs="Times New Roman"/>
                <w:b/>
                <w:bCs/>
              </w:rPr>
            </w:pPr>
            <w:r>
              <w:rPr>
                <w:rFonts w:ascii="Times New Roman" w:hAnsi="Times New Roman" w:cs="Times New Roman"/>
                <w:b/>
                <w:bCs/>
              </w:rPr>
              <w:t>5</w:t>
            </w:r>
          </w:p>
        </w:tc>
        <w:tc>
          <w:tcPr>
            <w:tcW w:w="2976"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4B6F353A">
            <w:pPr>
              <w:numPr>
                <w:ilvl w:val="1"/>
                <w:numId w:val="4"/>
              </w:numPr>
              <w:tabs>
                <w:tab w:val="clear" w:pos="1440"/>
              </w:tabs>
              <w:rPr>
                <w:rFonts w:ascii="Times New Roman" w:hAnsi="Times New Roman" w:cs="Times New Roman"/>
                <w:b/>
                <w:bCs/>
              </w:rPr>
            </w:pPr>
            <w:r>
              <w:rPr>
                <w:rFonts w:ascii="Times New Roman" w:hAnsi="Times New Roman" w:cs="Times New Roman"/>
                <w:b/>
                <w:bCs/>
              </w:rPr>
              <w:t>High risk(&gt;50%)</w:t>
            </w:r>
          </w:p>
        </w:tc>
        <w:tc>
          <w:tcPr>
            <w:tcW w:w="5044" w:type="dxa"/>
            <w:tcBorders>
              <w:top w:val="single" w:color="auto" w:sz="4" w:space="0"/>
              <w:left w:val="single" w:color="auto" w:sz="4" w:space="0"/>
              <w:bottom w:val="single" w:color="auto" w:sz="4" w:space="0"/>
              <w:right w:val="single" w:color="auto" w:sz="4" w:space="0"/>
            </w:tcBorders>
            <w:shd w:val="clear" w:color="auto" w:fill="D9F2D0" w:themeFill="accent6" w:themeFillTint="33"/>
          </w:tcPr>
          <w:p w14:paraId="0534B3F3">
            <w:pPr>
              <w:numPr>
                <w:ilvl w:val="1"/>
                <w:numId w:val="4"/>
              </w:numPr>
              <w:tabs>
                <w:tab w:val="clear" w:pos="1440"/>
              </w:tabs>
              <w:rPr>
                <w:rFonts w:ascii="Times New Roman" w:hAnsi="Times New Roman" w:cs="Times New Roman"/>
                <w:b/>
                <w:bCs/>
              </w:rPr>
            </w:pPr>
            <w:r>
              <w:rPr>
                <w:rFonts w:ascii="Times New Roman" w:hAnsi="Times New Roman" w:cs="Times New Roman"/>
                <w:b/>
                <w:bCs/>
              </w:rPr>
              <w:t>1.Unilocular cyst, any size,≥ papillary projection, any color score</w:t>
            </w:r>
          </w:p>
          <w:p w14:paraId="4AF8D8EA">
            <w:pPr>
              <w:numPr>
                <w:ilvl w:val="1"/>
                <w:numId w:val="4"/>
              </w:numPr>
              <w:tabs>
                <w:tab w:val="clear" w:pos="1440"/>
              </w:tabs>
              <w:rPr>
                <w:rFonts w:ascii="Times New Roman" w:hAnsi="Times New Roman" w:cs="Times New Roman"/>
                <w:b/>
                <w:bCs/>
              </w:rPr>
            </w:pPr>
            <w:r>
              <w:rPr>
                <w:rFonts w:ascii="Times New Roman" w:hAnsi="Times New Roman" w:cs="Times New Roman"/>
                <w:b/>
                <w:bCs/>
              </w:rPr>
              <w:t>2.Multilocular cyst with solid component, any size, CS=3-4</w:t>
            </w:r>
          </w:p>
          <w:p w14:paraId="74BFC0D8">
            <w:pPr>
              <w:numPr>
                <w:ilvl w:val="1"/>
                <w:numId w:val="4"/>
              </w:numPr>
              <w:tabs>
                <w:tab w:val="clear" w:pos="1440"/>
              </w:tabs>
              <w:rPr>
                <w:rFonts w:ascii="Times New Roman" w:hAnsi="Times New Roman" w:cs="Times New Roman"/>
                <w:b/>
                <w:bCs/>
              </w:rPr>
            </w:pPr>
            <w:r>
              <w:rPr>
                <w:rFonts w:ascii="Times New Roman" w:hAnsi="Times New Roman" w:cs="Times New Roman"/>
                <w:b/>
                <w:bCs/>
              </w:rPr>
              <w:t>3.Solid,smooth,any size, CS=4</w:t>
            </w:r>
          </w:p>
          <w:p w14:paraId="13E9C000">
            <w:pPr>
              <w:numPr>
                <w:ilvl w:val="1"/>
                <w:numId w:val="4"/>
              </w:numPr>
              <w:tabs>
                <w:tab w:val="clear" w:pos="1440"/>
              </w:tabs>
              <w:rPr>
                <w:rFonts w:ascii="Times New Roman" w:hAnsi="Times New Roman" w:cs="Times New Roman"/>
                <w:b/>
                <w:bCs/>
              </w:rPr>
            </w:pPr>
            <w:r>
              <w:rPr>
                <w:rFonts w:ascii="Times New Roman" w:hAnsi="Times New Roman" w:cs="Times New Roman"/>
                <w:b/>
                <w:bCs/>
              </w:rPr>
              <w:t>4.Solid irregular, any size, any color score</w:t>
            </w:r>
          </w:p>
          <w:p w14:paraId="253EC226">
            <w:pPr>
              <w:numPr>
                <w:ilvl w:val="1"/>
                <w:numId w:val="4"/>
              </w:numPr>
              <w:tabs>
                <w:tab w:val="clear" w:pos="1440"/>
              </w:tabs>
              <w:rPr>
                <w:rFonts w:ascii="Times New Roman" w:hAnsi="Times New Roman" w:cs="Times New Roman"/>
                <w:b/>
                <w:bCs/>
              </w:rPr>
            </w:pPr>
            <w:r>
              <w:rPr>
                <w:rFonts w:ascii="Times New Roman" w:hAnsi="Times New Roman" w:cs="Times New Roman"/>
                <w:b/>
                <w:bCs/>
              </w:rPr>
              <w:t>5.Ascites and/or peritoneal deposits</w:t>
            </w:r>
          </w:p>
          <w:p w14:paraId="532F121E">
            <w:pPr>
              <w:numPr>
                <w:ilvl w:val="1"/>
                <w:numId w:val="4"/>
              </w:numPr>
              <w:tabs>
                <w:tab w:val="clear" w:pos="1440"/>
              </w:tabs>
              <w:rPr>
                <w:rFonts w:ascii="Times New Roman" w:hAnsi="Times New Roman" w:cs="Times New Roman"/>
                <w:b/>
                <w:bCs/>
              </w:rPr>
            </w:pPr>
          </w:p>
        </w:tc>
      </w:tr>
    </w:tbl>
    <w:p w14:paraId="0041AE4D">
      <w:pPr>
        <w:rPr>
          <w:rFonts w:ascii="Times New Roman" w:hAnsi="Times New Roman" w:cs="Times New Roman"/>
          <w:b/>
          <w:bCs/>
        </w:rPr>
      </w:pPr>
      <w:r>
        <w:rPr>
          <w:rFonts w:ascii="Times New Roman" w:hAnsi="Times New Roman" w:cs="Times New Roman"/>
          <w:b/>
          <w:bCs/>
        </w:rPr>
        <w:t xml:space="preserve">            </w:t>
      </w:r>
    </w:p>
    <w:p w14:paraId="57E2FCA8">
      <w:pPr>
        <w:pStyle w:val="2"/>
        <w:rPr>
          <w:rFonts w:ascii="Times New Roman" w:hAnsi="Times New Roman" w:cs="Times New Roman"/>
          <w:sz w:val="36"/>
          <w:szCs w:val="36"/>
        </w:rPr>
      </w:pPr>
      <w:r>
        <w:rPr>
          <w:rFonts w:ascii="Times New Roman" w:hAnsi="Times New Roman" w:cs="Times New Roman"/>
          <w:sz w:val="24"/>
          <w:szCs w:val="24"/>
        </w:rPr>
        <w:t xml:space="preserve">     </w:t>
      </w:r>
      <w:r>
        <w:rPr>
          <w:rFonts w:ascii="Times New Roman" w:hAnsi="Times New Roman" w:cs="Times New Roman"/>
          <w:sz w:val="36"/>
          <w:szCs w:val="36"/>
        </w:rPr>
        <w:t xml:space="preserve"> MRI</w:t>
      </w:r>
    </w:p>
    <w:p w14:paraId="635B6528">
      <w:pPr>
        <w:pStyle w:val="31"/>
        <w:numPr>
          <w:ilvl w:val="0"/>
          <w:numId w:val="5"/>
        </w:numPr>
        <w:rPr>
          <w:rFonts w:ascii="Times New Roman" w:hAnsi="Times New Roman" w:cs="Times New Roman"/>
        </w:rPr>
      </w:pPr>
      <w:r>
        <w:rPr>
          <w:rFonts w:ascii="Times New Roman" w:hAnsi="Times New Roman" w:cs="Times New Roman"/>
        </w:rPr>
        <w:t>Conventional MRI</w:t>
      </w:r>
    </w:p>
    <w:p w14:paraId="23101796">
      <w:pPr>
        <w:pStyle w:val="31"/>
        <w:numPr>
          <w:ilvl w:val="0"/>
          <w:numId w:val="5"/>
        </w:numPr>
        <w:rPr>
          <w:rFonts w:ascii="Times New Roman" w:hAnsi="Times New Roman" w:cs="Times New Roman"/>
        </w:rPr>
      </w:pPr>
      <w:r>
        <w:rPr>
          <w:rFonts w:ascii="Times New Roman" w:hAnsi="Times New Roman" w:cs="Times New Roman"/>
        </w:rPr>
        <w:t>sensitivity of 92%(89-94%)</w:t>
      </w:r>
    </w:p>
    <w:p w14:paraId="20C01331">
      <w:pPr>
        <w:pStyle w:val="31"/>
        <w:numPr>
          <w:ilvl w:val="0"/>
          <w:numId w:val="5"/>
        </w:numPr>
        <w:rPr>
          <w:rFonts w:ascii="Times New Roman" w:hAnsi="Times New Roman" w:cs="Times New Roman"/>
        </w:rPr>
      </w:pPr>
      <w:r>
        <w:rPr>
          <w:rFonts w:ascii="Times New Roman" w:hAnsi="Times New Roman" w:cs="Times New Roman"/>
        </w:rPr>
        <w:t xml:space="preserve">Specificity of 88%(84-92%) </w:t>
      </w:r>
    </w:p>
    <w:p w14:paraId="29F15D90">
      <w:pPr>
        <w:pStyle w:val="31"/>
        <w:numPr>
          <w:ilvl w:val="0"/>
          <w:numId w:val="0"/>
        </w:numPr>
        <w:ind w:left="360" w:leftChars="0"/>
        <w:rPr>
          <w:rFonts w:ascii="Times New Roman" w:hAnsi="Times New Roman" w:cs="Times New Roman"/>
        </w:rPr>
      </w:pPr>
    </w:p>
    <w:p w14:paraId="0C9CF6B5">
      <w:pPr>
        <w:pStyle w:val="31"/>
        <w:numPr>
          <w:ilvl w:val="0"/>
          <w:numId w:val="0"/>
        </w:numPr>
        <w:ind w:left="360" w:leftChars="0"/>
        <w:rPr>
          <w:rFonts w:ascii="Times New Roman" w:hAnsi="Times New Roman" w:cs="Times New Roman"/>
        </w:rPr>
      </w:pPr>
    </w:p>
    <w:p w14:paraId="61E216D0">
      <w:pPr>
        <w:pStyle w:val="31"/>
        <w:numPr>
          <w:ilvl w:val="0"/>
          <w:numId w:val="0"/>
        </w:num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O-RADS MR Scoring</w:t>
      </w:r>
    </w:p>
    <w:p w14:paraId="69459C84">
      <w:pPr>
        <w:pStyle w:val="31"/>
        <w:numPr>
          <w:ilvl w:val="0"/>
          <w:numId w:val="0"/>
        </w:numPr>
        <w:ind w:leftChars="1150"/>
        <w:rPr>
          <w:rFonts w:hint="default" w:ascii="Times New Roman" w:hAnsi="Times New Roman" w:cs="Times New Roman"/>
          <w:lang w:val="en-US"/>
        </w:rPr>
      </w:pPr>
    </w:p>
    <w:p w14:paraId="38AF4A09">
      <w:pPr>
        <w:pStyle w:val="31"/>
        <w:numPr>
          <w:ilvl w:val="0"/>
          <w:numId w:val="0"/>
        </w:numPr>
        <w:ind w:leftChars="1150"/>
        <w:rPr>
          <w:rFonts w:hint="default" w:ascii="Times New Roman" w:hAnsi="Times New Roman" w:cs="Times New Roman"/>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14:paraId="5658A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shd w:val="clear" w:color="auto" w:fill="83CAEB" w:themeFill="accent1" w:themeFillTint="66"/>
          </w:tcPr>
          <w:p w14:paraId="19AE6D3F">
            <w:pPr>
              <w:pStyle w:val="31"/>
              <w:numPr>
                <w:ilvl w:val="0"/>
                <w:numId w:val="0"/>
              </w:numPr>
              <w:ind w:left="360" w:leftChars="0"/>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SCORE 1</w:t>
            </w:r>
          </w:p>
        </w:tc>
      </w:tr>
    </w:tbl>
    <w:p w14:paraId="6445C776">
      <w:pPr>
        <w:pStyle w:val="31"/>
        <w:numPr>
          <w:ilvl w:val="0"/>
          <w:numId w:val="0"/>
        </w:numPr>
        <w:rPr>
          <w:rFonts w:hint="default" w:ascii="Times New Roman" w:hAnsi="Times New Roman" w:cs="Times New Roman"/>
          <w:lang w:val="en-US"/>
        </w:rPr>
      </w:pPr>
    </w:p>
    <w:p w14:paraId="08301F5E">
      <w:pPr>
        <w:pStyle w:val="31"/>
        <w:numPr>
          <w:ilvl w:val="0"/>
          <w:numId w:val="0"/>
        </w:numPr>
        <w:rPr>
          <w:rFonts w:hint="default" w:ascii="Times New Roman" w:hAnsi="Times New Roman" w:cs="Times New Roman"/>
          <w:lang w:val="en-US"/>
        </w:rPr>
      </w:pPr>
      <w:r>
        <w:rPr>
          <w:rFonts w:hint="default" w:ascii="Times New Roman" w:hAnsi="Times New Roman" w:cs="Times New Roman"/>
          <w:lang w:val="en-US"/>
        </w:rPr>
        <w:t>No ovarian mass/extra-ovarian mass</w:t>
      </w:r>
    </w:p>
    <w:p w14:paraId="00954F24">
      <w:pPr>
        <w:pStyle w:val="31"/>
        <w:numPr>
          <w:ilvl w:val="0"/>
          <w:numId w:val="0"/>
        </w:numPr>
        <w:rPr>
          <w:rFonts w:hint="default" w:ascii="Times New Roman" w:hAnsi="Times New Roman" w:cs="Times New Roman"/>
          <w:lang w:val="en-US"/>
        </w:rPr>
      </w:pPr>
    </w:p>
    <w:p w14:paraId="25F31662">
      <w:pPr>
        <w:pStyle w:val="31"/>
        <w:numPr>
          <w:ilvl w:val="0"/>
          <w:numId w:val="0"/>
        </w:numPr>
        <w:rPr>
          <w:rFonts w:hint="default" w:ascii="Times New Roman" w:hAnsi="Times New Roman" w:cs="Times New Roman"/>
          <w:lang w:val="en-US"/>
        </w:rPr>
      </w:pPr>
      <w:r>
        <w:rPr>
          <w:rFonts w:hint="default" w:ascii="Times New Roman" w:hAnsi="Times New Roman" w:cs="Times New Roman"/>
          <w:lang w:val="en-US"/>
        </w:rPr>
        <w:t>Physiological findings in premenopausal women:Follicle &lt;3cm,Haemorrhagic cyst &lt;3cm or Corpus luteum &lt;3cm</w:t>
      </w:r>
    </w:p>
    <w:p w14:paraId="36F32985">
      <w:pPr>
        <w:pStyle w:val="31"/>
        <w:numPr>
          <w:ilvl w:val="0"/>
          <w:numId w:val="0"/>
        </w:numPr>
        <w:rPr>
          <w:rFonts w:hint="default" w:ascii="Times New Roman" w:hAnsi="Times New Roman" w:cs="Times New Roman"/>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3002"/>
        <w:gridCol w:w="2163"/>
        <w:gridCol w:w="2225"/>
      </w:tblGrid>
      <w:tr w14:paraId="0A8DA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8ED873" w:themeFill="accent6" w:themeFillTint="99"/>
          </w:tcPr>
          <w:p w14:paraId="2D6E5729">
            <w:pPr>
              <w:pStyle w:val="31"/>
              <w:numPr>
                <w:ilvl w:val="0"/>
                <w:numId w:val="0"/>
              </w:numPr>
              <w:ind w:firstLine="480" w:firstLineChars="200"/>
              <w:rPr>
                <w:rFonts w:hint="default" w:ascii="Times New Roman" w:hAnsi="Times New Roman" w:cs="Times New Roman"/>
                <w:vertAlign w:val="baseline"/>
                <w:lang w:val="en-US"/>
              </w:rPr>
            </w:pPr>
            <w:r>
              <w:rPr>
                <w:rFonts w:hint="default" w:ascii="Times New Roman" w:hAnsi="Times New Roman" w:cs="Times New Roman"/>
                <w:vertAlign w:val="baseline"/>
                <w:lang w:val="en-US"/>
              </w:rPr>
              <w:t>SCORE 2</w:t>
            </w:r>
          </w:p>
        </w:tc>
        <w:tc>
          <w:tcPr>
            <w:tcW w:w="2394" w:type="dxa"/>
            <w:shd w:val="clear" w:color="auto" w:fill="FFFF00"/>
          </w:tcPr>
          <w:p w14:paraId="771CB615">
            <w:pPr>
              <w:pStyle w:val="31"/>
              <w:numPr>
                <w:ilvl w:val="0"/>
                <w:numId w:val="0"/>
              </w:numPr>
              <w:ind w:firstLine="600" w:firstLineChars="250"/>
              <w:rPr>
                <w:rFonts w:hint="default" w:ascii="Times New Roman" w:hAnsi="Times New Roman" w:cs="Times New Roman"/>
                <w:vertAlign w:val="baseline"/>
                <w:lang w:val="en-US"/>
              </w:rPr>
            </w:pPr>
            <w:r>
              <w:rPr>
                <w:rFonts w:hint="default" w:ascii="Times New Roman" w:hAnsi="Times New Roman" w:cs="Times New Roman"/>
                <w:vertAlign w:val="baseline"/>
                <w:lang w:val="en-US"/>
              </w:rPr>
              <w:t>SCORE 3</w:t>
            </w:r>
          </w:p>
        </w:tc>
        <w:tc>
          <w:tcPr>
            <w:tcW w:w="2394" w:type="dxa"/>
            <w:shd w:val="clear" w:color="auto" w:fill="FFC000"/>
          </w:tcPr>
          <w:p w14:paraId="18323FF5">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SCORE 4</w:t>
            </w:r>
          </w:p>
        </w:tc>
        <w:tc>
          <w:tcPr>
            <w:tcW w:w="2394" w:type="dxa"/>
            <w:shd w:val="clear" w:color="auto" w:fill="FF0000"/>
          </w:tcPr>
          <w:p w14:paraId="1EB44934">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SCORE 5</w:t>
            </w:r>
          </w:p>
        </w:tc>
      </w:tr>
      <w:tr w14:paraId="0BECE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F1F1F1" w:themeFill="background1" w:themeFillShade="F2"/>
          </w:tcPr>
          <w:p w14:paraId="5050113D">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Simple unilocular cyst</w:t>
            </w:r>
          </w:p>
          <w:p w14:paraId="4B4C5203">
            <w:pPr>
              <w:pStyle w:val="31"/>
              <w:numPr>
                <w:ilvl w:val="0"/>
                <w:numId w:val="0"/>
              </w:numPr>
              <w:rPr>
                <w:rFonts w:hint="default" w:ascii="Times New Roman" w:hAnsi="Times New Roman" w:cs="Times New Roman"/>
                <w:vertAlign w:val="baseline"/>
                <w:lang w:val="en-US"/>
              </w:rPr>
            </w:pPr>
          </w:p>
          <w:p w14:paraId="05F55D09">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Unilocular endometriotic cyst</w:t>
            </w:r>
          </w:p>
          <w:p w14:paraId="16CB8DA5">
            <w:pPr>
              <w:pStyle w:val="31"/>
              <w:numPr>
                <w:ilvl w:val="0"/>
                <w:numId w:val="0"/>
              </w:numPr>
              <w:rPr>
                <w:rFonts w:hint="default" w:ascii="Times New Roman" w:hAnsi="Times New Roman" w:cs="Times New Roman"/>
                <w:vertAlign w:val="baseline"/>
                <w:lang w:val="en-US"/>
              </w:rPr>
            </w:pPr>
          </w:p>
          <w:p w14:paraId="7C9BC601">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Lesion with fat with out solid tissue except Rokitansky nodule</w:t>
            </w:r>
          </w:p>
          <w:p w14:paraId="6F1140FB">
            <w:pPr>
              <w:pStyle w:val="31"/>
              <w:numPr>
                <w:ilvl w:val="0"/>
                <w:numId w:val="0"/>
              </w:numPr>
              <w:rPr>
                <w:rFonts w:hint="default" w:ascii="Times New Roman" w:hAnsi="Times New Roman" w:cs="Times New Roman"/>
                <w:vertAlign w:val="baseline"/>
                <w:lang w:val="en-US"/>
              </w:rPr>
            </w:pPr>
          </w:p>
          <w:p w14:paraId="005365B6">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Solid dark-dark lesion</w:t>
            </w:r>
          </w:p>
          <w:p w14:paraId="26570079">
            <w:pPr>
              <w:pStyle w:val="31"/>
              <w:numPr>
                <w:ilvl w:val="0"/>
                <w:numId w:val="0"/>
              </w:numPr>
              <w:rPr>
                <w:rFonts w:hint="default" w:ascii="Times New Roman" w:hAnsi="Times New Roman" w:cs="Times New Roman"/>
                <w:vertAlign w:val="baseline"/>
                <w:lang w:val="en-US"/>
              </w:rPr>
            </w:pPr>
          </w:p>
          <w:p w14:paraId="309EEFB4">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Hydrosalpinx</w:t>
            </w:r>
          </w:p>
          <w:p w14:paraId="3DCD569B">
            <w:pPr>
              <w:pStyle w:val="31"/>
              <w:numPr>
                <w:ilvl w:val="0"/>
                <w:numId w:val="0"/>
              </w:numPr>
              <w:rPr>
                <w:rFonts w:hint="default" w:ascii="Times New Roman" w:hAnsi="Times New Roman" w:cs="Times New Roman"/>
                <w:vertAlign w:val="baseline"/>
                <w:lang w:val="en-US"/>
              </w:rPr>
            </w:pPr>
          </w:p>
          <w:p w14:paraId="71268208">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Paraovarian cyst</w:t>
            </w:r>
          </w:p>
        </w:tc>
        <w:tc>
          <w:tcPr>
            <w:tcW w:w="2394" w:type="dxa"/>
            <w:shd w:val="clear" w:color="auto" w:fill="F1F1F1" w:themeFill="background1" w:themeFillShade="F2"/>
          </w:tcPr>
          <w:p w14:paraId="521F63A9">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Proteinaceous,haemorrhagic, or mucinous unilocular cyst</w:t>
            </w:r>
          </w:p>
          <w:p w14:paraId="4E8B1714">
            <w:pPr>
              <w:pStyle w:val="31"/>
              <w:numPr>
                <w:ilvl w:val="0"/>
                <w:numId w:val="0"/>
              </w:numPr>
              <w:rPr>
                <w:rFonts w:hint="default" w:ascii="Times New Roman" w:hAnsi="Times New Roman" w:cs="Times New Roman"/>
                <w:vertAlign w:val="baseline"/>
                <w:lang w:val="en-US"/>
              </w:rPr>
            </w:pPr>
          </w:p>
          <w:p w14:paraId="418ED3DD">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Multilocular cyst of any type</w:t>
            </w:r>
          </w:p>
          <w:p w14:paraId="1AA1682C">
            <w:pPr>
              <w:pStyle w:val="31"/>
              <w:numPr>
                <w:ilvl w:val="0"/>
                <w:numId w:val="0"/>
              </w:numPr>
              <w:rPr>
                <w:rFonts w:hint="default" w:ascii="Times New Roman" w:hAnsi="Times New Roman" w:cs="Times New Roman"/>
                <w:vertAlign w:val="baseline"/>
                <w:lang w:val="en-US"/>
              </w:rPr>
            </w:pPr>
          </w:p>
          <w:p w14:paraId="64B0BAA9">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Lesion with solid tissue showing low-risk uptake curve (TYPE 1)</w:t>
            </w:r>
          </w:p>
          <w:p w14:paraId="52FE3710">
            <w:pPr>
              <w:pStyle w:val="31"/>
              <w:numPr>
                <w:ilvl w:val="0"/>
                <w:numId w:val="0"/>
              </w:numPr>
              <w:rPr>
                <w:rFonts w:hint="default" w:ascii="Times New Roman" w:hAnsi="Times New Roman" w:cs="Times New Roman"/>
                <w:vertAlign w:val="baseline"/>
                <w:lang w:val="en-US"/>
              </w:rPr>
            </w:pPr>
          </w:p>
          <w:p w14:paraId="6E75C5C6">
            <w:pPr>
              <w:pStyle w:val="31"/>
              <w:numPr>
                <w:ilvl w:val="0"/>
                <w:numId w:val="0"/>
              </w:numPr>
              <w:rPr>
                <w:rFonts w:hint="default" w:ascii="Times New Roman" w:hAnsi="Times New Roman" w:cs="Times New Roman"/>
                <w:vertAlign w:val="baseline"/>
                <w:lang w:val="en-US"/>
              </w:rPr>
            </w:pPr>
          </w:p>
          <w:p w14:paraId="4141D6D8">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Pyosalpinx</w:t>
            </w:r>
          </w:p>
          <w:p w14:paraId="56EE7095">
            <w:pPr>
              <w:pStyle w:val="31"/>
              <w:numPr>
                <w:ilvl w:val="0"/>
                <w:numId w:val="0"/>
              </w:numPr>
              <w:rPr>
                <w:rFonts w:hint="default" w:ascii="Times New Roman" w:hAnsi="Times New Roman" w:cs="Times New Roman"/>
                <w:vertAlign w:val="baseline"/>
                <w:lang w:val="en-US"/>
              </w:rPr>
            </w:pPr>
          </w:p>
          <w:p w14:paraId="1B264958">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Haematosalpinx</w:t>
            </w:r>
          </w:p>
        </w:tc>
        <w:tc>
          <w:tcPr>
            <w:tcW w:w="2394" w:type="dxa"/>
            <w:shd w:val="clear" w:color="auto" w:fill="F1F1F1" w:themeFill="background1" w:themeFillShade="F2"/>
          </w:tcPr>
          <w:p w14:paraId="766E91F6">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Any lesion with solid tissue and intermediate risk uptake curve (TYPE 2)</w:t>
            </w:r>
          </w:p>
          <w:p w14:paraId="6831E4AD">
            <w:pPr>
              <w:pStyle w:val="31"/>
              <w:numPr>
                <w:ilvl w:val="0"/>
                <w:numId w:val="0"/>
              </w:numPr>
              <w:rPr>
                <w:rFonts w:hint="default" w:ascii="Times New Roman" w:hAnsi="Times New Roman" w:cs="Times New Roman"/>
                <w:vertAlign w:val="baseline"/>
                <w:lang w:val="en-US"/>
              </w:rPr>
            </w:pPr>
          </w:p>
          <w:p w14:paraId="16E7A548">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If there is no dynamic study, solid tissue uptake less than the myometrium at 30-40 s</w:t>
            </w:r>
          </w:p>
          <w:p w14:paraId="0129080C">
            <w:pPr>
              <w:pStyle w:val="31"/>
              <w:numPr>
                <w:ilvl w:val="0"/>
                <w:numId w:val="0"/>
              </w:numPr>
              <w:rPr>
                <w:rFonts w:hint="default" w:ascii="Times New Roman" w:hAnsi="Times New Roman" w:cs="Times New Roman"/>
                <w:vertAlign w:val="baseline"/>
                <w:lang w:val="en-US"/>
              </w:rPr>
            </w:pPr>
          </w:p>
          <w:p w14:paraId="73FB2FC6">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Lesion with fat,but with solid tissue (not Rokitansky nodule)</w:t>
            </w:r>
          </w:p>
        </w:tc>
        <w:tc>
          <w:tcPr>
            <w:tcW w:w="2394" w:type="dxa"/>
            <w:shd w:val="clear" w:color="auto" w:fill="F1F1F1" w:themeFill="background1" w:themeFillShade="F2"/>
          </w:tcPr>
          <w:p w14:paraId="1D04592C">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Any lesion with solid tissue and high risk uptake curve (TYPE 3)</w:t>
            </w:r>
          </w:p>
          <w:p w14:paraId="2E3401B8">
            <w:pPr>
              <w:pStyle w:val="31"/>
              <w:numPr>
                <w:ilvl w:val="0"/>
                <w:numId w:val="0"/>
              </w:numPr>
              <w:rPr>
                <w:rFonts w:hint="default" w:ascii="Times New Roman" w:hAnsi="Times New Roman" w:cs="Times New Roman"/>
                <w:vertAlign w:val="baseline"/>
                <w:lang w:val="en-US"/>
              </w:rPr>
            </w:pPr>
          </w:p>
          <w:p w14:paraId="6EDCD01F">
            <w:pPr>
              <w:pStyle w:val="31"/>
              <w:numPr>
                <w:ilvl w:val="0"/>
                <w:numId w:val="0"/>
              </w:numPr>
              <w:rPr>
                <w:rFonts w:hint="default" w:ascii="Times New Roman" w:hAnsi="Times New Roman" w:cs="Times New Roman"/>
                <w:vertAlign w:val="baseline"/>
                <w:lang w:val="en-US"/>
              </w:rPr>
            </w:pPr>
          </w:p>
          <w:p w14:paraId="68C54F79">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If there is no dynamic study, solid tissue uptake greater than the mymetrium at 30-40 s</w:t>
            </w:r>
          </w:p>
          <w:p w14:paraId="0ECFC3CB">
            <w:pPr>
              <w:pStyle w:val="31"/>
              <w:numPr>
                <w:ilvl w:val="0"/>
                <w:numId w:val="0"/>
              </w:numPr>
              <w:rPr>
                <w:rFonts w:hint="default" w:ascii="Times New Roman" w:hAnsi="Times New Roman" w:cs="Times New Roman"/>
                <w:vertAlign w:val="baseline"/>
                <w:lang w:val="en-US"/>
              </w:rPr>
            </w:pPr>
          </w:p>
          <w:p w14:paraId="38D798B3">
            <w:pPr>
              <w:pStyle w:val="31"/>
              <w:numPr>
                <w:ilvl w:val="0"/>
                <w:numId w:val="0"/>
              </w:numPr>
              <w:rPr>
                <w:rFonts w:hint="default" w:ascii="Times New Roman" w:hAnsi="Times New Roman" w:cs="Times New Roman"/>
                <w:vertAlign w:val="baseline"/>
                <w:lang w:val="en-US"/>
              </w:rPr>
            </w:pPr>
          </w:p>
          <w:p w14:paraId="2F087583">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Peritoneal carcinomatosis</w:t>
            </w:r>
          </w:p>
        </w:tc>
      </w:tr>
      <w:tr w14:paraId="61928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8ED873" w:themeFill="accent6" w:themeFillTint="99"/>
          </w:tcPr>
          <w:p w14:paraId="54539A64">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Cystic Lesions Dark-Dark Solid Mass</w:t>
            </w:r>
          </w:p>
        </w:tc>
        <w:tc>
          <w:tcPr>
            <w:tcW w:w="2394" w:type="dxa"/>
            <w:shd w:val="clear" w:color="auto" w:fill="FFFF00"/>
          </w:tcPr>
          <w:p w14:paraId="160B869D">
            <w:pPr>
              <w:pStyle w:val="31"/>
              <w:numPr>
                <w:ilvl w:val="0"/>
                <w:numId w:val="0"/>
              </w:numPr>
              <w:rPr>
                <w:rFonts w:hint="default" w:ascii="Times New Roman" w:hAnsi="Times New Roman" w:cs="Times New Roman"/>
                <w:color w:val="FFFF00"/>
                <w:vertAlign w:val="baseline"/>
                <w:lang w:val="en-US"/>
              </w:rPr>
            </w:pPr>
            <w:r>
              <w:rPr>
                <w:rFonts w:hint="default" w:ascii="Times New Roman" w:hAnsi="Times New Roman" w:cs="Times New Roman"/>
                <w:vertAlign w:val="baseline"/>
                <w:lang w:val="en-US"/>
              </w:rPr>
              <w:t>Cystic Lesions Solid Tissue With Low-Risk Curve</w:t>
            </w:r>
          </w:p>
        </w:tc>
        <w:tc>
          <w:tcPr>
            <w:tcW w:w="2394" w:type="dxa"/>
            <w:shd w:val="clear" w:color="auto" w:fill="FFC000"/>
          </w:tcPr>
          <w:p w14:paraId="7A803C77">
            <w:pPr>
              <w:pStyle w:val="31"/>
              <w:numPr>
                <w:ilvl w:val="0"/>
                <w:numId w:val="0"/>
              </w:numPr>
              <w:rPr>
                <w:rFonts w:hint="default" w:ascii="Times New Roman" w:hAnsi="Times New Roman" w:cs="Times New Roman"/>
                <w:color w:val="FFC000"/>
                <w:vertAlign w:val="baseline"/>
                <w:lang w:val="en-US"/>
              </w:rPr>
            </w:pPr>
            <w:r>
              <w:rPr>
                <w:rFonts w:hint="default" w:ascii="Times New Roman" w:hAnsi="Times New Roman" w:cs="Times New Roman"/>
                <w:vertAlign w:val="baseline"/>
                <w:lang w:val="en-US"/>
              </w:rPr>
              <w:t>Solid Component With Intermediate Risk Curve</w:t>
            </w:r>
          </w:p>
        </w:tc>
        <w:tc>
          <w:tcPr>
            <w:tcW w:w="2394" w:type="dxa"/>
            <w:shd w:val="clear" w:color="auto" w:fill="FF0000"/>
          </w:tcPr>
          <w:p w14:paraId="5B2349AA">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Solid Component With High Risk Curve</w:t>
            </w:r>
          </w:p>
          <w:p w14:paraId="758329DA">
            <w:pPr>
              <w:pStyle w:val="31"/>
              <w:numPr>
                <w:ilvl w:val="0"/>
                <w:numId w:val="0"/>
              </w:numPr>
              <w:rPr>
                <w:rFonts w:hint="default" w:ascii="Times New Roman" w:hAnsi="Times New Roman" w:cs="Times New Roman"/>
                <w:vertAlign w:val="baseline"/>
                <w:lang w:val="en-US"/>
              </w:rPr>
            </w:pPr>
          </w:p>
          <w:p w14:paraId="5126DEB0">
            <w:pPr>
              <w:pStyle w:val="31"/>
              <w:numPr>
                <w:ilvl w:val="0"/>
                <w:numId w:val="0"/>
              </w:numPr>
              <w:rPr>
                <w:rFonts w:hint="default" w:ascii="Times New Roman" w:hAnsi="Times New Roman" w:cs="Times New Roman"/>
                <w:vertAlign w:val="baseline"/>
                <w:lang w:val="en-US"/>
              </w:rPr>
            </w:pPr>
            <w:r>
              <w:rPr>
                <w:rFonts w:hint="default" w:ascii="Times New Roman" w:hAnsi="Times New Roman" w:cs="Times New Roman"/>
                <w:vertAlign w:val="baseline"/>
                <w:lang w:val="en-US"/>
              </w:rPr>
              <w:t>Carcinomatosis</w:t>
            </w:r>
          </w:p>
        </w:tc>
      </w:tr>
    </w:tbl>
    <w:p w14:paraId="74E62488">
      <w:pPr>
        <w:pStyle w:val="31"/>
        <w:numPr>
          <w:ilvl w:val="0"/>
          <w:numId w:val="0"/>
        </w:numPr>
        <w:rPr>
          <w:rFonts w:ascii="Times New Roman" w:hAnsi="Times New Roman" w:cs="Times New Roman"/>
        </w:rPr>
      </w:pPr>
    </w:p>
    <w:p w14:paraId="4E3BFBC4">
      <w:pPr>
        <w:pStyle w:val="31"/>
        <w:numPr>
          <w:ilvl w:val="0"/>
          <w:numId w:val="0"/>
        </w:numPr>
        <w:rPr>
          <w:rFonts w:ascii="Times New Roman" w:hAnsi="Times New Roman" w:cs="Times New Roman"/>
        </w:rPr>
      </w:pPr>
      <w:r>
        <w:rPr>
          <w:rFonts w:ascii="Times New Roman" w:hAnsi="Times New Roman" w:cs="Times New Roman"/>
        </w:rPr>
        <w:t xml:space="preserve">                       </w:t>
      </w:r>
    </w:p>
    <w:p w14:paraId="74DC2990">
      <w:pPr>
        <w:pStyle w:val="2"/>
        <w:rPr>
          <w:rFonts w:ascii="Times New Roman" w:hAnsi="Times New Roman" w:cs="Times New Roman"/>
          <w:sz w:val="36"/>
          <w:szCs w:val="36"/>
        </w:rPr>
      </w:pPr>
      <w:r>
        <w:rPr>
          <w:rFonts w:ascii="Times New Roman" w:hAnsi="Times New Roman" w:cs="Times New Roman"/>
          <w:sz w:val="36"/>
          <w:szCs w:val="36"/>
        </w:rPr>
        <w:t xml:space="preserve"> Comparison of USG and MRI</w:t>
      </w:r>
    </w:p>
    <w:p w14:paraId="609B3040">
      <w:pPr>
        <w:rPr>
          <w:rFonts w:ascii="Times New Roman" w:hAnsi="Times New Roman" w:cs="Times New Roman"/>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73F023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92D050"/>
          </w:tcPr>
          <w:p w14:paraId="15C028BA">
            <w:pPr>
              <w:rPr>
                <w:rFonts w:ascii="Times New Roman" w:hAnsi="Times New Roman" w:cs="Times New Roman"/>
              </w:rPr>
            </w:pPr>
            <w:r>
              <w:rPr>
                <w:rFonts w:ascii="Times New Roman" w:hAnsi="Times New Roman" w:cs="Times New Roman"/>
              </w:rPr>
              <w:t>Feature</w:t>
            </w:r>
          </w:p>
        </w:tc>
        <w:tc>
          <w:tcPr>
            <w:tcW w:w="3117" w:type="dxa"/>
            <w:shd w:val="clear" w:color="auto" w:fill="92D050"/>
          </w:tcPr>
          <w:p w14:paraId="17B0047A">
            <w:pPr>
              <w:rPr>
                <w:rFonts w:ascii="Times New Roman" w:hAnsi="Times New Roman" w:cs="Times New Roman"/>
              </w:rPr>
            </w:pPr>
            <w:r>
              <w:rPr>
                <w:rFonts w:ascii="Times New Roman" w:hAnsi="Times New Roman" w:cs="Times New Roman"/>
              </w:rPr>
              <w:t>Ultrasound</w:t>
            </w:r>
          </w:p>
        </w:tc>
        <w:tc>
          <w:tcPr>
            <w:tcW w:w="3117" w:type="dxa"/>
            <w:shd w:val="clear" w:color="auto" w:fill="92D050"/>
          </w:tcPr>
          <w:p w14:paraId="7DBE26D1">
            <w:pPr>
              <w:rPr>
                <w:rFonts w:ascii="Times New Roman" w:hAnsi="Times New Roman" w:cs="Times New Roman"/>
              </w:rPr>
            </w:pPr>
            <w:r>
              <w:rPr>
                <w:rFonts w:ascii="Times New Roman" w:hAnsi="Times New Roman" w:cs="Times New Roman"/>
              </w:rPr>
              <w:t>MRI</w:t>
            </w:r>
          </w:p>
        </w:tc>
      </w:tr>
      <w:tr w14:paraId="424E26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D7D7D7" w:themeFill="background1" w:themeFillShade="D8"/>
          </w:tcPr>
          <w:p w14:paraId="4789936A">
            <w:pPr>
              <w:rPr>
                <w:rFonts w:ascii="Times New Roman" w:hAnsi="Times New Roman" w:cs="Times New Roman"/>
              </w:rPr>
            </w:pPr>
            <w:r>
              <w:rPr>
                <w:rFonts w:ascii="Times New Roman" w:hAnsi="Times New Roman" w:cs="Times New Roman"/>
              </w:rPr>
              <w:t>Primary role</w:t>
            </w:r>
          </w:p>
        </w:tc>
        <w:tc>
          <w:tcPr>
            <w:tcW w:w="3117" w:type="dxa"/>
            <w:shd w:val="clear" w:color="auto" w:fill="D7D7D7" w:themeFill="background1" w:themeFillShade="D8"/>
          </w:tcPr>
          <w:p w14:paraId="3270353D">
            <w:pPr>
              <w:rPr>
                <w:rFonts w:ascii="Times New Roman" w:hAnsi="Times New Roman" w:cs="Times New Roman"/>
              </w:rPr>
            </w:pPr>
            <w:r>
              <w:rPr>
                <w:rFonts w:ascii="Times New Roman" w:hAnsi="Times New Roman" w:cs="Times New Roman"/>
              </w:rPr>
              <w:t>First line imaging</w:t>
            </w:r>
          </w:p>
        </w:tc>
        <w:tc>
          <w:tcPr>
            <w:tcW w:w="3117" w:type="dxa"/>
            <w:shd w:val="clear" w:color="auto" w:fill="D7D7D7" w:themeFill="background1" w:themeFillShade="D8"/>
          </w:tcPr>
          <w:p w14:paraId="6E1AA5DF">
            <w:pPr>
              <w:rPr>
                <w:rFonts w:ascii="Times New Roman" w:hAnsi="Times New Roman" w:cs="Times New Roman"/>
              </w:rPr>
            </w:pPr>
            <w:r>
              <w:rPr>
                <w:rFonts w:ascii="Times New Roman" w:hAnsi="Times New Roman" w:cs="Times New Roman"/>
              </w:rPr>
              <w:t>Problem solving for indeterminate masses</w:t>
            </w:r>
          </w:p>
        </w:tc>
      </w:tr>
      <w:tr w14:paraId="3421E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83CAEB" w:themeFill="accent1" w:themeFillTint="66"/>
          </w:tcPr>
          <w:p w14:paraId="5E64A0B2">
            <w:pPr>
              <w:rPr>
                <w:rFonts w:ascii="Times New Roman" w:hAnsi="Times New Roman" w:cs="Times New Roman"/>
              </w:rPr>
            </w:pPr>
            <w:r>
              <w:rPr>
                <w:rFonts w:ascii="Times New Roman" w:hAnsi="Times New Roman" w:cs="Times New Roman"/>
              </w:rPr>
              <w:t>Overall accuracy</w:t>
            </w:r>
          </w:p>
        </w:tc>
        <w:tc>
          <w:tcPr>
            <w:tcW w:w="3117" w:type="dxa"/>
            <w:shd w:val="clear" w:color="auto" w:fill="83CAEB" w:themeFill="accent1" w:themeFillTint="66"/>
          </w:tcPr>
          <w:p w14:paraId="41C9002A">
            <w:pPr>
              <w:rPr>
                <w:rFonts w:ascii="Times New Roman" w:hAnsi="Times New Roman" w:cs="Times New Roman"/>
              </w:rPr>
            </w:pPr>
            <w:r>
              <w:rPr>
                <w:rFonts w:ascii="Times New Roman" w:hAnsi="Times New Roman" w:cs="Times New Roman"/>
              </w:rPr>
              <w:t>Good to moderate performance using standardized models</w:t>
            </w:r>
          </w:p>
        </w:tc>
        <w:tc>
          <w:tcPr>
            <w:tcW w:w="3117" w:type="dxa"/>
            <w:shd w:val="clear" w:color="auto" w:fill="83CAEB" w:themeFill="accent1" w:themeFillTint="66"/>
          </w:tcPr>
          <w:p w14:paraId="7BAE32C5">
            <w:pPr>
              <w:rPr>
                <w:rFonts w:ascii="Times New Roman" w:hAnsi="Times New Roman" w:cs="Times New Roman"/>
              </w:rPr>
            </w:pPr>
            <w:r>
              <w:rPr>
                <w:rFonts w:ascii="Times New Roman" w:hAnsi="Times New Roman" w:cs="Times New Roman"/>
              </w:rPr>
              <w:t>High accuracy, superior to US for difficult cases</w:t>
            </w:r>
          </w:p>
        </w:tc>
      </w:tr>
      <w:tr w14:paraId="6D025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D7D7D7" w:themeFill="background1" w:themeFillShade="D8"/>
          </w:tcPr>
          <w:p w14:paraId="49B0228C">
            <w:pPr>
              <w:rPr>
                <w:rFonts w:ascii="Times New Roman" w:hAnsi="Times New Roman" w:cs="Times New Roman"/>
              </w:rPr>
            </w:pPr>
            <w:r>
              <w:rPr>
                <w:rFonts w:ascii="Times New Roman" w:hAnsi="Times New Roman" w:cs="Times New Roman"/>
              </w:rPr>
              <w:t>Strengths</w:t>
            </w:r>
          </w:p>
        </w:tc>
        <w:tc>
          <w:tcPr>
            <w:tcW w:w="3117" w:type="dxa"/>
            <w:shd w:val="clear" w:color="auto" w:fill="D7D7D7" w:themeFill="background1" w:themeFillShade="D8"/>
          </w:tcPr>
          <w:p w14:paraId="263BB3D4">
            <w:pPr>
              <w:rPr>
                <w:rFonts w:ascii="Times New Roman" w:hAnsi="Times New Roman" w:cs="Times New Roman"/>
              </w:rPr>
            </w:pPr>
            <w:r>
              <w:rPr>
                <w:rFonts w:ascii="Times New Roman" w:hAnsi="Times New Roman" w:cs="Times New Roman"/>
              </w:rPr>
              <w:t>Widely available, low cost, no ionizing radiation</w:t>
            </w:r>
          </w:p>
        </w:tc>
        <w:tc>
          <w:tcPr>
            <w:tcW w:w="3117" w:type="dxa"/>
            <w:shd w:val="clear" w:color="auto" w:fill="D7D7D7" w:themeFill="background1" w:themeFillShade="D8"/>
          </w:tcPr>
          <w:p w14:paraId="3629C19C">
            <w:pPr>
              <w:rPr>
                <w:rFonts w:ascii="Times New Roman" w:hAnsi="Times New Roman" w:cs="Times New Roman"/>
                <w:color w:val="BFBFBF" w:themeColor="background1" w:themeShade="BF"/>
              </w:rPr>
            </w:pPr>
            <w:r>
              <w:rPr>
                <w:rFonts w:ascii="Times New Roman" w:hAnsi="Times New Roman" w:cs="Times New Roman"/>
              </w:rPr>
              <w:t>Excellent soft tissue contrast, high specificity</w:t>
            </w:r>
          </w:p>
        </w:tc>
      </w:tr>
      <w:tr w14:paraId="32B43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92D050"/>
          </w:tcPr>
          <w:p w14:paraId="76DAA183">
            <w:pPr>
              <w:rPr>
                <w:rFonts w:ascii="Times New Roman" w:hAnsi="Times New Roman" w:cs="Times New Roman"/>
              </w:rPr>
            </w:pPr>
            <w:r>
              <w:rPr>
                <w:rFonts w:ascii="Times New Roman" w:hAnsi="Times New Roman" w:cs="Times New Roman"/>
              </w:rPr>
              <w:t>Weaknesses</w:t>
            </w:r>
          </w:p>
        </w:tc>
        <w:tc>
          <w:tcPr>
            <w:tcW w:w="3117" w:type="dxa"/>
            <w:shd w:val="clear" w:color="auto" w:fill="92D050"/>
          </w:tcPr>
          <w:p w14:paraId="0EA31BED">
            <w:pPr>
              <w:rPr>
                <w:rFonts w:ascii="Times New Roman" w:hAnsi="Times New Roman" w:cs="Times New Roman"/>
              </w:rPr>
            </w:pPr>
            <w:r>
              <w:rPr>
                <w:rFonts w:ascii="Times New Roman" w:hAnsi="Times New Roman" w:cs="Times New Roman"/>
              </w:rPr>
              <w:t>Operator dependent, lower specificity for indeterminate lesions</w:t>
            </w:r>
          </w:p>
        </w:tc>
        <w:tc>
          <w:tcPr>
            <w:tcW w:w="3117" w:type="dxa"/>
            <w:shd w:val="clear" w:color="auto" w:fill="92D050"/>
          </w:tcPr>
          <w:p w14:paraId="5F40A5FE">
            <w:pPr>
              <w:rPr>
                <w:rFonts w:ascii="Times New Roman" w:hAnsi="Times New Roman" w:cs="Times New Roman"/>
              </w:rPr>
            </w:pPr>
            <w:r>
              <w:rPr>
                <w:rFonts w:ascii="Times New Roman" w:hAnsi="Times New Roman" w:cs="Times New Roman"/>
              </w:rPr>
              <w:t>More expensive, less accessible, requires contrast for optimal characterization</w:t>
            </w:r>
          </w:p>
        </w:tc>
      </w:tr>
      <w:tr w14:paraId="3FCC4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D7D7D7" w:themeFill="background1" w:themeFillShade="D8"/>
          </w:tcPr>
          <w:p w14:paraId="315CE34A">
            <w:pPr>
              <w:rPr>
                <w:rFonts w:ascii="Times New Roman" w:hAnsi="Times New Roman" w:cs="Times New Roman"/>
              </w:rPr>
            </w:pPr>
            <w:r>
              <w:rPr>
                <w:rFonts w:ascii="Times New Roman" w:hAnsi="Times New Roman" w:cs="Times New Roman"/>
              </w:rPr>
              <w:t>Reporting system</w:t>
            </w:r>
          </w:p>
        </w:tc>
        <w:tc>
          <w:tcPr>
            <w:tcW w:w="3117" w:type="dxa"/>
            <w:shd w:val="clear" w:color="auto" w:fill="D7D7D7" w:themeFill="background1" w:themeFillShade="D8"/>
          </w:tcPr>
          <w:p w14:paraId="3EAFFB18">
            <w:pPr>
              <w:rPr>
                <w:rFonts w:ascii="Times New Roman" w:hAnsi="Times New Roman" w:cs="Times New Roman"/>
              </w:rPr>
            </w:pPr>
            <w:r>
              <w:rPr>
                <w:rFonts w:ascii="Times New Roman" w:hAnsi="Times New Roman" w:cs="Times New Roman"/>
              </w:rPr>
              <w:t>IOTA models, O-RADS US</w:t>
            </w:r>
          </w:p>
        </w:tc>
        <w:tc>
          <w:tcPr>
            <w:tcW w:w="3117" w:type="dxa"/>
            <w:shd w:val="clear" w:color="auto" w:fill="D7D7D7" w:themeFill="background1" w:themeFillShade="D8"/>
          </w:tcPr>
          <w:p w14:paraId="15A0CE6E">
            <w:pPr>
              <w:rPr>
                <w:rFonts w:ascii="Times New Roman" w:hAnsi="Times New Roman" w:cs="Times New Roman"/>
              </w:rPr>
            </w:pPr>
            <w:r>
              <w:rPr>
                <w:rFonts w:ascii="Times New Roman" w:hAnsi="Times New Roman" w:cs="Times New Roman"/>
              </w:rPr>
              <w:t>ADNEX MRI, O-RADS MRI</w:t>
            </w:r>
          </w:p>
        </w:tc>
      </w:tr>
      <w:tr w14:paraId="0A71D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83CAEB" w:themeFill="accent1" w:themeFillTint="66"/>
          </w:tcPr>
          <w:p w14:paraId="2A40D0EC">
            <w:pPr>
              <w:rPr>
                <w:rFonts w:ascii="Times New Roman" w:hAnsi="Times New Roman" w:cs="Times New Roman"/>
              </w:rPr>
            </w:pPr>
            <w:r>
              <w:rPr>
                <w:rFonts w:ascii="Times New Roman" w:hAnsi="Times New Roman" w:cs="Times New Roman"/>
              </w:rPr>
              <w:t>Decision making</w:t>
            </w:r>
          </w:p>
        </w:tc>
        <w:tc>
          <w:tcPr>
            <w:tcW w:w="3117" w:type="dxa"/>
            <w:shd w:val="clear" w:color="auto" w:fill="83CAEB" w:themeFill="accent1" w:themeFillTint="66"/>
          </w:tcPr>
          <w:p w14:paraId="658E9203">
            <w:pPr>
              <w:rPr>
                <w:rFonts w:ascii="Times New Roman" w:hAnsi="Times New Roman" w:cs="Times New Roman"/>
              </w:rPr>
            </w:pPr>
            <w:r>
              <w:rPr>
                <w:rFonts w:ascii="Times New Roman" w:hAnsi="Times New Roman" w:cs="Times New Roman"/>
              </w:rPr>
              <w:t>Guides initial management, indicates need for advanced imaging</w:t>
            </w:r>
          </w:p>
        </w:tc>
        <w:tc>
          <w:tcPr>
            <w:tcW w:w="3117" w:type="dxa"/>
            <w:shd w:val="clear" w:color="auto" w:fill="83CAEB" w:themeFill="accent1" w:themeFillTint="66"/>
          </w:tcPr>
          <w:p w14:paraId="788C6291">
            <w:pPr>
              <w:rPr>
                <w:rFonts w:ascii="Times New Roman" w:hAnsi="Times New Roman" w:cs="Times New Roman"/>
              </w:rPr>
            </w:pPr>
            <w:r>
              <w:rPr>
                <w:rFonts w:ascii="Times New Roman" w:hAnsi="Times New Roman" w:cs="Times New Roman"/>
              </w:rPr>
              <w:t xml:space="preserve">Confirms benignity or high suspicion of malignancy to guide surgical planning </w:t>
            </w:r>
          </w:p>
        </w:tc>
      </w:tr>
    </w:tbl>
    <w:p w14:paraId="59E0EBA7">
      <w:pPr>
        <w:rPr>
          <w:rFonts w:ascii="Times New Roman" w:hAnsi="Times New Roman" w:cs="Times New Roman"/>
        </w:rPr>
      </w:pPr>
    </w:p>
    <w:p w14:paraId="69B052D6">
      <w:pPr>
        <w:pStyle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36"/>
          <w:szCs w:val="36"/>
        </w:rPr>
        <w:t>Clinical Implication</w:t>
      </w:r>
    </w:p>
    <w:p w14:paraId="24031906">
      <w:pPr>
        <w:pStyle w:val="2"/>
        <w:rPr>
          <w:rFonts w:ascii="Times New Roman" w:hAnsi="Times New Roman" w:cs="Times New Roman"/>
          <w:sz w:val="24"/>
          <w:szCs w:val="24"/>
        </w:rPr>
      </w:pPr>
      <w:r>
        <w:rPr>
          <w:rFonts w:ascii="Times New Roman" w:hAnsi="Times New Roman" w:cs="Times New Roman"/>
          <w:sz w:val="24"/>
          <w:szCs w:val="24"/>
        </w:rPr>
        <w:t xml:space="preserve">      A structured, multi-step imaging approach is optimal for evaluating adnexal masses.</w:t>
      </w:r>
    </w:p>
    <w:p w14:paraId="3180F56E">
      <w:pPr>
        <w:rPr>
          <w:rFonts w:ascii="Times New Roman" w:hAnsi="Times New Roman" w:cs="Times New Roman"/>
        </w:rPr>
      </w:pPr>
    </w:p>
    <w:p w14:paraId="7A29D840">
      <w:pPr>
        <w:pStyle w:val="31"/>
        <w:numPr>
          <w:ilvl w:val="0"/>
          <w:numId w:val="6"/>
        </w:numPr>
        <w:rPr>
          <w:rFonts w:ascii="Times New Roman" w:hAnsi="Times New Roman" w:cs="Times New Roman"/>
        </w:rPr>
      </w:pPr>
      <w:r>
        <w:rPr>
          <w:rFonts w:ascii="Times New Roman" w:hAnsi="Times New Roman" w:cs="Times New Roman"/>
        </w:rPr>
        <w:t>Initial US: The initial evaluation should be a TVS/TAS using a standardized reporting system like the IOTA-ADNEX or O-RADS US.</w:t>
      </w:r>
    </w:p>
    <w:p w14:paraId="14E51AE9">
      <w:pPr>
        <w:ind w:left="360"/>
        <w:rPr>
          <w:rFonts w:ascii="Times New Roman" w:hAnsi="Times New Roman" w:cs="Times New Roman"/>
        </w:rPr>
      </w:pPr>
    </w:p>
    <w:p w14:paraId="5CDCBC52">
      <w:pPr>
        <w:pStyle w:val="31"/>
        <w:numPr>
          <w:ilvl w:val="0"/>
          <w:numId w:val="6"/>
        </w:numPr>
        <w:rPr>
          <w:rFonts w:ascii="Times New Roman" w:hAnsi="Times New Roman" w:cs="Times New Roman"/>
        </w:rPr>
      </w:pPr>
      <w:r>
        <w:rPr>
          <w:rFonts w:ascii="Times New Roman" w:hAnsi="Times New Roman" w:cs="Times New Roman"/>
        </w:rPr>
        <w:t>Referral for MRI: Masses that remain indeterminate after US, or those with features of malignancy, should be referred for MRI. This increases diagnostic confidence and can help avoid unnecessary surgery for benign lesions.</w:t>
      </w:r>
    </w:p>
    <w:p w14:paraId="1F072F86">
      <w:pPr>
        <w:ind w:left="360"/>
        <w:rPr>
          <w:rFonts w:ascii="Times New Roman" w:hAnsi="Times New Roman" w:cs="Times New Roman"/>
        </w:rPr>
      </w:pPr>
    </w:p>
    <w:p w14:paraId="72CE3B13">
      <w:pPr>
        <w:pStyle w:val="31"/>
        <w:numPr>
          <w:ilvl w:val="0"/>
          <w:numId w:val="6"/>
        </w:numPr>
        <w:rPr>
          <w:rFonts w:ascii="Times New Roman" w:hAnsi="Times New Roman" w:cs="Times New Roman"/>
        </w:rPr>
      </w:pPr>
      <w:r>
        <w:rPr>
          <w:rFonts w:ascii="Times New Roman" w:hAnsi="Times New Roman" w:cs="Times New Roman"/>
        </w:rPr>
        <w:t>Referral to oncology: Patients with a high probability of malignancy based on US and MRI findings should be referred to a gynecologic oncologist for specialized management.</w:t>
      </w:r>
    </w:p>
    <w:p w14:paraId="353E0006">
      <w:pPr>
        <w:pStyle w:val="31"/>
        <w:rPr>
          <w:rFonts w:ascii="Times New Roman" w:hAnsi="Times New Roman" w:cs="Times New Roman"/>
        </w:rPr>
      </w:pPr>
    </w:p>
    <w:p w14:paraId="37045810">
      <w:pPr>
        <w:pStyle w:val="2"/>
        <w:rPr>
          <w:rFonts w:ascii="Times New Roman" w:hAnsi="Times New Roman" w:cs="Times New Roman"/>
          <w:sz w:val="24"/>
          <w:szCs w:val="24"/>
        </w:rPr>
      </w:pPr>
      <w:r>
        <w:rPr>
          <w:rFonts w:ascii="Times New Roman" w:hAnsi="Times New Roman" w:cs="Times New Roman"/>
          <w:sz w:val="32"/>
          <w:szCs w:val="32"/>
        </w:rPr>
        <w:t>TUMOR MARKERS</w:t>
      </w:r>
      <w:r>
        <w:rPr>
          <w:rFonts w:ascii="Times New Roman" w:hAnsi="Times New Roman" w:cs="Times New Roman"/>
          <w:sz w:val="24"/>
          <w:szCs w:val="24"/>
        </w:rPr>
        <w:t xml:space="preserve">: </w:t>
      </w:r>
    </w:p>
    <w:p w14:paraId="3B5095CE">
      <w:pPr>
        <w:pStyle w:val="2"/>
        <w:rPr>
          <w:rFonts w:ascii="Times New Roman" w:hAnsi="Times New Roman" w:cs="Times New Roman"/>
          <w:sz w:val="24"/>
          <w:szCs w:val="24"/>
        </w:rPr>
      </w:pPr>
      <w:r>
        <w:rPr>
          <w:rFonts w:ascii="Times New Roman" w:hAnsi="Times New Roman" w:cs="Times New Roman"/>
          <w:sz w:val="24"/>
          <w:szCs w:val="24"/>
        </w:rPr>
        <w:t xml:space="preserve">                                                 </w:t>
      </w:r>
    </w:p>
    <w:p w14:paraId="6C2EC3E9">
      <w:pPr>
        <w:pStyle w:val="31"/>
        <w:numPr>
          <w:ilvl w:val="0"/>
          <w:numId w:val="7"/>
        </w:numPr>
        <w:rPr>
          <w:rFonts w:ascii="Times New Roman" w:hAnsi="Times New Roman" w:cs="Times New Roman"/>
        </w:rPr>
      </w:pPr>
      <w:r>
        <w:rPr>
          <w:rFonts w:ascii="Times New Roman" w:hAnsi="Times New Roman" w:cs="Times New Roman"/>
        </w:rPr>
        <w:t>A serum CA-125 assay is not necessary when a clear ultrasonographic diagnosis of a simple ovarian cyst has been made.</w:t>
      </w:r>
    </w:p>
    <w:p w14:paraId="75DB538B">
      <w:pPr>
        <w:pStyle w:val="31"/>
        <w:numPr>
          <w:ilvl w:val="0"/>
          <w:numId w:val="7"/>
        </w:numPr>
        <w:rPr>
          <w:rFonts w:ascii="Times New Roman" w:hAnsi="Times New Roman" w:cs="Times New Roman"/>
        </w:rPr>
      </w:pPr>
      <w:r>
        <w:rPr>
          <w:rFonts w:ascii="Times New Roman" w:hAnsi="Times New Roman" w:cs="Times New Roman"/>
        </w:rPr>
        <w:t xml:space="preserve">If serum CA-125 assay more than 200 units/ml, discussion with a gynaecological oncologists is recommended. </w:t>
      </w:r>
    </w:p>
    <w:p w14:paraId="38DCD409">
      <w:pPr>
        <w:pStyle w:val="31"/>
        <w:numPr>
          <w:ilvl w:val="0"/>
          <w:numId w:val="7"/>
        </w:numPr>
        <w:rPr>
          <w:rFonts w:ascii="Times New Roman" w:hAnsi="Times New Roman" w:cs="Times New Roman"/>
        </w:rPr>
      </w:pPr>
      <w:r>
        <w:rPr>
          <w:rFonts w:ascii="Times New Roman" w:hAnsi="Times New Roman" w:cs="Times New Roman"/>
        </w:rPr>
        <w:t>When serum CA-125 levels are raised, serial monitoring of CA-125 may be helpful as rapidly rising levels are more likely to be associated with malignancy than high levels which remain static.</w:t>
      </w:r>
    </w:p>
    <w:p w14:paraId="3E8B22E4">
      <w:pPr>
        <w:pStyle w:val="31"/>
        <w:numPr>
          <w:ilvl w:val="0"/>
          <w:numId w:val="7"/>
        </w:numPr>
        <w:rPr>
          <w:rFonts w:ascii="Times New Roman" w:hAnsi="Times New Roman" w:cs="Times New Roman"/>
        </w:rPr>
      </w:pPr>
      <w:r>
        <w:rPr>
          <w:rFonts w:ascii="Times New Roman" w:hAnsi="Times New Roman" w:cs="Times New Roman"/>
        </w:rPr>
        <w:t>Lactate dehydrogenase (LDH), AFP and hCG should be measured in all women under age 40 with a complex ovarian mass because of the possibility of germ cell tumors.</w:t>
      </w:r>
    </w:p>
    <w:p w14:paraId="2D60D1CA">
      <w:pPr>
        <w:pStyle w:val="31"/>
        <w:numPr>
          <w:ilvl w:val="0"/>
          <w:numId w:val="7"/>
        </w:numPr>
        <w:rPr>
          <w:rFonts w:ascii="Times New Roman" w:hAnsi="Times New Roman" w:cs="Times New Roman"/>
        </w:rPr>
      </w:pPr>
      <w:r>
        <w:rPr>
          <w:rFonts w:ascii="Times New Roman" w:hAnsi="Times New Roman" w:cs="Times New Roman"/>
        </w:rPr>
        <w:t>HE4 is a serum biomarker that can be elevated in epithelial ovarian cancer,particularly in serous and endometrioid subtypes.</w:t>
      </w:r>
    </w:p>
    <w:p w14:paraId="4F658CB2">
      <w:pPr>
        <w:pStyle w:val="31"/>
        <w:rPr>
          <w:rFonts w:ascii="Times New Roman" w:hAnsi="Times New Roman" w:cs="Times New Roman"/>
        </w:rPr>
      </w:pPr>
      <w:r>
        <w:rPr>
          <w:rFonts w:ascii="Times New Roman" w:hAnsi="Times New Roman" w:cs="Times New Roman"/>
        </w:rPr>
        <w:t>It has higher specificity than CA-125, especially in distinguishing ovarian cancer from benign gynaecological conditions such as endometriosis fibriods.</w:t>
      </w:r>
    </w:p>
    <w:p w14:paraId="27A0BB52">
      <w:pPr>
        <w:pStyle w:val="31"/>
        <w:rPr>
          <w:rFonts w:ascii="Times New Roman" w:hAnsi="Times New Roman" w:cs="Times New Roman"/>
        </w:rPr>
      </w:pPr>
    </w:p>
    <w:p w14:paraId="78899DAD">
      <w:pPr>
        <w:pStyle w:val="31"/>
        <w:rPr>
          <w:rFonts w:ascii="Times New Roman" w:hAnsi="Times New Roman" w:cs="Times New Roman"/>
        </w:rPr>
      </w:pPr>
    </w:p>
    <w:p w14:paraId="25FE3FD0">
      <w:pPr>
        <w:pStyle w:val="3"/>
        <w:rPr>
          <w:rFonts w:ascii="Times New Roman" w:hAnsi="Times New Roman" w:cs="Times New Roman"/>
          <w:sz w:val="32"/>
          <w:szCs w:val="32"/>
        </w:rPr>
      </w:pPr>
      <w:r>
        <w:rPr>
          <w:rFonts w:ascii="Times New Roman" w:hAnsi="Times New Roman" w:cs="Times New Roman"/>
          <w:sz w:val="32"/>
          <w:szCs w:val="32"/>
        </w:rPr>
        <w:t xml:space="preserve">  ROCA-Risk of Cancer Algorithm</w:t>
      </w:r>
    </w:p>
    <w:p w14:paraId="2E51A7F7">
      <w:pPr>
        <w:rPr>
          <w:rFonts w:ascii="Times New Roman" w:hAnsi="Times New Roman" w:cs="Times New Roman"/>
          <w:sz w:val="32"/>
          <w:szCs w:val="32"/>
        </w:rPr>
      </w:pPr>
    </w:p>
    <w:p w14:paraId="52CDB350">
      <w:pPr>
        <w:pStyle w:val="31"/>
        <w:numPr>
          <w:ilvl w:val="0"/>
          <w:numId w:val="8"/>
        </w:numPr>
        <w:rPr>
          <w:rFonts w:ascii="Times New Roman" w:hAnsi="Times New Roman" w:cs="Times New Roman"/>
        </w:rPr>
      </w:pPr>
      <w:r>
        <w:rPr>
          <w:rFonts w:ascii="Times New Roman" w:hAnsi="Times New Roman" w:cs="Times New Roman"/>
        </w:rPr>
        <w:t>CA125 in women without ovarian cancer static or decreased with time whereas with malignancy level rises</w:t>
      </w:r>
    </w:p>
    <w:p w14:paraId="255AF3AD">
      <w:pPr>
        <w:pStyle w:val="31"/>
        <w:numPr>
          <w:ilvl w:val="0"/>
          <w:numId w:val="8"/>
        </w:numPr>
        <w:rPr>
          <w:rFonts w:ascii="Times New Roman" w:hAnsi="Times New Roman" w:cs="Times New Roman"/>
        </w:rPr>
      </w:pPr>
      <w:r>
        <w:rPr>
          <w:rFonts w:ascii="Times New Roman" w:hAnsi="Times New Roman" w:cs="Times New Roman"/>
        </w:rPr>
        <w:t>Low risk: Repeat CA125 after one year</w:t>
      </w:r>
    </w:p>
    <w:p w14:paraId="43988165">
      <w:pPr>
        <w:pStyle w:val="31"/>
        <w:numPr>
          <w:ilvl w:val="0"/>
          <w:numId w:val="8"/>
        </w:numPr>
        <w:rPr>
          <w:rFonts w:ascii="Times New Roman" w:hAnsi="Times New Roman" w:cs="Times New Roman"/>
        </w:rPr>
      </w:pPr>
      <w:r>
        <w:rPr>
          <w:rFonts w:ascii="Times New Roman" w:hAnsi="Times New Roman" w:cs="Times New Roman"/>
        </w:rPr>
        <w:t>Intermediate risk: Repeat CA125 in 6-8 weeks</w:t>
      </w:r>
    </w:p>
    <w:p w14:paraId="3AD0B0F4">
      <w:pPr>
        <w:pStyle w:val="31"/>
        <w:numPr>
          <w:ilvl w:val="0"/>
          <w:numId w:val="8"/>
        </w:numPr>
        <w:rPr>
          <w:rFonts w:ascii="Times New Roman" w:hAnsi="Times New Roman" w:cs="Times New Roman"/>
        </w:rPr>
      </w:pPr>
      <w:r>
        <w:rPr>
          <w:rFonts w:ascii="Times New Roman" w:hAnsi="Times New Roman" w:cs="Times New Roman"/>
        </w:rPr>
        <w:t>Elevated risk: Referred for TVS</w:t>
      </w:r>
    </w:p>
    <w:p w14:paraId="3A9D04F7">
      <w:pPr>
        <w:pStyle w:val="31"/>
        <w:rPr>
          <w:rFonts w:ascii="Times New Roman" w:hAnsi="Times New Roman" w:cs="Times New Roman"/>
        </w:rPr>
      </w:pPr>
      <w:r>
        <w:rPr>
          <w:rFonts w:ascii="Times New Roman" w:hAnsi="Times New Roman" w:cs="Times New Roman"/>
        </w:rPr>
        <w:t xml:space="preserve">               </w:t>
      </w:r>
    </w:p>
    <w:p w14:paraId="21502636">
      <w:pPr>
        <w:pStyle w:val="3"/>
        <w:rPr>
          <w:rFonts w:ascii="Times New Roman" w:hAnsi="Times New Roman" w:cs="Times New Roman"/>
          <w:sz w:val="32"/>
          <w:szCs w:val="32"/>
        </w:rPr>
      </w:pPr>
      <w:r>
        <w:rPr>
          <w:rFonts w:ascii="Times New Roman" w:hAnsi="Times New Roman" w:cs="Times New Roman"/>
          <w:sz w:val="32"/>
          <w:szCs w:val="32"/>
        </w:rPr>
        <w:t xml:space="preserve"> ROMA-Risk of Ovarian Malignancy Algorithm</w:t>
      </w:r>
    </w:p>
    <w:p w14:paraId="2A0FA345">
      <w:pPr>
        <w:rPr>
          <w:rFonts w:ascii="Times New Roman" w:hAnsi="Times New Roman" w:cs="Times New Roman"/>
          <w:sz w:val="32"/>
          <w:szCs w:val="32"/>
        </w:rPr>
      </w:pPr>
    </w:p>
    <w:p w14:paraId="44ACC66C">
      <w:pPr>
        <w:pStyle w:val="31"/>
        <w:numPr>
          <w:ilvl w:val="0"/>
          <w:numId w:val="9"/>
        </w:numPr>
        <w:rPr>
          <w:rFonts w:ascii="Times New Roman" w:hAnsi="Times New Roman" w:cs="Times New Roman"/>
        </w:rPr>
      </w:pPr>
      <w:r>
        <w:rPr>
          <w:rFonts w:ascii="Times New Roman" w:hAnsi="Times New Roman" w:cs="Times New Roman"/>
        </w:rPr>
        <w:t>CA-125 and HE4 along with menopausal status</w:t>
      </w:r>
    </w:p>
    <w:p w14:paraId="5908BF3A">
      <w:pPr>
        <w:pStyle w:val="31"/>
        <w:numPr>
          <w:ilvl w:val="0"/>
          <w:numId w:val="9"/>
        </w:numPr>
        <w:rPr>
          <w:rFonts w:ascii="Times New Roman" w:hAnsi="Times New Roman" w:cs="Times New Roman"/>
        </w:rPr>
      </w:pPr>
      <w:r>
        <w:rPr>
          <w:rFonts w:ascii="Times New Roman" w:hAnsi="Times New Roman" w:cs="Times New Roman"/>
        </w:rPr>
        <w:t>To assess the likelihood of epithelial ovarian cancer in women with adnexal masses.</w:t>
      </w:r>
    </w:p>
    <w:p w14:paraId="42328B69">
      <w:pPr>
        <w:pStyle w:val="31"/>
        <w:numPr>
          <w:ilvl w:val="0"/>
          <w:numId w:val="9"/>
        </w:numPr>
        <w:rPr>
          <w:rFonts w:ascii="Times New Roman" w:hAnsi="Times New Roman" w:cs="Times New Roman"/>
        </w:rPr>
      </w:pPr>
      <w:r>
        <w:rPr>
          <w:rFonts w:ascii="Times New Roman" w:hAnsi="Times New Roman" w:cs="Times New Roman"/>
        </w:rPr>
        <w:t>Sensitivity:89% and Specificity:75%</w:t>
      </w:r>
    </w:p>
    <w:p w14:paraId="51B526DB">
      <w:pPr>
        <w:pStyle w:val="31"/>
        <w:numPr>
          <w:ilvl w:val="0"/>
          <w:numId w:val="0"/>
        </w:numPr>
        <w:ind w:left="360" w:leftChars="0"/>
        <w:rPr>
          <w:rFonts w:ascii="Times New Roman" w:hAnsi="Times New Roman" w:cs="Times New Roman"/>
        </w:rPr>
      </w:pPr>
    </w:p>
    <w:p w14:paraId="19DCDBF7">
      <w:pPr>
        <w:pStyle w:val="3"/>
        <w:rPr>
          <w:rFonts w:ascii="Times New Roman" w:hAnsi="Times New Roman" w:cs="Times New Roman"/>
          <w:sz w:val="32"/>
          <w:szCs w:val="32"/>
        </w:rPr>
      </w:pPr>
      <w:r>
        <w:rPr>
          <w:rFonts w:ascii="Times New Roman" w:hAnsi="Times New Roman" w:cs="Times New Roman"/>
          <w:sz w:val="32"/>
          <w:szCs w:val="32"/>
        </w:rPr>
        <w:t>CONCLUSION</w:t>
      </w:r>
    </w:p>
    <w:p w14:paraId="615C4E94">
      <w:pPr>
        <w:pStyle w:val="31"/>
        <w:jc w:val="both"/>
        <w:rPr>
          <w:rFonts w:ascii="Times New Roman" w:hAnsi="Times New Roman" w:cs="Times New Roman"/>
        </w:rPr>
      </w:pPr>
      <w:r>
        <w:rPr>
          <w:rFonts w:ascii="Times New Roman" w:hAnsi="Times New Roman" w:cs="Times New Roman"/>
        </w:rPr>
        <w:t xml:space="preserve">Ovarian cancer evaluation emphasizes a multidisciplinary approach, using the Risk of Malignancy Index (RMI) combining CA125 levels, menopausal status, and transvaginal ultrasound for risk stratification. </w:t>
      </w:r>
    </w:p>
    <w:p w14:paraId="5DD2AC02">
      <w:pPr>
        <w:pStyle w:val="31"/>
        <w:jc w:val="both"/>
        <w:rPr>
          <w:rFonts w:ascii="Times New Roman" w:hAnsi="Times New Roman" w:cs="Times New Roman"/>
        </w:rPr>
      </w:pPr>
    </w:p>
    <w:p w14:paraId="1106B992">
      <w:pPr>
        <w:pStyle w:val="31"/>
        <w:ind w:left="0" w:leftChars="0" w:firstLine="0" w:firstLineChars="0"/>
        <w:jc w:val="both"/>
        <w:rPr>
          <w:rFonts w:ascii="Times New Roman" w:hAnsi="Times New Roman" w:cs="Times New Roman"/>
          <w:sz w:val="36"/>
          <w:szCs w:val="36"/>
        </w:rPr>
      </w:pPr>
      <w:r>
        <w:rPr>
          <w:rFonts w:ascii="Times New Roman" w:hAnsi="Times New Roman" w:cs="Times New Roman"/>
          <w:sz w:val="36"/>
          <w:szCs w:val="36"/>
        </w:rPr>
        <w:t>References:</w:t>
      </w:r>
    </w:p>
    <w:p w14:paraId="3FA8AF89">
      <w:pPr>
        <w:pStyle w:val="31"/>
        <w:jc w:val="both"/>
        <w:rPr>
          <w:rFonts w:ascii="Times New Roman" w:hAnsi="Times New Roman" w:cs="Times New Roman"/>
          <w:sz w:val="24"/>
          <w:szCs w:val="24"/>
        </w:rPr>
      </w:pPr>
    </w:p>
    <w:p w14:paraId="50EB7A87">
      <w:pPr>
        <w:pStyle w:val="31"/>
        <w:jc w:val="both"/>
        <w:rPr>
          <w:rFonts w:ascii="Times New Roman" w:hAnsi="Times New Roman" w:cs="Times New Roman"/>
          <w:sz w:val="24"/>
          <w:szCs w:val="24"/>
        </w:rPr>
      </w:pPr>
    </w:p>
    <w:p w14:paraId="69657293">
      <w:pPr>
        <w:pStyle w:val="31"/>
        <w:jc w:val="both"/>
        <w:rPr>
          <w:rFonts w:ascii="Times New Roman" w:hAnsi="Times New Roman" w:cs="Times New Roman"/>
          <w:sz w:val="24"/>
          <w:szCs w:val="24"/>
        </w:rPr>
      </w:pPr>
    </w:p>
    <w:p w14:paraId="7D12428A">
      <w:pPr>
        <w:pStyle w:val="31"/>
        <w:jc w:val="both"/>
        <w:rPr>
          <w:rFonts w:ascii="SimSun" w:hAnsi="SimSun" w:eastAsia="SimSun" w:cs="SimSun"/>
          <w:sz w:val="24"/>
          <w:szCs w:val="24"/>
        </w:rPr>
      </w:pPr>
      <w:r>
        <w:rPr>
          <w:rFonts w:ascii="SimSun" w:hAnsi="SimSun" w:eastAsia="SimSun" w:cs="SimSun"/>
          <w:sz w:val="24"/>
          <w:szCs w:val="24"/>
        </w:rPr>
        <w:t xml:space="preserve">1. Royal College of Obstetrics and Gynaecologists. The investigation and management of endometriosis. Green-top Guideline No. 24. London: RCOG; 2006. </w:t>
      </w:r>
    </w:p>
    <w:p w14:paraId="7ADEB750">
      <w:pPr>
        <w:pStyle w:val="31"/>
        <w:jc w:val="both"/>
        <w:rPr>
          <w:rFonts w:ascii="SimSun" w:hAnsi="SimSun" w:eastAsia="SimSun" w:cs="SimSun"/>
          <w:sz w:val="24"/>
          <w:szCs w:val="24"/>
        </w:rPr>
      </w:pPr>
      <w:r>
        <w:rPr>
          <w:rFonts w:ascii="SimSun" w:hAnsi="SimSun" w:eastAsia="SimSun" w:cs="SimSun"/>
          <w:sz w:val="24"/>
          <w:szCs w:val="24"/>
        </w:rPr>
        <w:t xml:space="preserve">2. National Institute for Health and Clinical Excellence. Ovarian cancer: The recognition and initial management of ovarian cancer. NICE clinical guideline 122. London: NICE; 2011. </w:t>
      </w:r>
    </w:p>
    <w:p w14:paraId="0D07004B">
      <w:pPr>
        <w:pStyle w:val="31"/>
        <w:jc w:val="both"/>
        <w:rPr>
          <w:rFonts w:ascii="SimSun" w:hAnsi="SimSun" w:eastAsia="SimSun" w:cs="SimSun"/>
          <w:sz w:val="24"/>
          <w:szCs w:val="24"/>
        </w:rPr>
      </w:pPr>
      <w:r>
        <w:rPr>
          <w:rFonts w:ascii="SimSun" w:hAnsi="SimSun" w:eastAsia="SimSun" w:cs="SimSun"/>
          <w:sz w:val="24"/>
          <w:szCs w:val="24"/>
        </w:rPr>
        <w:t xml:space="preserve">3. American College of Obstetricians and Gynecologists. Management of adnexal masses. ACOG Practice Bulletin No. 83. Washington DC: ACOG; 2007. 4. Le T, Giede C, Salem S, Lefebvre G, Rosen B, Bentley J, et al; Society of Obstetricians and Gynaecologists of Canada. Initial evaluation and referral guidelines for management of pelvic/ ovarian masses. J Obstet Gynaecol Can 2009;31:668–80. </w:t>
      </w:r>
    </w:p>
    <w:p w14:paraId="4E8065ED">
      <w:pPr>
        <w:pStyle w:val="31"/>
        <w:jc w:val="both"/>
        <w:rPr>
          <w:rFonts w:ascii="SimSun" w:hAnsi="SimSun" w:eastAsia="SimSun" w:cs="SimSun"/>
          <w:sz w:val="24"/>
          <w:szCs w:val="24"/>
        </w:rPr>
      </w:pPr>
      <w:r>
        <w:rPr>
          <w:rFonts w:ascii="SimSun" w:hAnsi="SimSun" w:eastAsia="SimSun" w:cs="SimSun"/>
          <w:sz w:val="24"/>
          <w:szCs w:val="24"/>
        </w:rPr>
        <w:t xml:space="preserve">5. Office for National Statistics. Cancer registrations in England 2008. London: ONS; 2010 [www.ons.gov.uk/ons/rel/vsob1/ cancer-registrations-in-england/2008/index.html]. </w:t>
      </w:r>
    </w:p>
    <w:p w14:paraId="0BB107A4">
      <w:pPr>
        <w:pStyle w:val="31"/>
        <w:jc w:val="both"/>
        <w:rPr>
          <w:rFonts w:ascii="SimSun" w:hAnsi="SimSun" w:eastAsia="SimSun" w:cs="SimSun"/>
          <w:sz w:val="24"/>
          <w:szCs w:val="24"/>
        </w:rPr>
      </w:pPr>
      <w:r>
        <w:rPr>
          <w:rFonts w:ascii="SimSun" w:hAnsi="SimSun" w:eastAsia="SimSun" w:cs="SimSun"/>
          <w:sz w:val="24"/>
          <w:szCs w:val="24"/>
        </w:rPr>
        <w:t xml:space="preserve">6. Canis M, Botchorishvili R, Manhes H, Wattiez A, Mage G, Pouly JL, et al. Management of adnexal masses: role and risk of laparoscopy. Semin Surg Oncol 2000;19:28–35. </w:t>
      </w:r>
    </w:p>
    <w:p w14:paraId="23A7FBF9">
      <w:pPr>
        <w:pStyle w:val="31"/>
        <w:jc w:val="both"/>
        <w:rPr>
          <w:rFonts w:ascii="SimSun" w:hAnsi="SimSun" w:eastAsia="SimSun" w:cs="SimSun"/>
          <w:sz w:val="24"/>
          <w:szCs w:val="24"/>
        </w:rPr>
      </w:pPr>
      <w:r>
        <w:rPr>
          <w:rFonts w:ascii="SimSun" w:hAnsi="SimSun" w:eastAsia="SimSun" w:cs="SimSun"/>
          <w:sz w:val="24"/>
          <w:szCs w:val="24"/>
        </w:rPr>
        <w:t xml:space="preserve">7. Mais V, Ajossa S, Mallarini G, Guerriero S, Oggiano MP, Melis GB. No recurrence of mature ovarian teratomas after laparoscopic cystectomy. BJOG 2003;110:624–6. </w:t>
      </w:r>
    </w:p>
    <w:p w14:paraId="2E143030">
      <w:pPr>
        <w:pStyle w:val="31"/>
        <w:jc w:val="both"/>
        <w:rPr>
          <w:rFonts w:ascii="SimSun" w:hAnsi="SimSun" w:eastAsia="SimSun" w:cs="SimSun"/>
          <w:sz w:val="24"/>
          <w:szCs w:val="24"/>
        </w:rPr>
      </w:pPr>
      <w:r>
        <w:rPr>
          <w:rFonts w:ascii="SimSun" w:hAnsi="SimSun" w:eastAsia="SimSun" w:cs="SimSun"/>
          <w:sz w:val="24"/>
          <w:szCs w:val="24"/>
        </w:rPr>
        <w:t xml:space="preserve">8. Yuen PM, Yu KM, Yip SK, Lau WC, Rogers MS, Chang A. A randomized prospective study of laparoscopy and laparotomy in the management of benign ovarian masses. Am J Obstet Gynecol 1997;177:109–14. </w:t>
      </w:r>
    </w:p>
    <w:p w14:paraId="1300DFA3">
      <w:pPr>
        <w:pStyle w:val="31"/>
        <w:jc w:val="both"/>
        <w:rPr>
          <w:rFonts w:ascii="SimSun" w:hAnsi="SimSun" w:eastAsia="SimSun" w:cs="SimSun"/>
          <w:sz w:val="24"/>
          <w:szCs w:val="24"/>
        </w:rPr>
      </w:pPr>
      <w:r>
        <w:rPr>
          <w:rFonts w:ascii="SimSun" w:hAnsi="SimSun" w:eastAsia="SimSun" w:cs="SimSun"/>
          <w:sz w:val="24"/>
          <w:szCs w:val="24"/>
        </w:rPr>
        <w:t xml:space="preserve">9. Panici PB, Muzii L, Palaia I, Manci N, Bellati F, Plotti F, et al. Minilaparotomy versus laparoscopy in the treatment of benign adnexal cysts: a randomized clinical study. Eur J Obstet Gynecol Reprod Biol 2007;133:218–22. </w:t>
      </w:r>
    </w:p>
    <w:p w14:paraId="2CAC6BDF">
      <w:pPr>
        <w:pStyle w:val="31"/>
        <w:jc w:val="both"/>
        <w:rPr>
          <w:rFonts w:ascii="SimSun" w:hAnsi="SimSun" w:eastAsia="SimSun" w:cs="SimSun"/>
          <w:sz w:val="24"/>
          <w:szCs w:val="24"/>
        </w:rPr>
      </w:pPr>
      <w:r>
        <w:rPr>
          <w:rFonts w:ascii="SimSun" w:hAnsi="SimSun" w:eastAsia="SimSun" w:cs="SimSun"/>
          <w:sz w:val="24"/>
          <w:szCs w:val="24"/>
        </w:rPr>
        <w:t xml:space="preserve">10. Fanfani F, Fagotti A, Ercoli A, Bifulco G, Longo R, Mancuso S, et al. A prospective randomised study of laparoscopy and minilaparotomy in the management of benign adnexal masses. Hum Reprod 2004;19:2367–71. </w:t>
      </w:r>
    </w:p>
    <w:p w14:paraId="78C5A293">
      <w:pPr>
        <w:pStyle w:val="31"/>
        <w:jc w:val="both"/>
        <w:rPr>
          <w:rFonts w:ascii="SimSun" w:hAnsi="SimSun" w:eastAsia="SimSun" w:cs="SimSun"/>
          <w:sz w:val="24"/>
          <w:szCs w:val="24"/>
        </w:rPr>
      </w:pPr>
      <w:r>
        <w:rPr>
          <w:rFonts w:ascii="SimSun" w:hAnsi="SimSun" w:eastAsia="SimSun" w:cs="SimSun"/>
          <w:sz w:val="24"/>
          <w:szCs w:val="24"/>
        </w:rPr>
        <w:t xml:space="preserve">11. Damiani G, Campo S, Dargenio R, Garcea N. Laparoscopic vs. laparotomic ovarian cystectomy in reproductive age women: an economic evaluation. Gynaecol Endoscopy 1998;7:19–23. </w:t>
      </w:r>
    </w:p>
    <w:p w14:paraId="0EDFF8C8">
      <w:pPr>
        <w:pStyle w:val="31"/>
        <w:jc w:val="both"/>
        <w:rPr>
          <w:rFonts w:ascii="SimSun" w:hAnsi="SimSun" w:eastAsia="SimSun" w:cs="SimSun"/>
          <w:sz w:val="24"/>
          <w:szCs w:val="24"/>
        </w:rPr>
      </w:pPr>
      <w:r>
        <w:rPr>
          <w:rFonts w:ascii="SimSun" w:hAnsi="SimSun" w:eastAsia="SimSun" w:cs="SimSun"/>
          <w:sz w:val="24"/>
          <w:szCs w:val="24"/>
        </w:rPr>
        <w:t xml:space="preserve">12. Quinlan DJ, Townsend DE, Johnson GH. Safe and cost-effective laparoscopic removal of adnexal masses. J Am Assoc Gynecol Laparosc 1997;4:215–8. </w:t>
      </w:r>
    </w:p>
    <w:p w14:paraId="13D82DBB">
      <w:pPr>
        <w:pStyle w:val="31"/>
        <w:jc w:val="both"/>
        <w:rPr>
          <w:rFonts w:ascii="SimSun" w:hAnsi="SimSun" w:eastAsia="SimSun" w:cs="SimSun"/>
          <w:sz w:val="24"/>
          <w:szCs w:val="24"/>
        </w:rPr>
      </w:pPr>
      <w:r>
        <w:rPr>
          <w:rFonts w:ascii="SimSun" w:hAnsi="SimSun" w:eastAsia="SimSun" w:cs="SimSun"/>
          <w:sz w:val="24"/>
          <w:szCs w:val="24"/>
        </w:rPr>
        <w:t xml:space="preserve">13. Vernooij F, Heintz P, Witteveen E, van der Graaf Y. The outcomes of ovarian cancer treatment are better when provided by gynecologic oncologists and in specialized hospitals: a systematic review. Gynecol Oncol 2007;105:801–12. </w:t>
      </w:r>
    </w:p>
    <w:p w14:paraId="257820AB">
      <w:pPr>
        <w:pStyle w:val="31"/>
        <w:jc w:val="both"/>
        <w:rPr>
          <w:rFonts w:ascii="SimSun" w:hAnsi="SimSun" w:eastAsia="SimSun" w:cs="SimSun"/>
          <w:sz w:val="24"/>
          <w:szCs w:val="24"/>
        </w:rPr>
      </w:pPr>
      <w:r>
        <w:rPr>
          <w:rFonts w:ascii="SimSun" w:hAnsi="SimSun" w:eastAsia="SimSun" w:cs="SimSun"/>
          <w:sz w:val="24"/>
          <w:szCs w:val="24"/>
        </w:rPr>
        <w:t xml:space="preserve">14. Royal College of Obstetricians and Gynaecologists. Development of RCOG Green-top Guidelines: Policies and Processes. Clinical Governance Advice No. 1a. London: RCOG; 2006. </w:t>
      </w:r>
    </w:p>
    <w:p w14:paraId="2AC6817B">
      <w:pPr>
        <w:pStyle w:val="31"/>
        <w:jc w:val="both"/>
        <w:rPr>
          <w:rFonts w:ascii="SimSun" w:hAnsi="SimSun" w:eastAsia="SimSun" w:cs="SimSun"/>
          <w:sz w:val="24"/>
          <w:szCs w:val="24"/>
        </w:rPr>
      </w:pPr>
      <w:r>
        <w:rPr>
          <w:rFonts w:ascii="SimSun" w:hAnsi="SimSun" w:eastAsia="SimSun" w:cs="SimSun"/>
          <w:sz w:val="24"/>
          <w:szCs w:val="24"/>
        </w:rPr>
        <w:t xml:space="preserve">15. Royal College of Obstetricians and Gynaecologists. Development of RCOG Green-top Guidelines: Producing a Scope. Clinical Governance Advice No. 1b. London: RCOG; 2006. </w:t>
      </w:r>
    </w:p>
    <w:p w14:paraId="2BD7AE9A">
      <w:pPr>
        <w:pStyle w:val="31"/>
        <w:jc w:val="both"/>
        <w:rPr>
          <w:rFonts w:ascii="SimSun" w:hAnsi="SimSun" w:eastAsia="SimSun" w:cs="SimSun"/>
          <w:sz w:val="24"/>
          <w:szCs w:val="24"/>
        </w:rPr>
      </w:pPr>
      <w:r>
        <w:rPr>
          <w:rFonts w:ascii="SimSun" w:hAnsi="SimSun" w:eastAsia="SimSun" w:cs="SimSun"/>
          <w:sz w:val="24"/>
          <w:szCs w:val="24"/>
        </w:rPr>
        <w:t xml:space="preserve">16. Royal College of Obstetricians and Gynaecologists. Development of RCOG Green-top Guidelines: Producing a Clinical Practice Guideline. Clinical Governance Advice No. 1c. London: RCOG; 2006. </w:t>
      </w:r>
    </w:p>
    <w:p w14:paraId="3721C7D3">
      <w:pPr>
        <w:pStyle w:val="31"/>
        <w:jc w:val="both"/>
        <w:rPr>
          <w:rFonts w:hint="default" w:ascii="Times New Roman" w:hAnsi="Times New Roman" w:cs="Times New Roman"/>
          <w:sz w:val="24"/>
          <w:szCs w:val="24"/>
        </w:rPr>
      </w:pPr>
      <w:r>
        <w:rPr>
          <w:rFonts w:ascii="SimSun" w:hAnsi="SimSun" w:eastAsia="SimSun" w:cs="SimSun"/>
          <w:sz w:val="24"/>
          <w:szCs w:val="24"/>
        </w:rPr>
        <w:t>17. Ballard KD, Seaman HE, de Vries CS, Wright JT. Can symptomatology help in the diagnosis of endometriosis? Findings from a national case-control study – Part 1. BJOG</w:t>
      </w:r>
    </w:p>
    <w:p w14:paraId="7D40568B">
      <w:pPr>
        <w:pStyle w:val="31"/>
        <w:jc w:val="both"/>
        <w:rPr>
          <w:rFonts w:ascii="Times New Roman" w:hAnsi="Times New Roman" w:cs="Times New Roman"/>
          <w:sz w:val="24"/>
          <w:szCs w:val="24"/>
        </w:rPr>
      </w:pPr>
    </w:p>
    <w:p w14:paraId="1F184C3B">
      <w:pPr>
        <w:rPr>
          <w:rFonts w:ascii="Times New Roman" w:hAnsi="Times New Roman" w:cs="Times New Roman"/>
        </w:rPr>
      </w:pPr>
    </w:p>
    <w:p w14:paraId="3437A9CC">
      <w:pPr>
        <w:rPr>
          <w:rFonts w:ascii="Times New Roman" w:hAnsi="Times New Roman" w:cs="Times New Roman"/>
        </w:rPr>
      </w:pPr>
      <w:r>
        <w:rPr>
          <w:rFonts w:ascii="Times New Roman" w:hAnsi="Times New Roman" w:cs="Times New Roman"/>
        </w:rPr>
        <w:t xml:space="preserve"> </w:t>
      </w:r>
    </w:p>
    <w:p w14:paraId="4AA2BE8D">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Display">
    <w:altName w:val="Siyam Rupali"/>
    <w:panose1 w:val="00000000000000000000"/>
    <w:charset w:val="00"/>
    <w:family w:val="swiss"/>
    <w:pitch w:val="default"/>
    <w:sig w:usb0="00000000" w:usb1="00000000" w:usb2="00000000" w:usb3="00000000" w:csb0="0000019F" w:csb1="00000000"/>
  </w:font>
  <w:font w:name="等线 Light">
    <w:altName w:val="Siyam Rupal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iyam Rupali">
    <w:panose1 w:val="02000500000000020004"/>
    <w:charset w:val="00"/>
    <w:family w:val="auto"/>
    <w:pitch w:val="default"/>
    <w:sig w:usb0="00010000" w:usb1="00000000" w:usb2="00000000" w:usb3="00000000" w:csb0="00000001" w:csb1="00000000"/>
  </w:font>
  <w:font w:name="Aptos">
    <w:altName w:val="Siyam Rupal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A2024"/>
    <w:multiLevelType w:val="multilevel"/>
    <w:tmpl w:val="1E9A20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75F1A72"/>
    <w:multiLevelType w:val="multilevel"/>
    <w:tmpl w:val="275F1A72"/>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2">
    <w:nsid w:val="45F45E65"/>
    <w:multiLevelType w:val="multilevel"/>
    <w:tmpl w:val="45F45E6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EA26083"/>
    <w:multiLevelType w:val="multilevel"/>
    <w:tmpl w:val="4EA260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2A96DD1"/>
    <w:multiLevelType w:val="multilevel"/>
    <w:tmpl w:val="52A96D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C94663E"/>
    <w:multiLevelType w:val="multilevel"/>
    <w:tmpl w:val="5C9466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0891A89"/>
    <w:multiLevelType w:val="multilevel"/>
    <w:tmpl w:val="70891A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28362A7"/>
    <w:multiLevelType w:val="multilevel"/>
    <w:tmpl w:val="728362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A35042B"/>
    <w:multiLevelType w:val="multilevel"/>
    <w:tmpl w:val="7A3504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5"/>
  </w:num>
  <w:num w:numId="4">
    <w:abstractNumId w:val="1"/>
  </w:num>
  <w:num w:numId="5">
    <w:abstractNumId w:val="6"/>
  </w:num>
  <w:num w:numId="6">
    <w:abstractNumId w:val="2"/>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58"/>
    <w:rsid w:val="00005A6E"/>
    <w:rsid w:val="00013B7C"/>
    <w:rsid w:val="000176CC"/>
    <w:rsid w:val="00026FB5"/>
    <w:rsid w:val="000774ED"/>
    <w:rsid w:val="000811EF"/>
    <w:rsid w:val="000B6501"/>
    <w:rsid w:val="000C7456"/>
    <w:rsid w:val="000E77A9"/>
    <w:rsid w:val="001002B9"/>
    <w:rsid w:val="0010083C"/>
    <w:rsid w:val="0011228C"/>
    <w:rsid w:val="00125FED"/>
    <w:rsid w:val="0015609A"/>
    <w:rsid w:val="001E7CED"/>
    <w:rsid w:val="002129FA"/>
    <w:rsid w:val="00246462"/>
    <w:rsid w:val="0026204F"/>
    <w:rsid w:val="002A50F5"/>
    <w:rsid w:val="0030040B"/>
    <w:rsid w:val="003B6B12"/>
    <w:rsid w:val="00427D58"/>
    <w:rsid w:val="00493D82"/>
    <w:rsid w:val="0049705C"/>
    <w:rsid w:val="004B2F75"/>
    <w:rsid w:val="004B6EB8"/>
    <w:rsid w:val="004C4447"/>
    <w:rsid w:val="004D4EE3"/>
    <w:rsid w:val="004D7CEB"/>
    <w:rsid w:val="0054081F"/>
    <w:rsid w:val="00543A70"/>
    <w:rsid w:val="00574506"/>
    <w:rsid w:val="005E4953"/>
    <w:rsid w:val="00624417"/>
    <w:rsid w:val="00625B56"/>
    <w:rsid w:val="00631EF8"/>
    <w:rsid w:val="00636E03"/>
    <w:rsid w:val="006632A0"/>
    <w:rsid w:val="00676FE2"/>
    <w:rsid w:val="0068382F"/>
    <w:rsid w:val="006B4569"/>
    <w:rsid w:val="006C1DFF"/>
    <w:rsid w:val="006E1615"/>
    <w:rsid w:val="006F0310"/>
    <w:rsid w:val="007134B6"/>
    <w:rsid w:val="007167DF"/>
    <w:rsid w:val="0078190F"/>
    <w:rsid w:val="007A66C8"/>
    <w:rsid w:val="007D30B3"/>
    <w:rsid w:val="007E4F6B"/>
    <w:rsid w:val="007F3930"/>
    <w:rsid w:val="008227CD"/>
    <w:rsid w:val="00827967"/>
    <w:rsid w:val="00834C50"/>
    <w:rsid w:val="00847208"/>
    <w:rsid w:val="00850275"/>
    <w:rsid w:val="00872ED1"/>
    <w:rsid w:val="00880B42"/>
    <w:rsid w:val="008A443C"/>
    <w:rsid w:val="008B79FD"/>
    <w:rsid w:val="008D1BDB"/>
    <w:rsid w:val="008F638B"/>
    <w:rsid w:val="00916382"/>
    <w:rsid w:val="00916D3E"/>
    <w:rsid w:val="00916FF0"/>
    <w:rsid w:val="009210B8"/>
    <w:rsid w:val="00996162"/>
    <w:rsid w:val="0099724D"/>
    <w:rsid w:val="009C2E07"/>
    <w:rsid w:val="00A11610"/>
    <w:rsid w:val="00A3103A"/>
    <w:rsid w:val="00A83A0A"/>
    <w:rsid w:val="00AC58FA"/>
    <w:rsid w:val="00AC72D2"/>
    <w:rsid w:val="00AE106C"/>
    <w:rsid w:val="00B04CEE"/>
    <w:rsid w:val="00BC438A"/>
    <w:rsid w:val="00BE138C"/>
    <w:rsid w:val="00BF7DF3"/>
    <w:rsid w:val="00C033EE"/>
    <w:rsid w:val="00C131E0"/>
    <w:rsid w:val="00C70355"/>
    <w:rsid w:val="00C83A77"/>
    <w:rsid w:val="00C92275"/>
    <w:rsid w:val="00C94D01"/>
    <w:rsid w:val="00CC1E00"/>
    <w:rsid w:val="00CE1A8E"/>
    <w:rsid w:val="00CE4744"/>
    <w:rsid w:val="00CE55F5"/>
    <w:rsid w:val="00D20E84"/>
    <w:rsid w:val="00D30900"/>
    <w:rsid w:val="00D35EF3"/>
    <w:rsid w:val="00D423A3"/>
    <w:rsid w:val="00D523EA"/>
    <w:rsid w:val="00D93BED"/>
    <w:rsid w:val="00E12E4F"/>
    <w:rsid w:val="00E422C7"/>
    <w:rsid w:val="00E60235"/>
    <w:rsid w:val="00E64B6D"/>
    <w:rsid w:val="00E7019C"/>
    <w:rsid w:val="00F27DC5"/>
    <w:rsid w:val="00F30CF9"/>
    <w:rsid w:val="00F41B10"/>
    <w:rsid w:val="00FF4CEF"/>
    <w:rsid w:val="160D3852"/>
    <w:rsid w:val="1DD82B2D"/>
    <w:rsid w:val="1DE302D0"/>
    <w:rsid w:val="2FC45E30"/>
    <w:rsid w:val="358D67F6"/>
    <w:rsid w:val="37A7315E"/>
    <w:rsid w:val="3D1E1D7A"/>
    <w:rsid w:val="6B1B1CC8"/>
    <w:rsid w:val="7441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1"/>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uiPriority w:val="30"/>
    <w:rPr>
      <w:i/>
      <w:iCs/>
      <w:color w:val="104862" w:themeColor="accent1" w:themeShade="BF"/>
    </w:rPr>
  </w:style>
  <w:style w:type="character" w:customStyle="1" w:styleId="35">
    <w:name w:val="Intense Reference1"/>
    <w:basedOn w:val="11"/>
    <w:qFormat/>
    <w:uiPriority w:val="32"/>
    <w:rPr>
      <w:b/>
      <w:bCs/>
      <w:smallCaps/>
      <w:color w:val="104862" w:themeColor="accent1" w:themeShade="BF"/>
      <w:spacing w:val="5"/>
    </w:rPr>
  </w:style>
  <w:style w:type="table" w:customStyle="1" w:styleId="36">
    <w:name w:val="Table Grid Light1"/>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37">
    <w:name w:val="Header Char"/>
    <w:basedOn w:val="11"/>
    <w:link w:val="14"/>
    <w:uiPriority w:val="99"/>
    <w:rPr>
      <w:kern w:val="2"/>
      <w:sz w:val="24"/>
      <w:szCs w:val="24"/>
      <w14:ligatures w14:val="standardContextual"/>
    </w:rPr>
  </w:style>
  <w:style w:type="character" w:customStyle="1" w:styleId="38">
    <w:name w:val="Footer Char"/>
    <w:basedOn w:val="11"/>
    <w:link w:val="13"/>
    <w:uiPriority w:val="99"/>
    <w:rPr>
      <w:kern w:val="2"/>
      <w:sz w:val="24"/>
      <w:szCs w:val="24"/>
      <w14:ligatures w14:val="standardContextu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1910</Words>
  <Characters>10890</Characters>
  <Lines>90</Lines>
  <Paragraphs>25</Paragraphs>
  <TotalTime>14</TotalTime>
  <ScaleCrop>false</ScaleCrop>
  <LinksUpToDate>false</LinksUpToDate>
  <CharactersWithSpaces>12775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2025-09-30T07:08:00Z</dcterms:created>
  <dc:creator>zihad52.cmc@gmail.com</dc:creator>
  <cp:lastModifiedBy>F A Zihad</cp:lastModifiedBy>
  <dcterms:modified xsi:type="dcterms:W3CDTF">2025-10-04T07:57:12Z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2F16A75841BA445996F1DD1DA35F5951_12</vt:lpwstr>
  </property>
</Properties>
</file>