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Protocol for PCOS Management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Bangladesh Context (OGSB / DGHS practice-based protocol)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PCOS is common in reproductive-aged women in Bangladesh; management is adapted to resource settings and affordability.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Diagnosis (Based on Rotterdam Criteria – 2003, adopted in Bangladesh)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Need ≥2 of 3: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Oligo/anovulation (oligomenorrhea, amenorrhea).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Clinical/biochemical hyperandrogenism (hirsutism, acne, alopecia).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Polycystic ovaries on ultrasound (≥12 follicles, 2–9 mm, or ovarian volume &gt;10 ml).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Exclude other causes (thyroid disease, hyperprolactinemia, non-classical CAH, androgen-secreting tumor).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Management – Stepwise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 General measures (first line)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Weight reduction (diet, exercise, lifestyle modification).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Even 5–10% weight loss improves cycle regularity and fertility.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 Menstrual irregularity / endometrial protection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Combined oral contraceptive pill (COCP): 1st line if not seeking pregnancy.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Cyclic progestogen every 1–3 months if COCP contraindicated.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3. Hirsutism / acne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COCP first line.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Add antiandrogens (spironolactone, finasteride) if inadequate response (with contraception).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4. Infertility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Lifestyle measures first.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First-line ovulation induction: Letrozole (preferred over clomiphene).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Clomiphene citrate if letrozole unavailable.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Metformin can be used in women with glucose intolerance, obesity, or when resistant to ovulation induction.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Laparoscopic ovarian drilling in resistant cases.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Referral for ART/IVF if needed.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5. Metabolic risk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Screen for glucose intolerance, dyslipidemia, hypertension.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Treat insulin resistance: Metformin 500–1000 mg/day (step up gradually).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2. RCOG Guidance (Green-top &amp; consensus, UK)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Lifestyle modification = cornerstone (diet, physical activity, weight management).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COCP recommended for cycle control, acne, and hirsutism.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Metformin: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Not for routine use in all women.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Recommended in women with BMI &gt;25 and impaired glucose tolerance or high metabolic risk.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Infertility: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Letrozole first-line ovulation induction.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Clomiphene as alternative.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Gonadotropins or ovarian drilling if resistant.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Long-term risks: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Monitor for diabetes, CVD, endometrial hyperplasia/cancer risk (if oligomenorrhea untreated).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3. ACOG Practice Bulletin (U.S.)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Emphasis on lifestyle modification (calorie restriction, weight loss, exercise).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Menstrual irregularity: COCP or cyclic progestins for endometrial protection.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Hirsutism/acne: COCP first line; add antiandrogens if inadequate response.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Infertility: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Letrozole preferred over clomiphene as first-line.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Metformin is not first-line for ovulation induction, but may be used if glucose intolerance or metabolic features are present.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Screening: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Check BP, BMI, lipids, OGTT (75 g).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Depression and sleep apnea screening.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Adolescents: Caution in early diagnosis (wait 2 years post-menarche unless severe symptoms).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4. WHO (Global guidance)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WHO does not have a single “PCOS guideline,” but follows International Evidence-Based Guideline for the Assessment and Management of PCOS (2018; updated 2023), endorsed by WHO, ESHRE, ASRM, RCOG, etc.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Key principles: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Lifestyle first line: dietary advice, physical activity, behavioral support.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COCP for irregular cycles and hyperandrogenism.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Metformin recommended mainly for metabolic features, impaired glucose tolerance, and as second-line for cycle control if COCP not tolerated.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Infertility: Letrozole first line, clomiphene/metformin alternatives, gonadotropins or ovarian drilling second line, ART third line.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Mental health: Screening for anxiety, depression, eating disorders.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Adolescents: Delay diagnosis unless persistent features; treat symptoms.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Comparison Table (Quick View)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Aspect</w:t>
        <w:tab/>
        <w:t xml:space="preserve">Bangladesh (OGSB/DGHS)</w:t>
        <w:tab/>
        <w:t xml:space="preserve">RCOG</w:t>
        <w:tab/>
        <w:t xml:space="preserve">ACOG</w:t>
        <w:tab/>
        <w:t xml:space="preserve">WHO / International Guideline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Diagnosis</w:t>
        <w:tab/>
        <w:t xml:space="preserve">Rotterdam</w:t>
        <w:tab/>
        <w:t xml:space="preserve">Rotterdam</w:t>
        <w:tab/>
        <w:t xml:space="preserve">Rotterdam</w:t>
        <w:tab/>
        <w:t xml:space="preserve">Rotterdam (with adolescent caution)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First-line therapy</w:t>
        <w:tab/>
        <w:t xml:space="preserve">Lifestyle + COCP</w:t>
        <w:tab/>
        <w:t xml:space="preserve">Lifestyle + COCP</w:t>
        <w:tab/>
        <w:t xml:space="preserve">Lifestyle + COCP</w:t>
        <w:tab/>
        <w:t xml:space="preserve">Lifestyle + COCP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Infertility (first-line)</w:t>
        <w:tab/>
        <w:t xml:space="preserve">Letrozole (or clomiphene)</w:t>
        <w:tab/>
        <w:t xml:space="preserve">Letrozole</w:t>
        <w:tab/>
        <w:t xml:space="preserve">Letrozole</w:t>
        <w:tab/>
        <w:t xml:space="preserve">Letrozole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Metformin</w:t>
        <w:tab/>
        <w:t xml:space="preserve">Commonly used (glucose intolerance, obesity, ovulation induction)</w:t>
        <w:tab/>
        <w:t xml:space="preserve">Selective (BMI&gt;25, IGT, metabolic risk)</w:t>
        <w:tab/>
        <w:t xml:space="preserve">Not first-line for ovulation, used for IGT/metabolic</w:t>
        <w:tab/>
        <w:t xml:space="preserve">For IGT, metabolic risk; second-line for cycles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Hirsutism/acne</w:t>
        <w:tab/>
        <w:t xml:space="preserve">COCP → antiandrogens</w:t>
        <w:tab/>
        <w:t xml:space="preserve">COCP → antiandrogens</w:t>
        <w:tab/>
        <w:t xml:space="preserve">COCP → antiandrogens</w:t>
        <w:tab/>
        <w:t xml:space="preserve">COCP → antiandrogens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Screening</w:t>
        <w:tab/>
        <w:t xml:space="preserve">OGTT, BP</w:t>
        <w:tab/>
        <w:t xml:space="preserve">CVD risk, DM, endometrial risk</w:t>
        <w:tab/>
        <w:t xml:space="preserve">OGTT, lipids, depression, sleep apnea</w:t>
        <w:tab/>
        <w:t xml:space="preserve">OGTT, CVD risk, mental health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Adolescents</w:t>
        <w:tab/>
        <w:t xml:space="preserve">Based on symptoms + USG</w:t>
        <w:tab/>
        <w:t xml:space="preserve">Careful, delay Dx</w:t>
        <w:tab/>
        <w:t xml:space="preserve">Careful, delay Dx</w:t>
        <w:tab/>
        <w:t xml:space="preserve">Avoid early Dx, treat symptoms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✅</w:t>
      </w:r>
      <w:r w:rsidDel="00000000" w:rsidR="00000000" w:rsidRPr="00000000">
        <w:rPr>
          <w:rtl w:val="0"/>
        </w:rPr>
        <w:t xml:space="preserve"> Updated Management Recommendations (2023 PCOS Guideline)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Here are the evidence-based management strategies, with what the guideline “strongly recommends” or “could consider”.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Management domain What 2023 Guideline Recommends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Lifestyle Intervention Always first-line. Healthy diet, increase physical activity, weight management. Help prevent weight gain, minimize excess weight.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Mental Health / Psychological Support</w:t>
        <w:tab/>
        <w:t xml:space="preserve">Screen all women for psychological features (depression, anxiety, eating disorders, quality of life). Offer psychological therapy (e.g., CBT) when indicated.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Menstrual Irregularity / Hyperandrogenism Use combined oral contraceptive pills (COCPs) in reproductive-aged adults for cycle regulation and hirsutism/acne. Low- vs high-dose estrogen: no clear advantage of ≥30 µg ethinylestradiol vs &lt;30 µg for hirsutism.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Fertility / Ovulation Induction Letrozole remains first-line for ovulation induction. Safer, more cost-effective options prioritized. ART/treatments with fewer risks recommended.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Metabolic &amp; Cardiovascular Risk Assess and monitor: BMI, waist circumference, blood pressure, lipids, glucose. Screen for type 2 diabetes (OGTT), dyslipidaemia, sleep apnoea.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Preconception / Pregnancy Care Recognize PCOS as high-risk in pregnancy (gestational diabetes, preeclampsia, etc.), ensure risk factors optimized before conception. Single embryo transfer recommended in ART to reduce risk.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Use of Metformin and Other Drugs Metformin: recommended especially in women with impaired glucose tolerance, metabolic risk; less so for cycle/hirsutism unless metabolic features present. Anti-androgens may be added if hyperandrogenism not controlled by COCPs.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Adolescents</w:t>
        <w:tab/>
        <w:t xml:space="preserve">In adolescents: require both hyperandrogenism and ovulatory dysfunction for diagnosis; avoid ultrasound and AMH. Use low dose COCP for menstrual regulation and hyperandrogenism; lifestyle interventions; psychological care.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 References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1. OGSB/DGHS. Bangladesh National Protocols for Management of PCOS (based on Rotterdam, EmONC guidelines).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2. Teede HJ et al. International evidence-based guideline for the assessment and management of PCOS. Hum Reprod 2018; update 2023.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3. RCOG. Green-top Guidelines (PCOS, fertility treatment).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4. ACOG Practice Bulletin: Polycystic Ovary Syndrome (2018).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5. WHO / FIGO endorsement of International PCOS guideline.</w:t>
      </w:r>
    </w:p>
    <w:p w:rsidR="00000000" w:rsidDel="00000000" w:rsidP="00000000" w:rsidRDefault="00000000" w:rsidRPr="00000000" w14:paraId="000000CE">
      <w:pPr>
        <w:rPr/>
      </w:pPr>
      <w:bookmarkStart w:colFirst="0" w:colLast="0" w:name="_6pthkyec531l" w:id="0"/>
      <w:bookmarkEnd w:id="0"/>
      <w:r w:rsidDel="00000000" w:rsidR="00000000" w:rsidRPr="00000000">
        <w:rPr>
          <w:rtl w:val="0"/>
        </w:rPr>
        <w:t xml:space="preserve">6.2023 Evidence based guidelines for PCOS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Arial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