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Abnormal Uterine Bleeding (AUB) — Clinical Protocol (PALM-COEIN framework)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Definition &amp; classification (quick)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AUB = bleeding from the uterus that is abnormal in frequency, regularity, duration, or volume (outside pregnancy). Use FIGO PALM-COEIN classification for etiology: Polyp, Adenomyosis, Leiomyoma, Malignancy/hyperplasia (structural) — Coagulopathy, Ovulatory dysfunction, Endometrial, Iatrogenic, Not yet classified (non-structural).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Triage / initial priorities (all settings)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Urgent if very heavy bleeding with haemodynamic instability, syncope, chest pain, severe anaemia (Hb &lt; 7 g/dL or symptomatic), or rapidly ongoing blood loss — stabilise first (ABC), large-bore IV access, fluids, blood crossmatch, oxygen, ECG. Follow local massive transfusion / PPH protocols if needed.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History &amp; examination (key items)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Menstrual history: pattern, duration, volume (use menstrual pictogram / patient report), impact on quality of life, contraception, pregnancy tests.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Bleeding pattern: heavy regular periods (HMB), intermenstrual/metrorrhagia, post-coital, postmenopausal.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Red flags: postmenopausal bleeding, persistent intermenstrual bleeding, rapid enlargement of uterus, atypical PV discharge, weight loss, palpable pelvic mass, family history of bleeding disorders or endometrial/cervical cancer.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Exam: vitals, abdo/pelvic exam, speculum and bimanual exam (if not too unstable). Document uterine size, adnexal masses, cervical lesions.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Initial investigations (according to severity &amp; age)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All with AUB (non-urgent): pregnancy test (urine/serum), full blood count, thyroid function if clinically suspected, coagulation if bleeding disorder suspected, cervical screening as per age, consider STI testing if IMB.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HMB/anaemia: ferritin, transferrin saturation, iron studies.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structural suspected: pelvic ultrasound (transvaginal if possible).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PMB or suspicion of hyperplasia/malignancy: endometrial sampling (pipelle) or hysteroscopy ± directed biopsy.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Acute medical control of heavy bleeding (first 24–48 h)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Options depend on whether patient is stable and wishes fertility: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A. Stabilise first (fluids, transfuse as indicated).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B. Medical agents to rapidly reduce bleeding (choose per contraindications):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High-dose tranexamic acid (e.g., 1 g PO/IV every 8 hours, per local protocol) — reduces menstrual blood loss.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High-dose combined oral contraceptive (COC) — e.g., 30–50 µg ethinylestradiol with progestin for immediate control (loading regimen) — if no contraindication.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High-dose oral progestogens (e.g., medroxyprogesterone acetate 10–20 mg TDS) or norethisterone — for ovulatory AUB.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Levonorgestrel-releasing intrauterine system (LNG-IUS) (Mirena) — most effective long-term medical therapy for HMB; consider as first-line long-term option for those not seeking pregnancy.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C. Second-line / adjuncts: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GnRH analogues (short-term) for large fibroids or pre-op optimization.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Ulipristal acetate — note safety/availability concerns and regulatory advice (follow NICE/EMA advice if considered).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 Further diagnostic pathway (one-stop approach)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initial treatment fails or structural pathology suspected: perform pelvic ultrasound → outpatient hysteroscopy ± polypectomy if intracavitary lesion → endometrial biopsy if abnormal endometrium or &gt;45 y (or risk factors).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Consider MRI if adenomyosis suspected and ultrasound inconclusive.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Surgical options (if medical therapy fails or not desired)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Hysteroscopic polypectomy / myomectomy for intracavitary polyps/fibroids.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Endometrial ablation (for completed childbearing; check uterine size/shape &amp; contraindications).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Uterine artery embolisation — for fibroid-related HMB if fertility not desired / multidisciplinary decision.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Hysterectomy — definitive; reserved for failed conservative measures or uterine pathology requiring removal.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8. Special populations &amp; considerations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Adolescents: consider congenital bleeding disorders (vWD); liaise haem/paediatrics.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Perimenopausal/postmenopausal: low threshold for endometrial sampling to exclude hyperplasia/ca malignancy.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Desire fertility: prefer conservative treatments (medical, hysteroscopic resection, myomectomy).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Contraindications: check thromboembolism risk before COC; hepatic disease for some meds; contraindications to LNG-IUS (active PID etc.).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9. Bangladesh / low-resource adaptations (practical)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Promote one-stop menstrual clinic model: history, Hb testing, pregnancy test, ultrasound access and outpatient hysteroscopy where possible (RCOG/UK one-stop model useful).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Strong emphasis on screening and treating iron deficiency anaemia early (oral iron or IV iron if severe) and linking with community/primary care for follow-up. (High prevalence of AUB-related anaemia locally.)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Where LNG-IUS is limited by availability/cost, use oral tranexamic acid, progestogens, and COC as effective, low-cost alternatives while advocating for access to LNG-IUS.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Ensure referral pathways for blood transfusion, surgical facilities, and histopathology services (sample transport &amp; reporting).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10. Follow up &amp; safety netting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Re-assess Hb/iron after 4–6 weeks if treated medically.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persistent bleeding despite two lines of therapy or red-flag symptoms → urgent referral to gynecology clinic for imaging ± hysteroscopy.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Document informed consent for treatments, discuss fertility implications, and provide contraception counselling where relevant.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Key evidence / guideline sources (selected)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NICE: Heavy menstrual bleeding: assessment and management (NG88, 2018).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ACOG: Practice Bulletin — Diagnosis of AUB in reproductive-aged women (Practice Bulletin No. 128) and acute AUB management guidance.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RCOG / UK: RCOG educational resources and joint RCOG/BSGE/BGCS guidance (useful one-stop clinic model).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FIGO / PALM-COEIN classification &amp; review literature.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ESHRE: guideline documents (refer to ESHRE site for specific fertility-sparing recommendations).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Bangladesh literature: regional articles and surgical/pathology series highlighting local prevalence and need for anemia management.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