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E6791" w14:textId="468D8C50" w:rsidR="00F4629F" w:rsidRDefault="001A6D34" w:rsidP="001A6D34">
      <w:pPr>
        <w:jc w:val="center"/>
        <w:rPr>
          <w:b/>
          <w:bCs/>
          <w:sz w:val="48"/>
          <w:szCs w:val="48"/>
        </w:rPr>
      </w:pPr>
      <w:r>
        <w:rPr>
          <w:b/>
          <w:bCs/>
          <w:sz w:val="48"/>
          <w:szCs w:val="48"/>
        </w:rPr>
        <w:t xml:space="preserve">Guidelines on </w:t>
      </w:r>
      <w:r w:rsidR="00F4629F" w:rsidRPr="00EC3E9E">
        <w:rPr>
          <w:b/>
          <w:bCs/>
          <w:sz w:val="48"/>
          <w:szCs w:val="48"/>
        </w:rPr>
        <w:t>O</w:t>
      </w:r>
      <w:r w:rsidR="00F4629F" w:rsidRPr="00F4629F">
        <w:rPr>
          <w:rFonts w:hint="cs"/>
          <w:b/>
          <w:bCs/>
          <w:sz w:val="48"/>
          <w:szCs w:val="48"/>
        </w:rPr>
        <w:t>steoporosis and fragility fractures</w:t>
      </w:r>
    </w:p>
    <w:p w14:paraId="42A8321A" w14:textId="77777777" w:rsidR="008E1041" w:rsidRDefault="008E1041" w:rsidP="008E1041">
      <w:pPr>
        <w:rPr>
          <w:b/>
          <w:bCs/>
          <w:sz w:val="28"/>
          <w:szCs w:val="28"/>
        </w:rPr>
      </w:pPr>
    </w:p>
    <w:p w14:paraId="7AFF06A9" w14:textId="7A8104F5" w:rsidR="008E1041" w:rsidRPr="008E1041" w:rsidRDefault="008E1041" w:rsidP="008E1041">
      <w:pPr>
        <w:rPr>
          <w:b/>
          <w:bCs/>
          <w:sz w:val="28"/>
          <w:szCs w:val="28"/>
        </w:rPr>
      </w:pPr>
      <w:r w:rsidRPr="008E1041">
        <w:rPr>
          <w:b/>
          <w:bCs/>
          <w:sz w:val="28"/>
          <w:szCs w:val="28"/>
        </w:rPr>
        <w:t>Prepared By: Dr.</w:t>
      </w:r>
      <w:r>
        <w:rPr>
          <w:b/>
          <w:bCs/>
          <w:sz w:val="28"/>
          <w:szCs w:val="28"/>
        </w:rPr>
        <w:t xml:space="preserve"> </w:t>
      </w:r>
      <w:r w:rsidRPr="008E1041">
        <w:rPr>
          <w:b/>
          <w:bCs/>
          <w:sz w:val="28"/>
          <w:szCs w:val="28"/>
        </w:rPr>
        <w:t>Md. Sajid Bin Ashraf Sami</w:t>
      </w:r>
    </w:p>
    <w:p w14:paraId="7E218672" w14:textId="77777777" w:rsidR="001A6D34" w:rsidRPr="00EC3E9E" w:rsidRDefault="001A6D34" w:rsidP="001A6D34">
      <w:pPr>
        <w:jc w:val="center"/>
        <w:rPr>
          <w:b/>
          <w:bCs/>
          <w:sz w:val="48"/>
          <w:szCs w:val="48"/>
        </w:rPr>
      </w:pPr>
    </w:p>
    <w:p w14:paraId="2EE98776" w14:textId="5C8D40C2" w:rsidR="00F4629F" w:rsidRPr="00EC3E9E" w:rsidRDefault="00F4629F" w:rsidP="00F4629F">
      <w:pPr>
        <w:rPr>
          <w:b/>
          <w:bCs/>
          <w:sz w:val="32"/>
          <w:szCs w:val="32"/>
          <w:u w:val="single"/>
        </w:rPr>
      </w:pPr>
      <w:r w:rsidRPr="00EC3E9E">
        <w:rPr>
          <w:b/>
          <w:bCs/>
          <w:sz w:val="32"/>
          <w:szCs w:val="32"/>
          <w:u w:val="single"/>
        </w:rPr>
        <w:t>Introduction</w:t>
      </w:r>
    </w:p>
    <w:p w14:paraId="65DEECF5" w14:textId="0C954A5D" w:rsidR="00F4629F" w:rsidRPr="00F4629F" w:rsidRDefault="00F4629F" w:rsidP="00F4629F">
      <w:pPr>
        <w:rPr>
          <w:rFonts w:cstheme="minorHAnsi"/>
          <w:sz w:val="24"/>
          <w:szCs w:val="24"/>
        </w:rPr>
      </w:pPr>
      <w:r w:rsidRPr="00234D2A">
        <w:rPr>
          <w:rFonts w:cstheme="minorHAnsi"/>
          <w:sz w:val="24"/>
          <w:szCs w:val="24"/>
        </w:rPr>
        <w:t>Osteoporosis is a disease characterised by low bone mass and structural deterioration of bone tissue, with a consequent increase in bone fragility and susceptibility to fracture. Osteoporosis leads to nearly 9 million fractures annually worldwide (Johnell and Kanis, 2006), and over 300,000 patients present with fragility fractures to hospitals in the UK each year</w:t>
      </w:r>
    </w:p>
    <w:p w14:paraId="2E72C1F8" w14:textId="4996D61A" w:rsidR="0035391B" w:rsidRDefault="00F4629F">
      <w:pPr>
        <w:rPr>
          <w:sz w:val="24"/>
          <w:szCs w:val="24"/>
        </w:rPr>
      </w:pPr>
      <w:r w:rsidRPr="00F4629F">
        <w:rPr>
          <w:rFonts w:hint="cs"/>
          <w:sz w:val="24"/>
          <w:szCs w:val="24"/>
        </w:rPr>
        <w:t>The conceptual definition of osteoporosis was made by the World Health Organization (WHO) in 1994 as a “progressive systemic skeletal disease characterized by low bone mass and microarchitectural deterioration of bone tissue, with a consequent increase in bone fragility and susceptibility to fracture”. Since microarchitectural deterioration could not be measured clinically, the operational description was based on a bone mineral density (BMD) T-Score of ≤-2.5.</w:t>
      </w:r>
    </w:p>
    <w:p w14:paraId="1BC95D74" w14:textId="350CFB12" w:rsidR="00F4629F" w:rsidRDefault="00F4629F" w:rsidP="00F4629F">
      <w:pPr>
        <w:tabs>
          <w:tab w:val="num" w:pos="720"/>
        </w:tabs>
        <w:rPr>
          <w:sz w:val="24"/>
          <w:szCs w:val="24"/>
        </w:rPr>
      </w:pPr>
      <w:r w:rsidRPr="00F4629F">
        <w:rPr>
          <w:rFonts w:hint="cs"/>
          <w:sz w:val="24"/>
          <w:szCs w:val="24"/>
        </w:rPr>
        <w:t xml:space="preserve">The clinical significance of osteoporosis lies in the fractures that arise. In adults, approximately one in two women and one in five men will sustain one or more fragility fractures (a low trauma fracture sustained from a fall from standing height or less) in their </w:t>
      </w:r>
      <w:proofErr w:type="gramStart"/>
      <w:r w:rsidRPr="00F4629F">
        <w:rPr>
          <w:rFonts w:hint="cs"/>
          <w:sz w:val="24"/>
          <w:szCs w:val="24"/>
        </w:rPr>
        <w:t>lifetime .</w:t>
      </w:r>
      <w:proofErr w:type="gramEnd"/>
      <w:r w:rsidRPr="00F4629F">
        <w:rPr>
          <w:rFonts w:hint="cs"/>
          <w:sz w:val="24"/>
          <w:szCs w:val="24"/>
        </w:rPr>
        <w:t xml:space="preserve"> In the UK, the prevalence of femoral neck BMD T-Score ≤-2.5, in those aged 50 years and older, is 6.8% in men and 21.8% in women </w:t>
      </w:r>
    </w:p>
    <w:p w14:paraId="3E518F32" w14:textId="08027B9E" w:rsidR="00C76854" w:rsidRDefault="00F4629F" w:rsidP="00C76854">
      <w:pPr>
        <w:tabs>
          <w:tab w:val="num" w:pos="720"/>
        </w:tabs>
        <w:rPr>
          <w:sz w:val="24"/>
          <w:szCs w:val="24"/>
        </w:rPr>
      </w:pPr>
      <w:r w:rsidRPr="00F4629F">
        <w:rPr>
          <w:rFonts w:hint="cs"/>
          <w:sz w:val="24"/>
          <w:szCs w:val="24"/>
        </w:rPr>
        <w:t>Common sites of fragility fracture include the vertebral bodies, hip, distal radius, proximal humerus and pelvis. Hip fracture is the most common reason for emergency anaesthesia and surgery in older people. It is also the most common cause of death following a fall.</w:t>
      </w:r>
      <w:r w:rsidR="00C76854" w:rsidRPr="00C76854">
        <w:rPr>
          <w:rFonts w:hint="cs"/>
          <w:sz w:val="24"/>
          <w:szCs w:val="24"/>
        </w:rPr>
        <w:t xml:space="preserve"> </w:t>
      </w:r>
      <w:r w:rsidR="00C76854" w:rsidRPr="00F4629F">
        <w:rPr>
          <w:rFonts w:hint="cs"/>
          <w:sz w:val="24"/>
          <w:szCs w:val="24"/>
        </w:rPr>
        <w:t xml:space="preserve">Such fractures cause severe pain, disability, and reduction in quality of </w:t>
      </w:r>
      <w:proofErr w:type="gramStart"/>
      <w:r w:rsidR="00C76854" w:rsidRPr="00F4629F">
        <w:rPr>
          <w:rFonts w:hint="cs"/>
          <w:sz w:val="24"/>
          <w:szCs w:val="24"/>
        </w:rPr>
        <w:t>life .</w:t>
      </w:r>
      <w:proofErr w:type="gramEnd"/>
      <w:r w:rsidR="00C76854" w:rsidRPr="00F4629F">
        <w:rPr>
          <w:rFonts w:hint="cs"/>
          <w:sz w:val="24"/>
          <w:szCs w:val="24"/>
        </w:rPr>
        <w:t xml:space="preserve"> </w:t>
      </w:r>
    </w:p>
    <w:p w14:paraId="7A3EB4A8" w14:textId="77777777" w:rsidR="00EC3E9E" w:rsidRDefault="00EC3E9E" w:rsidP="002022F8">
      <w:pPr>
        <w:tabs>
          <w:tab w:val="num" w:pos="720"/>
        </w:tabs>
        <w:rPr>
          <w:b/>
          <w:bCs/>
          <w:i/>
          <w:iCs/>
          <w:sz w:val="28"/>
          <w:szCs w:val="28"/>
        </w:rPr>
      </w:pPr>
    </w:p>
    <w:p w14:paraId="6444DD34" w14:textId="77777777" w:rsidR="001A6D34" w:rsidRDefault="001A6D34" w:rsidP="002022F8">
      <w:pPr>
        <w:tabs>
          <w:tab w:val="num" w:pos="720"/>
        </w:tabs>
        <w:rPr>
          <w:b/>
          <w:bCs/>
          <w:sz w:val="30"/>
          <w:szCs w:val="30"/>
          <w:u w:val="single"/>
        </w:rPr>
      </w:pPr>
    </w:p>
    <w:p w14:paraId="7990AA31" w14:textId="77777777" w:rsidR="001A6D34" w:rsidRDefault="001A6D34" w:rsidP="002022F8">
      <w:pPr>
        <w:tabs>
          <w:tab w:val="num" w:pos="720"/>
        </w:tabs>
        <w:rPr>
          <w:b/>
          <w:bCs/>
          <w:sz w:val="30"/>
          <w:szCs w:val="30"/>
          <w:u w:val="single"/>
        </w:rPr>
      </w:pPr>
    </w:p>
    <w:p w14:paraId="0D1404A1" w14:textId="77777777" w:rsidR="001A6D34" w:rsidRDefault="001A6D34" w:rsidP="002022F8">
      <w:pPr>
        <w:tabs>
          <w:tab w:val="num" w:pos="720"/>
        </w:tabs>
        <w:rPr>
          <w:b/>
          <w:bCs/>
          <w:sz w:val="30"/>
          <w:szCs w:val="30"/>
          <w:u w:val="single"/>
        </w:rPr>
      </w:pPr>
    </w:p>
    <w:p w14:paraId="7505D21E" w14:textId="77777777" w:rsidR="001A6D34" w:rsidRDefault="001A6D34" w:rsidP="002022F8">
      <w:pPr>
        <w:tabs>
          <w:tab w:val="num" w:pos="720"/>
        </w:tabs>
        <w:rPr>
          <w:b/>
          <w:bCs/>
          <w:sz w:val="30"/>
          <w:szCs w:val="30"/>
          <w:u w:val="single"/>
        </w:rPr>
      </w:pPr>
    </w:p>
    <w:p w14:paraId="632FAFA5" w14:textId="77777777" w:rsidR="001A6D34" w:rsidRDefault="001A6D34" w:rsidP="002022F8">
      <w:pPr>
        <w:tabs>
          <w:tab w:val="num" w:pos="720"/>
        </w:tabs>
        <w:rPr>
          <w:b/>
          <w:bCs/>
          <w:sz w:val="30"/>
          <w:szCs w:val="30"/>
          <w:u w:val="single"/>
        </w:rPr>
      </w:pPr>
    </w:p>
    <w:p w14:paraId="327D0A5D" w14:textId="77777777" w:rsidR="001A6D34" w:rsidRDefault="001A6D34" w:rsidP="002022F8">
      <w:pPr>
        <w:tabs>
          <w:tab w:val="num" w:pos="720"/>
        </w:tabs>
        <w:rPr>
          <w:b/>
          <w:bCs/>
          <w:sz w:val="30"/>
          <w:szCs w:val="30"/>
          <w:u w:val="single"/>
        </w:rPr>
      </w:pPr>
    </w:p>
    <w:p w14:paraId="1261E405" w14:textId="37722EE0" w:rsidR="002022F8" w:rsidRPr="002022F8" w:rsidRDefault="002022F8" w:rsidP="002022F8">
      <w:pPr>
        <w:tabs>
          <w:tab w:val="num" w:pos="720"/>
        </w:tabs>
        <w:rPr>
          <w:b/>
          <w:bCs/>
          <w:sz w:val="30"/>
          <w:szCs w:val="30"/>
          <w:u w:val="single"/>
        </w:rPr>
      </w:pPr>
      <w:r w:rsidRPr="00EC3E9E">
        <w:rPr>
          <w:b/>
          <w:bCs/>
          <w:sz w:val="30"/>
          <w:szCs w:val="30"/>
          <w:u w:val="single"/>
        </w:rPr>
        <w:t>A</w:t>
      </w:r>
      <w:r w:rsidRPr="002022F8">
        <w:rPr>
          <w:rFonts w:hint="cs"/>
          <w:b/>
          <w:bCs/>
          <w:sz w:val="30"/>
          <w:szCs w:val="30"/>
          <w:u w:val="single"/>
        </w:rPr>
        <w:t>ssessment of fracture risk in postmenopausal women, and men age ≥50:</w:t>
      </w:r>
    </w:p>
    <w:p w14:paraId="50754724" w14:textId="77777777" w:rsidR="002022F8" w:rsidRPr="00EC3E9E" w:rsidRDefault="002022F8" w:rsidP="002022F8">
      <w:pPr>
        <w:numPr>
          <w:ilvl w:val="0"/>
          <w:numId w:val="2"/>
        </w:numPr>
        <w:rPr>
          <w:color w:val="000000" w:themeColor="text1"/>
          <w:sz w:val="24"/>
          <w:szCs w:val="24"/>
        </w:rPr>
      </w:pPr>
      <w:r w:rsidRPr="002022F8">
        <w:rPr>
          <w:rFonts w:hint="cs"/>
          <w:b/>
          <w:bCs/>
          <w:color w:val="000000" w:themeColor="text1"/>
          <w:sz w:val="24"/>
          <w:szCs w:val="24"/>
        </w:rPr>
        <w:t>Conduct a</w:t>
      </w:r>
      <w:r w:rsidRPr="002022F8">
        <w:rPr>
          <w:rFonts w:hint="cs"/>
          <w:b/>
          <w:bCs/>
          <w:color w:val="000000" w:themeColor="text1"/>
          <w:sz w:val="24"/>
          <w:szCs w:val="24"/>
          <w:u w:val="single"/>
        </w:rPr>
        <w:t> </w:t>
      </w:r>
      <w:hyperlink r:id="rId5" w:tgtFrame="_blank" w:history="1">
        <w:r w:rsidRPr="002022F8">
          <w:rPr>
            <w:rStyle w:val="Hyperlink"/>
            <w:rFonts w:hint="cs"/>
            <w:b/>
            <w:bCs/>
            <w:color w:val="000000" w:themeColor="text1"/>
            <w:sz w:val="24"/>
            <w:szCs w:val="24"/>
          </w:rPr>
          <w:t>FRAX assessment</w:t>
        </w:r>
      </w:hyperlink>
      <w:r w:rsidRPr="002022F8">
        <w:rPr>
          <w:rFonts w:hint="cs"/>
          <w:b/>
          <w:bCs/>
          <w:color w:val="000000" w:themeColor="text1"/>
          <w:sz w:val="24"/>
          <w:szCs w:val="24"/>
        </w:rPr>
        <w:t> in people with a </w:t>
      </w:r>
      <w:hyperlink r:id="rId6" w:anchor="table-4" w:history="1">
        <w:r w:rsidRPr="002022F8">
          <w:rPr>
            <w:rStyle w:val="Hyperlink"/>
            <w:rFonts w:hint="cs"/>
            <w:b/>
            <w:bCs/>
            <w:color w:val="000000" w:themeColor="text1"/>
            <w:sz w:val="24"/>
            <w:szCs w:val="24"/>
            <w:u w:val="none"/>
          </w:rPr>
          <w:t>clinical risk factor</w:t>
        </w:r>
        <w:r w:rsidRPr="002022F8">
          <w:rPr>
            <w:rStyle w:val="Hyperlink"/>
            <w:rFonts w:hint="cs"/>
            <w:b/>
            <w:bCs/>
            <w:color w:val="000000" w:themeColor="text1"/>
            <w:sz w:val="24"/>
            <w:szCs w:val="24"/>
          </w:rPr>
          <w:t> </w:t>
        </w:r>
      </w:hyperlink>
      <w:r w:rsidRPr="002022F8">
        <w:rPr>
          <w:rFonts w:hint="cs"/>
          <w:b/>
          <w:bCs/>
          <w:color w:val="000000" w:themeColor="text1"/>
          <w:sz w:val="24"/>
          <w:szCs w:val="24"/>
        </w:rPr>
        <w:t>for fragility fracture.</w:t>
      </w:r>
    </w:p>
    <w:p w14:paraId="188DE1B5" w14:textId="77777777" w:rsidR="00393A48" w:rsidRPr="00143FCF" w:rsidRDefault="00393A48" w:rsidP="00EC3E9E">
      <w:pPr>
        <w:shd w:val="clear" w:color="auto" w:fill="FFFFFF"/>
        <w:spacing w:after="0" w:line="240" w:lineRule="auto"/>
        <w:rPr>
          <w:rFonts w:ascii="Assistant" w:eastAsia="Times New Roman" w:hAnsi="Assistant" w:cs="Assistant"/>
          <w:color w:val="000000" w:themeColor="text1"/>
          <w:kern w:val="0"/>
          <w:sz w:val="24"/>
          <w:szCs w:val="24"/>
          <w:lang w:eastAsia="en-SG" w:bidi="hi-IN"/>
          <w14:ligatures w14:val="none"/>
        </w:rPr>
      </w:pPr>
      <w:r w:rsidRPr="00143FCF">
        <w:rPr>
          <w:rFonts w:ascii="Assistant" w:eastAsia="Times New Roman" w:hAnsi="Assistant" w:cs="Assistant" w:hint="cs"/>
          <w:color w:val="000000" w:themeColor="text1"/>
          <w:kern w:val="0"/>
          <w:sz w:val="24"/>
          <w:szCs w:val="24"/>
          <w:lang w:eastAsia="en-SG" w:bidi="hi-IN"/>
          <w14:ligatures w14:val="none"/>
        </w:rPr>
        <w:t>Clinical risk factors included specifically in the FRAX assessment of fracture probability</w:t>
      </w:r>
    </w:p>
    <w:tbl>
      <w:tblPr>
        <w:tblW w:w="10925" w:type="dxa"/>
        <w:shd w:val="clear" w:color="auto" w:fill="FFFFFF"/>
        <w:tblCellMar>
          <w:top w:w="15" w:type="dxa"/>
          <w:left w:w="15" w:type="dxa"/>
          <w:bottom w:w="15" w:type="dxa"/>
          <w:right w:w="15" w:type="dxa"/>
        </w:tblCellMar>
        <w:tblLook w:val="04A0" w:firstRow="1" w:lastRow="0" w:firstColumn="1" w:lastColumn="0" w:noHBand="0" w:noVBand="1"/>
      </w:tblPr>
      <w:tblGrid>
        <w:gridCol w:w="10925"/>
      </w:tblGrid>
      <w:tr w:rsidR="00393A48" w:rsidRPr="00393A48" w14:paraId="46AFC120" w14:textId="77777777">
        <w:tc>
          <w:tcPr>
            <w:tcW w:w="0" w:type="auto"/>
            <w:tcBorders>
              <w:top w:val="nil"/>
              <w:left w:val="nil"/>
              <w:bottom w:val="nil"/>
              <w:right w:val="nil"/>
            </w:tcBorders>
            <w:tcMar>
              <w:top w:w="60" w:type="dxa"/>
              <w:left w:w="135" w:type="dxa"/>
              <w:bottom w:w="60" w:type="dxa"/>
              <w:right w:w="135" w:type="dxa"/>
            </w:tcMar>
            <w:vAlign w:val="center"/>
            <w:hideMark/>
          </w:tcPr>
          <w:p w14:paraId="16188B96" w14:textId="5B45870B" w:rsidR="00393A48" w:rsidRPr="00143FCF" w:rsidRDefault="00393A48" w:rsidP="001A6D34">
            <w:pPr>
              <w:spacing w:after="150" w:line="240" w:lineRule="auto"/>
              <w:rPr>
                <w:rFonts w:ascii="Assistant" w:eastAsia="Times New Roman" w:hAnsi="Assistant" w:cs="Assistant"/>
                <w:color w:val="6C757D"/>
                <w:kern w:val="0"/>
                <w:sz w:val="24"/>
                <w:szCs w:val="24"/>
                <w:lang w:eastAsia="en-SG" w:bidi="hi-IN"/>
                <w14:ligatures w14:val="none"/>
              </w:rPr>
            </w:pPr>
          </w:p>
        </w:tc>
      </w:tr>
      <w:tr w:rsidR="00393A48" w:rsidRPr="00393A48" w14:paraId="4D7BB82E"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bottom"/>
            <w:hideMark/>
          </w:tcPr>
          <w:p w14:paraId="5F90B4FA" w14:textId="77777777" w:rsidR="00393A48" w:rsidRPr="00143FCF" w:rsidRDefault="00393A48" w:rsidP="001A6D34">
            <w:pPr>
              <w:pStyle w:val="ListParagraph"/>
              <w:numPr>
                <w:ilvl w:val="0"/>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Age</w:t>
            </w:r>
          </w:p>
        </w:tc>
      </w:tr>
      <w:tr w:rsidR="00393A48" w:rsidRPr="00393A48" w14:paraId="565A9B6D"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bottom"/>
            <w:hideMark/>
          </w:tcPr>
          <w:p w14:paraId="1E55A2FE" w14:textId="77777777" w:rsidR="00393A48" w:rsidRPr="00143FCF" w:rsidRDefault="00393A48" w:rsidP="001A6D34">
            <w:pPr>
              <w:pStyle w:val="ListParagraph"/>
              <w:numPr>
                <w:ilvl w:val="0"/>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Sex</w:t>
            </w:r>
          </w:p>
        </w:tc>
      </w:tr>
      <w:tr w:rsidR="00393A48" w:rsidRPr="00393A48" w14:paraId="212A5604"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bottom"/>
            <w:hideMark/>
          </w:tcPr>
          <w:p w14:paraId="6D09846E" w14:textId="77777777" w:rsidR="00393A48" w:rsidRPr="00143FCF" w:rsidRDefault="00393A48" w:rsidP="001A6D34">
            <w:pPr>
              <w:pStyle w:val="ListParagraph"/>
              <w:numPr>
                <w:ilvl w:val="0"/>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Body mass index (calculated from weight and height in kg/m2)</w:t>
            </w:r>
          </w:p>
        </w:tc>
      </w:tr>
      <w:tr w:rsidR="00393A48" w:rsidRPr="00393A48" w14:paraId="605303C0"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bottom"/>
            <w:hideMark/>
          </w:tcPr>
          <w:p w14:paraId="70329A36" w14:textId="77777777" w:rsidR="00393A48" w:rsidRPr="00143FCF" w:rsidRDefault="00393A48" w:rsidP="001A6D34">
            <w:pPr>
              <w:pStyle w:val="ListParagraph"/>
              <w:numPr>
                <w:ilvl w:val="0"/>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Previous fragility fracture, including morphometric vertebral fracture</w:t>
            </w:r>
          </w:p>
        </w:tc>
      </w:tr>
      <w:tr w:rsidR="00393A48" w:rsidRPr="00393A48" w14:paraId="4EB38B5B"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bottom"/>
            <w:hideMark/>
          </w:tcPr>
          <w:p w14:paraId="6BC3B995" w14:textId="77777777" w:rsidR="00393A48" w:rsidRPr="00143FCF" w:rsidRDefault="00393A48" w:rsidP="001A6D34">
            <w:pPr>
              <w:pStyle w:val="ListParagraph"/>
              <w:numPr>
                <w:ilvl w:val="0"/>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Parental history of hip fracture</w:t>
            </w:r>
          </w:p>
        </w:tc>
      </w:tr>
      <w:tr w:rsidR="00393A48" w:rsidRPr="00393A48" w14:paraId="6E0D0C66"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bottom"/>
            <w:hideMark/>
          </w:tcPr>
          <w:p w14:paraId="58F5F035" w14:textId="033393F8" w:rsidR="00393A48" w:rsidRPr="00143FCF" w:rsidRDefault="00393A48" w:rsidP="001A6D34">
            <w:pPr>
              <w:pStyle w:val="ListParagraph"/>
              <w:numPr>
                <w:ilvl w:val="0"/>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Current glucocorticoid treatment (any dose, by mouth r 3 months or more)</w:t>
            </w:r>
          </w:p>
        </w:tc>
      </w:tr>
      <w:tr w:rsidR="00393A48" w:rsidRPr="00393A48" w14:paraId="23D7F78A"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bottom"/>
            <w:hideMark/>
          </w:tcPr>
          <w:p w14:paraId="05A19B85" w14:textId="77777777" w:rsidR="00393A48" w:rsidRPr="00143FCF" w:rsidRDefault="00393A48" w:rsidP="001A6D34">
            <w:pPr>
              <w:pStyle w:val="ListParagraph"/>
              <w:numPr>
                <w:ilvl w:val="0"/>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Current smoking</w:t>
            </w:r>
          </w:p>
        </w:tc>
      </w:tr>
      <w:tr w:rsidR="00393A48" w:rsidRPr="00393A48" w14:paraId="4A5CB56C"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bottom"/>
            <w:hideMark/>
          </w:tcPr>
          <w:p w14:paraId="2F4021C8" w14:textId="77777777" w:rsidR="00393A48" w:rsidRPr="00143FCF" w:rsidRDefault="00393A48" w:rsidP="001A6D34">
            <w:pPr>
              <w:pStyle w:val="ListParagraph"/>
              <w:numPr>
                <w:ilvl w:val="0"/>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Alcohol intake 3 or more units daily</w:t>
            </w:r>
          </w:p>
        </w:tc>
      </w:tr>
      <w:tr w:rsidR="00393A48" w:rsidRPr="00393A48" w14:paraId="20ED48A4"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bottom"/>
            <w:hideMark/>
          </w:tcPr>
          <w:p w14:paraId="61A8B9D0" w14:textId="77777777" w:rsidR="00393A48" w:rsidRPr="00143FCF" w:rsidRDefault="00393A48" w:rsidP="001A6D34">
            <w:pPr>
              <w:pStyle w:val="ListParagraph"/>
              <w:numPr>
                <w:ilvl w:val="0"/>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Rheumatoid arthritis</w:t>
            </w:r>
          </w:p>
        </w:tc>
      </w:tr>
      <w:tr w:rsidR="00393A48" w:rsidRPr="00393A48" w14:paraId="425109F9"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bottom"/>
            <w:hideMark/>
          </w:tcPr>
          <w:p w14:paraId="4A087A85" w14:textId="77777777" w:rsidR="00393A48" w:rsidRPr="00143FCF" w:rsidRDefault="00393A48" w:rsidP="001A6D34">
            <w:pPr>
              <w:pStyle w:val="ListParagraph"/>
              <w:numPr>
                <w:ilvl w:val="0"/>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Secondary causes of osteoporosis including:</w:t>
            </w:r>
          </w:p>
        </w:tc>
      </w:tr>
      <w:tr w:rsidR="00393A48" w:rsidRPr="00393A48" w14:paraId="084045E7"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44" w:type="dxa"/>
              <w:bottom w:w="60" w:type="dxa"/>
              <w:right w:w="135" w:type="dxa"/>
            </w:tcMar>
            <w:vAlign w:val="bottom"/>
            <w:hideMark/>
          </w:tcPr>
          <w:p w14:paraId="39F85E23" w14:textId="77777777" w:rsidR="00393A48" w:rsidRPr="00143FCF" w:rsidRDefault="00393A48" w:rsidP="00DD2075">
            <w:pPr>
              <w:pStyle w:val="ListParagraph"/>
              <w:numPr>
                <w:ilvl w:val="2"/>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Type 1 diabetes</w:t>
            </w:r>
          </w:p>
        </w:tc>
      </w:tr>
      <w:tr w:rsidR="00393A48" w:rsidRPr="00393A48" w14:paraId="675B09A6"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44" w:type="dxa"/>
              <w:bottom w:w="60" w:type="dxa"/>
              <w:right w:w="135" w:type="dxa"/>
            </w:tcMar>
            <w:vAlign w:val="bottom"/>
            <w:hideMark/>
          </w:tcPr>
          <w:p w14:paraId="24C65296" w14:textId="77777777" w:rsidR="00393A48" w:rsidRPr="00143FCF" w:rsidRDefault="00393A48" w:rsidP="00DD2075">
            <w:pPr>
              <w:pStyle w:val="ListParagraph"/>
              <w:numPr>
                <w:ilvl w:val="2"/>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Long-standing untreated hyperthyroidism</w:t>
            </w:r>
          </w:p>
        </w:tc>
      </w:tr>
      <w:tr w:rsidR="00393A48" w:rsidRPr="00393A48" w14:paraId="2844F4CA"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44" w:type="dxa"/>
              <w:bottom w:w="60" w:type="dxa"/>
              <w:right w:w="135" w:type="dxa"/>
            </w:tcMar>
            <w:vAlign w:val="bottom"/>
            <w:hideMark/>
          </w:tcPr>
          <w:p w14:paraId="2A8E183F" w14:textId="77777777" w:rsidR="00393A48" w:rsidRPr="00143FCF" w:rsidRDefault="00393A48" w:rsidP="00DD2075">
            <w:pPr>
              <w:pStyle w:val="ListParagraph"/>
              <w:numPr>
                <w:ilvl w:val="2"/>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Untreated hypogonadism/premature menopause (</w:t>
            </w:r>
          </w:p>
        </w:tc>
      </w:tr>
      <w:tr w:rsidR="00393A48" w:rsidRPr="00393A48" w14:paraId="72A4133F"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44" w:type="dxa"/>
              <w:bottom w:w="60" w:type="dxa"/>
              <w:right w:w="135" w:type="dxa"/>
            </w:tcMar>
            <w:vAlign w:val="bottom"/>
            <w:hideMark/>
          </w:tcPr>
          <w:p w14:paraId="786FC34B" w14:textId="77777777" w:rsidR="00393A48" w:rsidRPr="00143FCF" w:rsidRDefault="00393A48" w:rsidP="00DD2075">
            <w:pPr>
              <w:pStyle w:val="ListParagraph"/>
              <w:numPr>
                <w:ilvl w:val="2"/>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Chronic malnutrition/malabsorption</w:t>
            </w:r>
          </w:p>
        </w:tc>
      </w:tr>
      <w:tr w:rsidR="00393A48" w:rsidRPr="00393A48" w14:paraId="182AC3DD"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44" w:type="dxa"/>
              <w:bottom w:w="60" w:type="dxa"/>
              <w:right w:w="135" w:type="dxa"/>
            </w:tcMar>
            <w:vAlign w:val="bottom"/>
            <w:hideMark/>
          </w:tcPr>
          <w:p w14:paraId="1B835399" w14:textId="77777777" w:rsidR="00393A48" w:rsidRPr="00143FCF" w:rsidRDefault="00393A48" w:rsidP="00DD2075">
            <w:pPr>
              <w:pStyle w:val="ListParagraph"/>
              <w:numPr>
                <w:ilvl w:val="2"/>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Chronic liver disease</w:t>
            </w:r>
          </w:p>
        </w:tc>
      </w:tr>
      <w:tr w:rsidR="00393A48" w:rsidRPr="00393A48" w14:paraId="53E889C6"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44" w:type="dxa"/>
              <w:bottom w:w="60" w:type="dxa"/>
              <w:right w:w="135" w:type="dxa"/>
            </w:tcMar>
            <w:vAlign w:val="bottom"/>
            <w:hideMark/>
          </w:tcPr>
          <w:p w14:paraId="3BA8C05D" w14:textId="77777777" w:rsidR="00393A48" w:rsidRPr="00143FCF" w:rsidRDefault="00393A48" w:rsidP="00DD2075">
            <w:pPr>
              <w:pStyle w:val="ListParagraph"/>
              <w:numPr>
                <w:ilvl w:val="2"/>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Non-dialysis chronic renal failure (i.e., CKD 3a – 5)</w:t>
            </w:r>
          </w:p>
        </w:tc>
      </w:tr>
      <w:tr w:rsidR="00393A48" w:rsidRPr="00393A48" w14:paraId="0FF08F49" w14:textId="77777777">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bottom"/>
            <w:hideMark/>
          </w:tcPr>
          <w:p w14:paraId="1AFA508A" w14:textId="77777777" w:rsidR="00393A48" w:rsidRPr="00143FCF" w:rsidRDefault="00393A48" w:rsidP="001A6D34">
            <w:pPr>
              <w:pStyle w:val="ListParagraph"/>
              <w:numPr>
                <w:ilvl w:val="0"/>
                <w:numId w:val="21"/>
              </w:numPr>
              <w:spacing w:after="150" w:line="240" w:lineRule="auto"/>
              <w:rPr>
                <w:rFonts w:eastAsia="Times New Roman" w:cstheme="minorHAnsi"/>
                <w:color w:val="000000" w:themeColor="text1"/>
                <w:kern w:val="0"/>
                <w:sz w:val="24"/>
                <w:szCs w:val="24"/>
                <w:lang w:eastAsia="en-SG" w:bidi="hi-IN"/>
                <w14:ligatures w14:val="none"/>
              </w:rPr>
            </w:pPr>
            <w:r w:rsidRPr="00143FCF">
              <w:rPr>
                <w:rFonts w:eastAsia="Times New Roman" w:cstheme="minorHAnsi"/>
                <w:color w:val="000000" w:themeColor="text1"/>
                <w:kern w:val="0"/>
                <w:sz w:val="24"/>
                <w:szCs w:val="24"/>
                <w:lang w:eastAsia="en-SG" w:bidi="hi-IN"/>
                <w14:ligatures w14:val="none"/>
              </w:rPr>
              <w:t>Femoral neck BMD</w:t>
            </w:r>
          </w:p>
        </w:tc>
      </w:tr>
    </w:tbl>
    <w:p w14:paraId="3E371A2D" w14:textId="6D2B5124" w:rsidR="002022F8" w:rsidRPr="002022F8" w:rsidRDefault="002022F8" w:rsidP="00234D2A">
      <w:pPr>
        <w:numPr>
          <w:ilvl w:val="0"/>
          <w:numId w:val="2"/>
        </w:numPr>
        <w:rPr>
          <w:rFonts w:hint="cs"/>
          <w:sz w:val="24"/>
          <w:szCs w:val="24"/>
        </w:rPr>
      </w:pPr>
      <w:r w:rsidRPr="002022F8">
        <w:rPr>
          <w:rFonts w:hint="cs"/>
          <w:b/>
          <w:bCs/>
          <w:sz w:val="24"/>
          <w:szCs w:val="24"/>
        </w:rPr>
        <w:t xml:space="preserve">Measure BMD in people with intermediate fracture risk by </w:t>
      </w:r>
      <w:proofErr w:type="gramStart"/>
      <w:r w:rsidRPr="002022F8">
        <w:rPr>
          <w:rFonts w:hint="cs"/>
          <w:b/>
          <w:bCs/>
          <w:sz w:val="24"/>
          <w:szCs w:val="24"/>
        </w:rPr>
        <w:t>FRAX</w:t>
      </w:r>
      <w:r w:rsidRPr="002022F8">
        <w:rPr>
          <w:rFonts w:hint="cs"/>
          <w:sz w:val="24"/>
          <w:szCs w:val="24"/>
        </w:rPr>
        <w:t>  to</w:t>
      </w:r>
      <w:proofErr w:type="gramEnd"/>
      <w:r w:rsidRPr="002022F8">
        <w:rPr>
          <w:rFonts w:hint="cs"/>
          <w:sz w:val="24"/>
          <w:szCs w:val="24"/>
        </w:rPr>
        <w:t xml:space="preserve"> refine the estimate of 10-year risk.</w:t>
      </w:r>
    </w:p>
    <w:p w14:paraId="62F411FA" w14:textId="604F9F09" w:rsidR="002022F8" w:rsidRPr="002022F8" w:rsidRDefault="002022F8" w:rsidP="002022F8">
      <w:pPr>
        <w:numPr>
          <w:ilvl w:val="0"/>
          <w:numId w:val="2"/>
        </w:numPr>
        <w:rPr>
          <w:rFonts w:hint="cs"/>
          <w:sz w:val="24"/>
          <w:szCs w:val="24"/>
        </w:rPr>
      </w:pPr>
      <w:r w:rsidRPr="002022F8">
        <w:rPr>
          <w:rFonts w:hint="cs"/>
          <w:b/>
          <w:bCs/>
          <w:sz w:val="24"/>
          <w:szCs w:val="24"/>
        </w:rPr>
        <w:t xml:space="preserve">Measure BMD in people with high and very high fracture risk by </w:t>
      </w:r>
      <w:proofErr w:type="gramStart"/>
      <w:r w:rsidRPr="002022F8">
        <w:rPr>
          <w:rFonts w:hint="cs"/>
          <w:b/>
          <w:bCs/>
          <w:sz w:val="24"/>
          <w:szCs w:val="24"/>
        </w:rPr>
        <w:t>FRAX</w:t>
      </w:r>
      <w:r w:rsidRPr="002022F8">
        <w:rPr>
          <w:rFonts w:hint="cs"/>
          <w:sz w:val="24"/>
          <w:szCs w:val="24"/>
        </w:rPr>
        <w:t>  to</w:t>
      </w:r>
      <w:proofErr w:type="gramEnd"/>
      <w:r w:rsidRPr="002022F8">
        <w:rPr>
          <w:rFonts w:hint="cs"/>
          <w:sz w:val="24"/>
          <w:szCs w:val="24"/>
        </w:rPr>
        <w:t xml:space="preserve"> guide drug choice and provide a baseline for BMD monitoring.</w:t>
      </w:r>
    </w:p>
    <w:p w14:paraId="486297A9" w14:textId="77777777" w:rsidR="002022F8" w:rsidRPr="002022F8" w:rsidRDefault="002022F8" w:rsidP="002022F8">
      <w:pPr>
        <w:numPr>
          <w:ilvl w:val="0"/>
          <w:numId w:val="2"/>
        </w:numPr>
        <w:rPr>
          <w:rFonts w:hint="cs"/>
          <w:sz w:val="24"/>
          <w:szCs w:val="24"/>
        </w:rPr>
      </w:pPr>
      <w:r w:rsidRPr="002022F8">
        <w:rPr>
          <w:rFonts w:hint="cs"/>
          <w:b/>
          <w:bCs/>
          <w:sz w:val="24"/>
          <w:szCs w:val="24"/>
        </w:rPr>
        <w:lastRenderedPageBreak/>
        <w:t>Consider </w:t>
      </w:r>
      <w:hyperlink r:id="rId7" w:anchor="vertebral" w:history="1">
        <w:r w:rsidRPr="002022F8">
          <w:rPr>
            <w:rStyle w:val="Hyperlink"/>
            <w:rFonts w:hint="cs"/>
            <w:b/>
            <w:bCs/>
            <w:color w:val="000000" w:themeColor="text1"/>
            <w:sz w:val="24"/>
            <w:szCs w:val="24"/>
            <w:u w:val="none"/>
          </w:rPr>
          <w:t>imaging to look for a vertebral fracture</w:t>
        </w:r>
      </w:hyperlink>
      <w:r w:rsidRPr="002022F8">
        <w:rPr>
          <w:rFonts w:hint="cs"/>
          <w:b/>
          <w:bCs/>
          <w:sz w:val="24"/>
          <w:szCs w:val="24"/>
        </w:rPr>
        <w:t> in people with acute onset back pain who have risk factors for osteoporosis </w:t>
      </w:r>
      <w:r w:rsidRPr="002022F8">
        <w:rPr>
          <w:rFonts w:hint="cs"/>
          <w:sz w:val="24"/>
          <w:szCs w:val="24"/>
        </w:rPr>
        <w:t>, and/or in people with a history of ≥4cm height loss, kyphosis, recent or current long-term oral glucocorticoid therapy, or a BMD T-score ≤-2.5.</w:t>
      </w:r>
    </w:p>
    <w:p w14:paraId="09610132" w14:textId="77777777" w:rsidR="002022F8" w:rsidRPr="00143FCF" w:rsidRDefault="002022F8" w:rsidP="002022F8">
      <w:pPr>
        <w:numPr>
          <w:ilvl w:val="0"/>
          <w:numId w:val="2"/>
        </w:numPr>
        <w:rPr>
          <w:sz w:val="24"/>
          <w:szCs w:val="24"/>
        </w:rPr>
      </w:pPr>
      <w:r w:rsidRPr="002022F8">
        <w:rPr>
          <w:rFonts w:hint="cs"/>
          <w:b/>
          <w:bCs/>
          <w:sz w:val="24"/>
          <w:szCs w:val="24"/>
        </w:rPr>
        <w:t>Assess falls risk in patients with osteoporosis and/or fragility fractures and offer those at risk an</w:t>
      </w:r>
      <w:r w:rsidRPr="002022F8">
        <w:rPr>
          <w:rFonts w:hint="cs"/>
          <w:color w:val="000000" w:themeColor="text1"/>
          <w:sz w:val="24"/>
          <w:szCs w:val="24"/>
        </w:rPr>
        <w:t> </w:t>
      </w:r>
      <w:hyperlink r:id="rId8" w:anchor="falls" w:history="1">
        <w:r w:rsidRPr="002022F8">
          <w:rPr>
            <w:rStyle w:val="Hyperlink"/>
            <w:rFonts w:hint="cs"/>
            <w:color w:val="000000" w:themeColor="text1"/>
            <w:sz w:val="24"/>
            <w:szCs w:val="24"/>
            <w:u w:val="none"/>
          </w:rPr>
          <w:t>exercise programme to improve balance and muscle strength.</w:t>
        </w:r>
      </w:hyperlink>
    </w:p>
    <w:p w14:paraId="3593F47B" w14:textId="77777777" w:rsidR="00393A48" w:rsidRPr="00143FCF" w:rsidRDefault="00393A48" w:rsidP="00393A48">
      <w:pPr>
        <w:rPr>
          <w:rFonts w:cstheme="minorHAnsi"/>
          <w:color w:val="000000" w:themeColor="text1"/>
          <w:sz w:val="24"/>
          <w:szCs w:val="24"/>
        </w:rPr>
      </w:pPr>
      <w:r w:rsidRPr="00143FCF">
        <w:rPr>
          <w:rFonts w:cstheme="minorHAnsi"/>
          <w:color w:val="000000" w:themeColor="text1"/>
          <w:sz w:val="24"/>
          <w:szCs w:val="24"/>
          <w:shd w:val="clear" w:color="auto" w:fill="FFFFFF"/>
        </w:rPr>
        <w:t>Additional clinical risk factors have been identified that provide information on fracture risk independently of both age and BMD:</w:t>
      </w:r>
    </w:p>
    <w:p w14:paraId="0816D8F8" w14:textId="75A28652" w:rsidR="00393A48" w:rsidRPr="00143FCF" w:rsidRDefault="00393A48" w:rsidP="00234D2A">
      <w:pPr>
        <w:pStyle w:val="mb-"/>
        <w:numPr>
          <w:ilvl w:val="0"/>
          <w:numId w:val="5"/>
        </w:numPr>
        <w:shd w:val="clear" w:color="auto" w:fill="FFFFFF"/>
        <w:rPr>
          <w:rFonts w:asciiTheme="minorHAnsi" w:hAnsiTheme="minorHAnsi" w:cstheme="minorHAnsi"/>
          <w:color w:val="000000" w:themeColor="text1"/>
        </w:rPr>
      </w:pPr>
      <w:r w:rsidRPr="00143FCF">
        <w:rPr>
          <w:rFonts w:asciiTheme="minorHAnsi" w:hAnsiTheme="minorHAnsi" w:cstheme="minorHAnsi"/>
          <w:color w:val="000000" w:themeColor="text1"/>
        </w:rPr>
        <w:t xml:space="preserve">Low body mass index (BMI) </w:t>
      </w:r>
    </w:p>
    <w:p w14:paraId="6F8E641A" w14:textId="7707FB5C" w:rsidR="00393A48" w:rsidRPr="00143FCF" w:rsidRDefault="00393A48" w:rsidP="00234D2A">
      <w:pPr>
        <w:pStyle w:val="mb"/>
        <w:numPr>
          <w:ilvl w:val="0"/>
          <w:numId w:val="5"/>
        </w:numPr>
        <w:shd w:val="clear" w:color="auto" w:fill="FFFFFF"/>
        <w:rPr>
          <w:rFonts w:asciiTheme="minorHAnsi" w:hAnsiTheme="minorHAnsi" w:cstheme="minorHAnsi"/>
          <w:color w:val="000000" w:themeColor="text1"/>
        </w:rPr>
      </w:pPr>
      <w:r w:rsidRPr="00143FCF">
        <w:rPr>
          <w:rFonts w:asciiTheme="minorHAnsi" w:hAnsiTheme="minorHAnsi" w:cstheme="minorHAnsi"/>
          <w:color w:val="000000" w:themeColor="text1"/>
        </w:rPr>
        <w:t xml:space="preserve">A history of a prior fracture, </w:t>
      </w:r>
    </w:p>
    <w:p w14:paraId="44A33A9F" w14:textId="10DBD314" w:rsidR="00393A48" w:rsidRPr="00143FCF" w:rsidRDefault="00393A48" w:rsidP="00234D2A">
      <w:pPr>
        <w:numPr>
          <w:ilvl w:val="0"/>
          <w:numId w:val="5"/>
        </w:numPr>
        <w:shd w:val="clear" w:color="auto" w:fill="FFFFFF"/>
        <w:spacing w:before="100" w:beforeAutospacing="1" w:after="100" w:afterAutospacing="1" w:line="240" w:lineRule="auto"/>
        <w:rPr>
          <w:rFonts w:cstheme="minorHAnsi"/>
          <w:color w:val="000000" w:themeColor="text1"/>
          <w:sz w:val="24"/>
          <w:szCs w:val="24"/>
        </w:rPr>
      </w:pPr>
      <w:r w:rsidRPr="00143FCF">
        <w:rPr>
          <w:rFonts w:cstheme="minorHAnsi"/>
          <w:color w:val="000000" w:themeColor="text1"/>
          <w:sz w:val="24"/>
          <w:szCs w:val="24"/>
        </w:rPr>
        <w:t>A parental history of hip fracture is a significant risk factor that is largely independent of BMD </w:t>
      </w:r>
    </w:p>
    <w:p w14:paraId="450CC54C" w14:textId="24F967A0" w:rsidR="00393A48" w:rsidRPr="00143FCF" w:rsidRDefault="00393A48" w:rsidP="00234D2A">
      <w:pPr>
        <w:pStyle w:val="mb"/>
        <w:numPr>
          <w:ilvl w:val="0"/>
          <w:numId w:val="5"/>
        </w:numPr>
        <w:shd w:val="clear" w:color="auto" w:fill="FFFFFF"/>
        <w:rPr>
          <w:rFonts w:asciiTheme="minorHAnsi" w:hAnsiTheme="minorHAnsi" w:cstheme="minorHAnsi"/>
          <w:color w:val="000000" w:themeColor="text1"/>
        </w:rPr>
      </w:pPr>
      <w:r w:rsidRPr="00143FCF">
        <w:rPr>
          <w:rFonts w:asciiTheme="minorHAnsi" w:hAnsiTheme="minorHAnsi" w:cstheme="minorHAnsi"/>
          <w:color w:val="000000" w:themeColor="text1"/>
        </w:rPr>
        <w:t>Smoking is a risk factor that is in part dependent on BMD </w:t>
      </w:r>
    </w:p>
    <w:p w14:paraId="15F9BECB" w14:textId="3358EFDE" w:rsidR="00393A48" w:rsidRPr="00143FCF" w:rsidRDefault="00393A48" w:rsidP="00234D2A">
      <w:pPr>
        <w:pStyle w:val="mb-"/>
        <w:numPr>
          <w:ilvl w:val="0"/>
          <w:numId w:val="5"/>
        </w:numPr>
        <w:shd w:val="clear" w:color="auto" w:fill="FFFFFF"/>
        <w:rPr>
          <w:rFonts w:asciiTheme="minorHAnsi" w:hAnsiTheme="minorHAnsi" w:cstheme="minorHAnsi"/>
          <w:color w:val="000000" w:themeColor="text1"/>
        </w:rPr>
      </w:pPr>
      <w:r w:rsidRPr="00143FCF">
        <w:rPr>
          <w:rFonts w:asciiTheme="minorHAnsi" w:hAnsiTheme="minorHAnsi" w:cstheme="minorHAnsi"/>
          <w:color w:val="000000" w:themeColor="text1"/>
        </w:rPr>
        <w:t xml:space="preserve">Oral glucocorticoid therapy increases fracture risk in a dose-dependent manner. </w:t>
      </w:r>
    </w:p>
    <w:p w14:paraId="29191E7B" w14:textId="1A176290" w:rsidR="00393A48" w:rsidRPr="00143FCF" w:rsidRDefault="00393A48" w:rsidP="00234D2A">
      <w:pPr>
        <w:pStyle w:val="mb"/>
        <w:numPr>
          <w:ilvl w:val="0"/>
          <w:numId w:val="5"/>
        </w:numPr>
        <w:shd w:val="clear" w:color="auto" w:fill="FFFFFF"/>
        <w:rPr>
          <w:rFonts w:asciiTheme="minorHAnsi" w:hAnsiTheme="minorHAnsi" w:cstheme="minorHAnsi"/>
          <w:color w:val="000000" w:themeColor="text1"/>
        </w:rPr>
      </w:pPr>
      <w:r w:rsidRPr="00143FCF">
        <w:rPr>
          <w:rFonts w:asciiTheme="minorHAnsi" w:hAnsiTheme="minorHAnsi" w:cstheme="minorHAnsi"/>
          <w:color w:val="000000" w:themeColor="text1"/>
        </w:rPr>
        <w:t>Alcohol intake.</w:t>
      </w:r>
    </w:p>
    <w:p w14:paraId="43B31905" w14:textId="0203541A" w:rsidR="00393A48" w:rsidRPr="00143FCF" w:rsidRDefault="00393A48" w:rsidP="00234D2A">
      <w:pPr>
        <w:numPr>
          <w:ilvl w:val="0"/>
          <w:numId w:val="5"/>
        </w:numPr>
        <w:shd w:val="clear" w:color="auto" w:fill="FFFFFF"/>
        <w:spacing w:before="100" w:beforeAutospacing="1" w:after="100" w:afterAutospacing="1" w:line="240" w:lineRule="auto"/>
        <w:rPr>
          <w:rFonts w:cstheme="minorHAnsi"/>
          <w:color w:val="000000" w:themeColor="text1"/>
          <w:sz w:val="24"/>
          <w:szCs w:val="24"/>
        </w:rPr>
      </w:pPr>
      <w:r w:rsidRPr="00143FCF">
        <w:rPr>
          <w:rFonts w:cstheme="minorHAnsi"/>
          <w:color w:val="000000" w:themeColor="text1"/>
          <w:sz w:val="24"/>
          <w:szCs w:val="24"/>
        </w:rPr>
        <w:t>There are many secondary causes of osteoporosis (e.g., inflammatory bowel disease, endocrine disorders), but in most instances</w:t>
      </w:r>
      <w:r w:rsidR="001A6D34" w:rsidRPr="00143FCF">
        <w:rPr>
          <w:rFonts w:cstheme="minorHAnsi"/>
          <w:color w:val="000000" w:themeColor="text1"/>
          <w:sz w:val="24"/>
          <w:szCs w:val="24"/>
        </w:rPr>
        <w:t>,</w:t>
      </w:r>
      <w:r w:rsidRPr="00143FCF">
        <w:rPr>
          <w:rFonts w:cstheme="minorHAnsi"/>
          <w:color w:val="000000" w:themeColor="text1"/>
          <w:sz w:val="24"/>
          <w:szCs w:val="24"/>
        </w:rPr>
        <w:t xml:space="preserve"> it is uncertain to what extent an increase in fracture risk is dependent on low BMD or other factors such as the use of glucocorticoids. By contrast, rheumatoid arthritis increases fracture risk independently of BMD and the use of </w:t>
      </w:r>
      <w:r w:rsidR="00234D2A" w:rsidRPr="00143FCF">
        <w:rPr>
          <w:rFonts w:cstheme="minorHAnsi"/>
          <w:color w:val="000000" w:themeColor="text1"/>
          <w:sz w:val="24"/>
          <w:szCs w:val="24"/>
        </w:rPr>
        <w:t>glucocorticoids</w:t>
      </w:r>
    </w:p>
    <w:p w14:paraId="48D3A178" w14:textId="5B5C0E6E" w:rsidR="00393A48" w:rsidRPr="00143FCF" w:rsidRDefault="00393A48" w:rsidP="00234D2A">
      <w:pPr>
        <w:numPr>
          <w:ilvl w:val="0"/>
          <w:numId w:val="5"/>
        </w:numPr>
        <w:shd w:val="clear" w:color="auto" w:fill="FFFFFF"/>
        <w:spacing w:before="100" w:beforeAutospacing="1" w:after="100" w:afterAutospacing="1" w:line="240" w:lineRule="auto"/>
        <w:rPr>
          <w:rFonts w:cstheme="minorHAnsi"/>
          <w:color w:val="000000" w:themeColor="text1"/>
          <w:sz w:val="24"/>
          <w:szCs w:val="24"/>
        </w:rPr>
      </w:pPr>
      <w:r w:rsidRPr="00143FCF">
        <w:rPr>
          <w:rFonts w:cstheme="minorHAnsi"/>
          <w:color w:val="000000" w:themeColor="text1"/>
          <w:sz w:val="24"/>
          <w:szCs w:val="24"/>
        </w:rPr>
        <w:t xml:space="preserve">Diabetes mellitus (both type 1 and type 2) </w:t>
      </w:r>
    </w:p>
    <w:p w14:paraId="54CC9B1A" w14:textId="77777777" w:rsidR="00234D2A" w:rsidRPr="00143FCF" w:rsidRDefault="00234D2A" w:rsidP="00393A48">
      <w:pPr>
        <w:rPr>
          <w:b/>
          <w:bCs/>
          <w:sz w:val="24"/>
          <w:szCs w:val="24"/>
        </w:rPr>
      </w:pPr>
    </w:p>
    <w:p w14:paraId="3872EBF6" w14:textId="77777777" w:rsidR="00234D2A" w:rsidRDefault="00234D2A" w:rsidP="00393A48">
      <w:pPr>
        <w:rPr>
          <w:b/>
          <w:bCs/>
          <w:sz w:val="24"/>
          <w:szCs w:val="24"/>
        </w:rPr>
      </w:pPr>
    </w:p>
    <w:p w14:paraId="5D77B05F" w14:textId="77777777" w:rsidR="00234D2A" w:rsidRDefault="00234D2A" w:rsidP="00393A48">
      <w:pPr>
        <w:rPr>
          <w:b/>
          <w:bCs/>
          <w:sz w:val="24"/>
          <w:szCs w:val="24"/>
        </w:rPr>
      </w:pPr>
    </w:p>
    <w:p w14:paraId="13AE8876" w14:textId="2BD31FCC" w:rsidR="00393A48" w:rsidRPr="00EC3E9E" w:rsidRDefault="00393A48" w:rsidP="00393A48">
      <w:pPr>
        <w:rPr>
          <w:b/>
          <w:bCs/>
          <w:sz w:val="30"/>
          <w:szCs w:val="30"/>
          <w:u w:val="single"/>
        </w:rPr>
      </w:pPr>
      <w:r w:rsidRPr="00393A48">
        <w:rPr>
          <w:rFonts w:hint="cs"/>
          <w:b/>
          <w:bCs/>
          <w:sz w:val="30"/>
          <w:szCs w:val="30"/>
          <w:u w:val="single"/>
        </w:rPr>
        <w:t>Investigation of osteoporosis and fragility fractures</w:t>
      </w:r>
    </w:p>
    <w:p w14:paraId="56CF8DD8" w14:textId="4332ECAD" w:rsidR="00393A48" w:rsidRPr="00393A48" w:rsidRDefault="00393A48" w:rsidP="00393A48">
      <w:pPr>
        <w:rPr>
          <w:rFonts w:hint="cs"/>
          <w:b/>
          <w:bCs/>
          <w:sz w:val="24"/>
          <w:szCs w:val="24"/>
        </w:rPr>
      </w:pPr>
      <w:r w:rsidRPr="00393A48">
        <w:rPr>
          <w:rFonts w:hint="cs"/>
          <w:sz w:val="24"/>
          <w:szCs w:val="24"/>
        </w:rPr>
        <w:t> Proposed clinical investigations to consider for the investigation of osteoporosis/ fragility fractures.</w:t>
      </w:r>
    </w:p>
    <w:tbl>
      <w:tblPr>
        <w:tblW w:w="5331" w:type="dxa"/>
        <w:shd w:val="clear" w:color="auto" w:fill="FFFFFF"/>
        <w:tblCellMar>
          <w:top w:w="15" w:type="dxa"/>
          <w:left w:w="15" w:type="dxa"/>
          <w:bottom w:w="15" w:type="dxa"/>
          <w:right w:w="15" w:type="dxa"/>
        </w:tblCellMar>
        <w:tblLook w:val="04A0" w:firstRow="1" w:lastRow="0" w:firstColumn="1" w:lastColumn="0" w:noHBand="0" w:noVBand="1"/>
      </w:tblPr>
      <w:tblGrid>
        <w:gridCol w:w="5331"/>
      </w:tblGrid>
      <w:tr w:rsidR="00393A48" w:rsidRPr="00393A48" w14:paraId="2B707F05" w14:textId="77777777" w:rsidTr="00393A48">
        <w:trPr>
          <w:tblHeader/>
        </w:trPr>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bottom"/>
            <w:hideMark/>
          </w:tcPr>
          <w:p w14:paraId="5015B380" w14:textId="77777777" w:rsidR="00393A48" w:rsidRPr="00393A48" w:rsidRDefault="00393A48" w:rsidP="00393A48">
            <w:pPr>
              <w:rPr>
                <w:b/>
                <w:bCs/>
                <w:sz w:val="24"/>
                <w:szCs w:val="24"/>
              </w:rPr>
            </w:pPr>
            <w:r w:rsidRPr="00393A48">
              <w:rPr>
                <w:rFonts w:hint="cs"/>
                <w:b/>
                <w:bCs/>
                <w:sz w:val="24"/>
                <w:szCs w:val="24"/>
              </w:rPr>
              <w:t>Routine</w:t>
            </w:r>
          </w:p>
        </w:tc>
      </w:tr>
      <w:tr w:rsidR="00393A48" w:rsidRPr="00393A48" w14:paraId="52E41B44" w14:textId="77777777" w:rsidTr="00393A48">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bottom"/>
            <w:hideMark/>
          </w:tcPr>
          <w:p w14:paraId="0C6231A0" w14:textId="77777777" w:rsidR="001A6D34" w:rsidRDefault="00393A48" w:rsidP="001A6D34">
            <w:pPr>
              <w:pStyle w:val="ListParagraph"/>
              <w:numPr>
                <w:ilvl w:val="0"/>
                <w:numId w:val="19"/>
              </w:numPr>
              <w:rPr>
                <w:sz w:val="24"/>
                <w:szCs w:val="24"/>
              </w:rPr>
            </w:pPr>
            <w:r w:rsidRPr="001A6D34">
              <w:rPr>
                <w:rFonts w:hint="cs"/>
                <w:sz w:val="24"/>
                <w:szCs w:val="24"/>
              </w:rPr>
              <w:t>Clinical history</w:t>
            </w:r>
          </w:p>
          <w:p w14:paraId="2EEAE15C" w14:textId="1B069F8C" w:rsidR="001A6D34" w:rsidRPr="001A6D34" w:rsidRDefault="00393A48" w:rsidP="001A6D34">
            <w:pPr>
              <w:pStyle w:val="ListParagraph"/>
              <w:numPr>
                <w:ilvl w:val="0"/>
                <w:numId w:val="19"/>
              </w:numPr>
              <w:rPr>
                <w:sz w:val="24"/>
                <w:szCs w:val="24"/>
              </w:rPr>
            </w:pPr>
            <w:r w:rsidRPr="001A6D34">
              <w:rPr>
                <w:rFonts w:hint="cs"/>
                <w:sz w:val="24"/>
                <w:szCs w:val="24"/>
              </w:rPr>
              <w:t>Physical examination including</w:t>
            </w:r>
            <w:r w:rsidR="001A6D34">
              <w:rPr>
                <w:sz w:val="24"/>
                <w:szCs w:val="24"/>
              </w:rPr>
              <w:t xml:space="preserve"> </w:t>
            </w:r>
            <w:r w:rsidRPr="001A6D34">
              <w:rPr>
                <w:rFonts w:hint="cs"/>
                <w:sz w:val="24"/>
                <w:szCs w:val="24"/>
              </w:rPr>
              <w:t>measurement of height and assessment of</w:t>
            </w:r>
            <w:r w:rsidR="001A6D34" w:rsidRPr="001A6D34">
              <w:rPr>
                <w:sz w:val="24"/>
                <w:szCs w:val="24"/>
              </w:rPr>
              <w:t xml:space="preserve"> </w:t>
            </w:r>
            <w:r w:rsidRPr="001A6D34">
              <w:rPr>
                <w:rFonts w:hint="cs"/>
                <w:sz w:val="24"/>
                <w:szCs w:val="24"/>
              </w:rPr>
              <w:t>thoracic kyphosis</w:t>
            </w:r>
          </w:p>
          <w:p w14:paraId="1874BEE7" w14:textId="77777777" w:rsidR="001A6D34" w:rsidRDefault="00393A48" w:rsidP="001A6D34">
            <w:pPr>
              <w:pStyle w:val="ListParagraph"/>
              <w:numPr>
                <w:ilvl w:val="0"/>
                <w:numId w:val="19"/>
              </w:numPr>
              <w:rPr>
                <w:sz w:val="24"/>
                <w:szCs w:val="24"/>
              </w:rPr>
            </w:pPr>
            <w:r w:rsidRPr="001A6D34">
              <w:rPr>
                <w:rFonts w:hint="cs"/>
                <w:sz w:val="24"/>
                <w:szCs w:val="24"/>
              </w:rPr>
              <w:t>Full blood cell count</w:t>
            </w:r>
          </w:p>
          <w:p w14:paraId="7CD9BCD2" w14:textId="77777777" w:rsidR="001A6D34" w:rsidRDefault="00393A48" w:rsidP="001A6D34">
            <w:pPr>
              <w:pStyle w:val="ListParagraph"/>
              <w:numPr>
                <w:ilvl w:val="0"/>
                <w:numId w:val="19"/>
              </w:numPr>
              <w:rPr>
                <w:sz w:val="24"/>
                <w:szCs w:val="24"/>
              </w:rPr>
            </w:pPr>
            <w:r w:rsidRPr="001A6D34">
              <w:rPr>
                <w:rFonts w:hint="cs"/>
                <w:sz w:val="24"/>
                <w:szCs w:val="24"/>
              </w:rPr>
              <w:t>Erythrocyte sedimentation rate or C-reactive</w:t>
            </w:r>
            <w:r w:rsidR="001A6D34">
              <w:rPr>
                <w:sz w:val="24"/>
                <w:szCs w:val="24"/>
              </w:rPr>
              <w:t xml:space="preserve"> </w:t>
            </w:r>
            <w:r w:rsidRPr="001A6D34">
              <w:rPr>
                <w:rFonts w:hint="cs"/>
                <w:sz w:val="24"/>
                <w:szCs w:val="24"/>
              </w:rPr>
              <w:t>protein</w:t>
            </w:r>
          </w:p>
          <w:p w14:paraId="36BDE39B" w14:textId="77777777" w:rsidR="001A6D34" w:rsidRDefault="00393A48" w:rsidP="001A6D34">
            <w:pPr>
              <w:pStyle w:val="ListParagraph"/>
              <w:numPr>
                <w:ilvl w:val="0"/>
                <w:numId w:val="19"/>
              </w:numPr>
              <w:rPr>
                <w:sz w:val="24"/>
                <w:szCs w:val="24"/>
              </w:rPr>
            </w:pPr>
            <w:r w:rsidRPr="001A6D34">
              <w:rPr>
                <w:rFonts w:hint="cs"/>
                <w:sz w:val="24"/>
                <w:szCs w:val="24"/>
              </w:rPr>
              <w:t>Renal function</w:t>
            </w:r>
          </w:p>
          <w:p w14:paraId="7CC9605D" w14:textId="61712C76" w:rsidR="001A6D34" w:rsidRDefault="00393A48" w:rsidP="001A6D34">
            <w:pPr>
              <w:pStyle w:val="ListParagraph"/>
              <w:numPr>
                <w:ilvl w:val="0"/>
                <w:numId w:val="19"/>
              </w:numPr>
              <w:rPr>
                <w:sz w:val="24"/>
                <w:szCs w:val="24"/>
              </w:rPr>
            </w:pPr>
            <w:r w:rsidRPr="001A6D34">
              <w:rPr>
                <w:rFonts w:hint="cs"/>
                <w:sz w:val="24"/>
                <w:szCs w:val="24"/>
              </w:rPr>
              <w:lastRenderedPageBreak/>
              <w:t>Serum calcium, albumin, creatinine, phosphate, alkaline phosphatase and liver transaminases</w:t>
            </w:r>
          </w:p>
          <w:p w14:paraId="31FDDD7D" w14:textId="77777777" w:rsidR="001A6D34" w:rsidRDefault="00393A48" w:rsidP="001A6D34">
            <w:pPr>
              <w:pStyle w:val="ListParagraph"/>
              <w:numPr>
                <w:ilvl w:val="0"/>
                <w:numId w:val="19"/>
              </w:numPr>
              <w:rPr>
                <w:sz w:val="24"/>
                <w:szCs w:val="24"/>
              </w:rPr>
            </w:pPr>
            <w:r w:rsidRPr="001A6D34">
              <w:rPr>
                <w:rFonts w:hint="cs"/>
                <w:sz w:val="24"/>
                <w:szCs w:val="24"/>
              </w:rPr>
              <w:t>Serum 25-hydroxyvitamin D</w:t>
            </w:r>
          </w:p>
          <w:p w14:paraId="15C5A249" w14:textId="375E26A8" w:rsidR="00393A48" w:rsidRPr="001A6D34" w:rsidRDefault="00393A48" w:rsidP="001A6D34">
            <w:pPr>
              <w:pStyle w:val="ListParagraph"/>
              <w:numPr>
                <w:ilvl w:val="0"/>
                <w:numId w:val="19"/>
              </w:numPr>
              <w:rPr>
                <w:rFonts w:hint="cs"/>
                <w:sz w:val="24"/>
                <w:szCs w:val="24"/>
              </w:rPr>
            </w:pPr>
            <w:r w:rsidRPr="001A6D34">
              <w:rPr>
                <w:rFonts w:hint="cs"/>
                <w:sz w:val="24"/>
                <w:szCs w:val="24"/>
              </w:rPr>
              <w:t>Thyroid function tests</w:t>
            </w:r>
          </w:p>
        </w:tc>
      </w:tr>
      <w:tr w:rsidR="00393A48" w:rsidRPr="00393A48" w14:paraId="4FD0E58D" w14:textId="77777777" w:rsidTr="00393A48">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bottom"/>
            <w:hideMark/>
          </w:tcPr>
          <w:p w14:paraId="73E914D3" w14:textId="4B4A3B66" w:rsidR="00393A48" w:rsidRPr="00393A48" w:rsidRDefault="00234D2A" w:rsidP="006E79E6">
            <w:pPr>
              <w:rPr>
                <w:rFonts w:hint="cs"/>
                <w:b/>
                <w:bCs/>
                <w:sz w:val="24"/>
                <w:szCs w:val="24"/>
              </w:rPr>
            </w:pPr>
            <w:r w:rsidRPr="001A6D34">
              <w:rPr>
                <w:b/>
                <w:bCs/>
                <w:sz w:val="24"/>
                <w:szCs w:val="24"/>
              </w:rPr>
              <w:lastRenderedPageBreak/>
              <w:t>O</w:t>
            </w:r>
            <w:r w:rsidR="00393A48" w:rsidRPr="00393A48">
              <w:rPr>
                <w:rFonts w:hint="cs"/>
                <w:b/>
                <w:bCs/>
                <w:sz w:val="24"/>
                <w:szCs w:val="24"/>
              </w:rPr>
              <w:t>ther procedures, if indicated</w:t>
            </w:r>
          </w:p>
        </w:tc>
      </w:tr>
      <w:tr w:rsidR="00393A48" w:rsidRPr="00393A48" w14:paraId="42A11DC2" w14:textId="77777777" w:rsidTr="00234D2A">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bottom"/>
          </w:tcPr>
          <w:p w14:paraId="1C0338A7" w14:textId="50379770" w:rsidR="00393A48" w:rsidRPr="00393A48" w:rsidRDefault="00393A48" w:rsidP="006E79E6">
            <w:pPr>
              <w:rPr>
                <w:rFonts w:hint="cs"/>
                <w:sz w:val="24"/>
                <w:szCs w:val="24"/>
              </w:rPr>
            </w:pPr>
          </w:p>
        </w:tc>
      </w:tr>
    </w:tbl>
    <w:p w14:paraId="0D9BF95A" w14:textId="77777777" w:rsidR="001A6D34" w:rsidRDefault="00234D2A" w:rsidP="001A6D34">
      <w:pPr>
        <w:pStyle w:val="ListParagraph"/>
        <w:numPr>
          <w:ilvl w:val="0"/>
          <w:numId w:val="20"/>
        </w:numPr>
        <w:tabs>
          <w:tab w:val="num" w:pos="720"/>
        </w:tabs>
        <w:rPr>
          <w:sz w:val="24"/>
          <w:szCs w:val="24"/>
        </w:rPr>
      </w:pPr>
      <w:r w:rsidRPr="001A6D34">
        <w:rPr>
          <w:rFonts w:hint="cs"/>
          <w:sz w:val="24"/>
          <w:szCs w:val="24"/>
        </w:rPr>
        <w:t>Serum electrophoresis, serum immunoglobulins and serum free light chain assay</w:t>
      </w:r>
    </w:p>
    <w:p w14:paraId="4E1D989E" w14:textId="77777777" w:rsidR="001A6D34" w:rsidRDefault="00234D2A" w:rsidP="001A6D34">
      <w:pPr>
        <w:pStyle w:val="ListParagraph"/>
        <w:numPr>
          <w:ilvl w:val="0"/>
          <w:numId w:val="20"/>
        </w:numPr>
        <w:tabs>
          <w:tab w:val="num" w:pos="720"/>
        </w:tabs>
        <w:rPr>
          <w:sz w:val="24"/>
          <w:szCs w:val="24"/>
        </w:rPr>
      </w:pPr>
      <w:r w:rsidRPr="001A6D34">
        <w:rPr>
          <w:rFonts w:hint="cs"/>
          <w:sz w:val="24"/>
          <w:szCs w:val="24"/>
        </w:rPr>
        <w:t>Plasma parathyroid hormone (PTH)</w:t>
      </w:r>
    </w:p>
    <w:p w14:paraId="725C4F4F" w14:textId="77777777" w:rsidR="001A6D34" w:rsidRDefault="00234D2A" w:rsidP="001A6D34">
      <w:pPr>
        <w:pStyle w:val="ListParagraph"/>
        <w:numPr>
          <w:ilvl w:val="0"/>
          <w:numId w:val="20"/>
        </w:numPr>
        <w:tabs>
          <w:tab w:val="num" w:pos="720"/>
        </w:tabs>
        <w:rPr>
          <w:sz w:val="24"/>
          <w:szCs w:val="24"/>
        </w:rPr>
      </w:pPr>
      <w:r w:rsidRPr="001A6D34">
        <w:rPr>
          <w:rFonts w:hint="cs"/>
          <w:sz w:val="24"/>
          <w:szCs w:val="24"/>
        </w:rPr>
        <w:t>Serum testosterone, sex hormone binding globulin, follicle stimulating hormone, luteinizing hormone</w:t>
      </w:r>
    </w:p>
    <w:p w14:paraId="56DD0F9C" w14:textId="77777777" w:rsidR="001A6D34" w:rsidRDefault="00234D2A" w:rsidP="001A6D34">
      <w:pPr>
        <w:pStyle w:val="ListParagraph"/>
        <w:numPr>
          <w:ilvl w:val="0"/>
          <w:numId w:val="20"/>
        </w:numPr>
        <w:tabs>
          <w:tab w:val="num" w:pos="720"/>
        </w:tabs>
        <w:rPr>
          <w:sz w:val="24"/>
          <w:szCs w:val="24"/>
        </w:rPr>
      </w:pPr>
      <w:r w:rsidRPr="001A6D34">
        <w:rPr>
          <w:rFonts w:hint="cs"/>
          <w:sz w:val="24"/>
          <w:szCs w:val="24"/>
        </w:rPr>
        <w:t>24-hour urinary free cortisol/overnight dexamethasone suppression test</w:t>
      </w:r>
    </w:p>
    <w:p w14:paraId="698BC291" w14:textId="77777777" w:rsidR="001A6D34" w:rsidRDefault="00234D2A" w:rsidP="001A6D34">
      <w:pPr>
        <w:pStyle w:val="ListParagraph"/>
        <w:numPr>
          <w:ilvl w:val="0"/>
          <w:numId w:val="20"/>
        </w:numPr>
        <w:tabs>
          <w:tab w:val="num" w:pos="720"/>
        </w:tabs>
        <w:rPr>
          <w:sz w:val="24"/>
          <w:szCs w:val="24"/>
        </w:rPr>
      </w:pPr>
      <w:r w:rsidRPr="001A6D34">
        <w:rPr>
          <w:rFonts w:hint="cs"/>
          <w:sz w:val="24"/>
          <w:szCs w:val="24"/>
        </w:rPr>
        <w:t>Serum prolactin</w:t>
      </w:r>
    </w:p>
    <w:p w14:paraId="5DBB7459" w14:textId="77777777" w:rsidR="001A6D34" w:rsidRDefault="00234D2A" w:rsidP="001A6D34">
      <w:pPr>
        <w:pStyle w:val="ListParagraph"/>
        <w:numPr>
          <w:ilvl w:val="0"/>
          <w:numId w:val="20"/>
        </w:numPr>
        <w:tabs>
          <w:tab w:val="num" w:pos="720"/>
        </w:tabs>
        <w:rPr>
          <w:sz w:val="24"/>
          <w:szCs w:val="24"/>
        </w:rPr>
      </w:pPr>
      <w:r w:rsidRPr="001A6D34">
        <w:rPr>
          <w:rFonts w:hint="cs"/>
          <w:sz w:val="24"/>
          <w:szCs w:val="24"/>
        </w:rPr>
        <w:t xml:space="preserve">Serum magnesium if </w:t>
      </w:r>
      <w:proofErr w:type="spellStart"/>
      <w:r w:rsidRPr="001A6D34">
        <w:rPr>
          <w:rFonts w:hint="cs"/>
          <w:sz w:val="24"/>
          <w:szCs w:val="24"/>
        </w:rPr>
        <w:t>hypocalcaemic</w:t>
      </w:r>
      <w:proofErr w:type="spellEnd"/>
    </w:p>
    <w:p w14:paraId="71F15F82" w14:textId="77777777" w:rsidR="001A6D34" w:rsidRDefault="00234D2A" w:rsidP="001A6D34">
      <w:pPr>
        <w:pStyle w:val="ListParagraph"/>
        <w:numPr>
          <w:ilvl w:val="0"/>
          <w:numId w:val="20"/>
        </w:numPr>
        <w:tabs>
          <w:tab w:val="num" w:pos="720"/>
        </w:tabs>
        <w:rPr>
          <w:sz w:val="24"/>
          <w:szCs w:val="24"/>
        </w:rPr>
      </w:pPr>
      <w:r w:rsidRPr="001A6D34">
        <w:rPr>
          <w:rFonts w:hint="cs"/>
          <w:sz w:val="24"/>
          <w:szCs w:val="24"/>
        </w:rPr>
        <w:t xml:space="preserve">Tissue transglutaminase antibodies, +/- </w:t>
      </w:r>
      <w:proofErr w:type="spellStart"/>
      <w:r w:rsidRPr="001A6D34">
        <w:rPr>
          <w:rFonts w:hint="cs"/>
          <w:sz w:val="24"/>
          <w:szCs w:val="24"/>
        </w:rPr>
        <w:t>endomysial</w:t>
      </w:r>
      <w:proofErr w:type="spellEnd"/>
      <w:r w:rsidRPr="001A6D34">
        <w:rPr>
          <w:rFonts w:hint="cs"/>
          <w:sz w:val="24"/>
          <w:szCs w:val="24"/>
        </w:rPr>
        <w:t xml:space="preserve"> antibodies (coeliac disease screen)</w:t>
      </w:r>
    </w:p>
    <w:p w14:paraId="48CAE1D4" w14:textId="77777777" w:rsidR="001A6D34" w:rsidRDefault="00234D2A" w:rsidP="001A6D34">
      <w:pPr>
        <w:pStyle w:val="ListParagraph"/>
        <w:numPr>
          <w:ilvl w:val="0"/>
          <w:numId w:val="20"/>
        </w:numPr>
        <w:tabs>
          <w:tab w:val="num" w:pos="720"/>
        </w:tabs>
        <w:rPr>
          <w:sz w:val="24"/>
          <w:szCs w:val="24"/>
        </w:rPr>
      </w:pPr>
      <w:r w:rsidRPr="001A6D34">
        <w:rPr>
          <w:rFonts w:hint="cs"/>
          <w:sz w:val="24"/>
          <w:szCs w:val="24"/>
        </w:rPr>
        <w:t>Urinary calcium excretion</w:t>
      </w:r>
    </w:p>
    <w:p w14:paraId="6CF92F52" w14:textId="77777777" w:rsidR="001A6D34" w:rsidRPr="001A6D34" w:rsidRDefault="00234D2A" w:rsidP="001A6D34">
      <w:pPr>
        <w:pStyle w:val="ListParagraph"/>
        <w:numPr>
          <w:ilvl w:val="0"/>
          <w:numId w:val="20"/>
        </w:numPr>
        <w:tabs>
          <w:tab w:val="num" w:pos="720"/>
        </w:tabs>
        <w:rPr>
          <w:sz w:val="24"/>
          <w:szCs w:val="24"/>
        </w:rPr>
      </w:pPr>
      <w:r w:rsidRPr="001A6D34">
        <w:rPr>
          <w:rFonts w:hint="cs"/>
          <w:sz w:val="24"/>
          <w:szCs w:val="24"/>
        </w:rPr>
        <w:t>Markers of bone turnover (e.g., CTX, P1NP)</w:t>
      </w:r>
    </w:p>
    <w:p w14:paraId="1C176A84" w14:textId="77777777" w:rsidR="001A6D34" w:rsidRDefault="00234D2A" w:rsidP="001A6D34">
      <w:pPr>
        <w:pStyle w:val="ListParagraph"/>
        <w:numPr>
          <w:ilvl w:val="0"/>
          <w:numId w:val="20"/>
        </w:numPr>
        <w:tabs>
          <w:tab w:val="num" w:pos="720"/>
        </w:tabs>
        <w:rPr>
          <w:sz w:val="24"/>
          <w:szCs w:val="24"/>
        </w:rPr>
      </w:pPr>
      <w:r w:rsidRPr="001A6D34">
        <w:rPr>
          <w:rFonts w:hint="cs"/>
          <w:sz w:val="24"/>
          <w:szCs w:val="24"/>
        </w:rPr>
        <w:t>Lateral radiographs of lumbar and thoracic spine or DXA based lateral vertebral imaging</w:t>
      </w:r>
    </w:p>
    <w:p w14:paraId="59A3CCDF" w14:textId="77777777" w:rsidR="001A6D34" w:rsidRDefault="00234D2A" w:rsidP="001A6D34">
      <w:pPr>
        <w:pStyle w:val="ListParagraph"/>
        <w:numPr>
          <w:ilvl w:val="0"/>
          <w:numId w:val="20"/>
        </w:numPr>
        <w:tabs>
          <w:tab w:val="num" w:pos="720"/>
        </w:tabs>
        <w:rPr>
          <w:sz w:val="24"/>
          <w:szCs w:val="24"/>
        </w:rPr>
      </w:pPr>
      <w:r w:rsidRPr="001A6D34">
        <w:rPr>
          <w:rFonts w:hint="cs"/>
          <w:sz w:val="24"/>
          <w:szCs w:val="24"/>
        </w:rPr>
        <w:t>Bone densitometry (DXA) if indicated by FRAX assessment and/or required for BMD monitoring</w:t>
      </w:r>
    </w:p>
    <w:p w14:paraId="4FB403EB" w14:textId="574DAAF1" w:rsidR="00234D2A" w:rsidRPr="001A6D34" w:rsidRDefault="00234D2A" w:rsidP="001A6D34">
      <w:pPr>
        <w:pStyle w:val="ListParagraph"/>
        <w:numPr>
          <w:ilvl w:val="0"/>
          <w:numId w:val="20"/>
        </w:numPr>
        <w:tabs>
          <w:tab w:val="num" w:pos="720"/>
        </w:tabs>
        <w:rPr>
          <w:rFonts w:hint="cs"/>
          <w:sz w:val="24"/>
          <w:szCs w:val="24"/>
        </w:rPr>
      </w:pPr>
      <w:r w:rsidRPr="001A6D34">
        <w:rPr>
          <w:rFonts w:hint="cs"/>
          <w:sz w:val="24"/>
          <w:szCs w:val="24"/>
        </w:rPr>
        <w:t>Isotope bone scan</w:t>
      </w:r>
    </w:p>
    <w:p w14:paraId="3BF9CD1E" w14:textId="633E606E" w:rsidR="00F4629F" w:rsidRDefault="00F4629F" w:rsidP="00F4629F">
      <w:pPr>
        <w:rPr>
          <w:sz w:val="24"/>
          <w:szCs w:val="24"/>
        </w:rPr>
      </w:pPr>
    </w:p>
    <w:p w14:paraId="5C85B690" w14:textId="55F0E16D" w:rsidR="00101279" w:rsidRPr="00101279" w:rsidRDefault="00101279" w:rsidP="00101279">
      <w:pPr>
        <w:rPr>
          <w:rFonts w:hint="cs"/>
          <w:b/>
          <w:bCs/>
          <w:sz w:val="32"/>
          <w:szCs w:val="32"/>
          <w:u w:val="single"/>
        </w:rPr>
      </w:pPr>
      <w:r w:rsidRPr="00101279">
        <w:rPr>
          <w:rFonts w:hint="cs"/>
          <w:b/>
          <w:bCs/>
          <w:sz w:val="32"/>
          <w:szCs w:val="32"/>
          <w:u w:val="single"/>
        </w:rPr>
        <w:t>Non-pharmacological management of osteoporosis</w:t>
      </w:r>
    </w:p>
    <w:p w14:paraId="10B98DA7" w14:textId="77777777" w:rsidR="00101279" w:rsidRPr="00101279" w:rsidRDefault="00101279" w:rsidP="00101279">
      <w:pPr>
        <w:rPr>
          <w:rFonts w:hint="cs"/>
          <w:sz w:val="24"/>
          <w:szCs w:val="24"/>
        </w:rPr>
      </w:pPr>
      <w:r w:rsidRPr="00101279">
        <w:rPr>
          <w:rFonts w:hint="cs"/>
          <w:sz w:val="24"/>
          <w:szCs w:val="24"/>
        </w:rPr>
        <w:t>Postmenopausal women, and men age ≥50 years, with osteoporosis or who are at risk of fragility fracture are recommended:</w:t>
      </w:r>
    </w:p>
    <w:p w14:paraId="397C0341" w14:textId="150504A4" w:rsidR="00101279" w:rsidRPr="00101279" w:rsidRDefault="00101279" w:rsidP="00101279">
      <w:pPr>
        <w:numPr>
          <w:ilvl w:val="0"/>
          <w:numId w:val="6"/>
        </w:numPr>
        <w:rPr>
          <w:rFonts w:hint="cs"/>
          <w:sz w:val="24"/>
          <w:szCs w:val="24"/>
        </w:rPr>
      </w:pPr>
      <w:r w:rsidRPr="00101279">
        <w:rPr>
          <w:rFonts w:hint="cs"/>
          <w:sz w:val="24"/>
          <w:szCs w:val="24"/>
        </w:rPr>
        <w:t>A healthy, nutrient-rich balanced diet</w:t>
      </w:r>
    </w:p>
    <w:p w14:paraId="6595A84E" w14:textId="7C8FCC95" w:rsidR="00101279" w:rsidRPr="00101279" w:rsidRDefault="00101279" w:rsidP="00101279">
      <w:pPr>
        <w:numPr>
          <w:ilvl w:val="0"/>
          <w:numId w:val="6"/>
        </w:numPr>
        <w:rPr>
          <w:rFonts w:hint="cs"/>
          <w:sz w:val="24"/>
          <w:szCs w:val="24"/>
        </w:rPr>
      </w:pPr>
      <w:r w:rsidRPr="00101279">
        <w:rPr>
          <w:rFonts w:hint="cs"/>
          <w:sz w:val="24"/>
          <w:szCs w:val="24"/>
        </w:rPr>
        <w:t>An adequate intake of calcium (minimum 700mg daily) preferably achieved through dietary intake or otherwise by supplementation </w:t>
      </w:r>
    </w:p>
    <w:p w14:paraId="3966B46B" w14:textId="4A88021F" w:rsidR="00101279" w:rsidRPr="00101279" w:rsidRDefault="00101279" w:rsidP="00101279">
      <w:pPr>
        <w:numPr>
          <w:ilvl w:val="0"/>
          <w:numId w:val="6"/>
        </w:numPr>
        <w:rPr>
          <w:rFonts w:hint="cs"/>
          <w:sz w:val="24"/>
          <w:szCs w:val="24"/>
        </w:rPr>
      </w:pPr>
      <w:r w:rsidRPr="00101279">
        <w:rPr>
          <w:rFonts w:hint="cs"/>
          <w:sz w:val="24"/>
          <w:szCs w:val="24"/>
        </w:rPr>
        <w:t>To consume vitamin D from foods or be prescribed vitamin D supplements of at least 800IU/day if they have identified vitamin D insufficiency or risk factors for vitamin D insufficiency. Those who are either housebound or living in residential or nursing care are more likely to require calcium and vitamin D supplementation to achieve recommended levels of intake </w:t>
      </w:r>
    </w:p>
    <w:p w14:paraId="34243EEB" w14:textId="742D9BC3" w:rsidR="00101279" w:rsidRPr="00101279" w:rsidRDefault="00101279" w:rsidP="00101279">
      <w:pPr>
        <w:numPr>
          <w:ilvl w:val="0"/>
          <w:numId w:val="6"/>
        </w:numPr>
        <w:rPr>
          <w:rFonts w:hint="cs"/>
          <w:sz w:val="24"/>
          <w:szCs w:val="24"/>
        </w:rPr>
      </w:pPr>
      <w:r w:rsidRPr="00101279">
        <w:rPr>
          <w:rFonts w:hint="cs"/>
          <w:sz w:val="24"/>
          <w:szCs w:val="24"/>
        </w:rPr>
        <w:lastRenderedPageBreak/>
        <w:t>A combination of regular weight-bearing and muscle strengthening exercise</w:t>
      </w:r>
    </w:p>
    <w:p w14:paraId="6D8E933D" w14:textId="77D20972" w:rsidR="00101279" w:rsidRPr="00101279" w:rsidRDefault="00101279" w:rsidP="00101279">
      <w:pPr>
        <w:numPr>
          <w:ilvl w:val="0"/>
          <w:numId w:val="6"/>
        </w:numPr>
        <w:rPr>
          <w:rFonts w:hint="cs"/>
          <w:sz w:val="24"/>
          <w:szCs w:val="24"/>
        </w:rPr>
      </w:pPr>
      <w:r w:rsidRPr="00101279">
        <w:rPr>
          <w:rFonts w:hint="cs"/>
          <w:sz w:val="24"/>
          <w:szCs w:val="24"/>
        </w:rPr>
        <w:t>Advice about smoking cessation if an individual is a smoker </w:t>
      </w:r>
    </w:p>
    <w:p w14:paraId="2B223825" w14:textId="624D121F" w:rsidR="00101279" w:rsidRDefault="00101279" w:rsidP="00C76854">
      <w:pPr>
        <w:numPr>
          <w:ilvl w:val="0"/>
          <w:numId w:val="6"/>
        </w:numPr>
        <w:rPr>
          <w:sz w:val="24"/>
          <w:szCs w:val="24"/>
        </w:rPr>
      </w:pPr>
      <w:r w:rsidRPr="00101279">
        <w:rPr>
          <w:rFonts w:hint="cs"/>
          <w:sz w:val="24"/>
          <w:szCs w:val="24"/>
        </w:rPr>
        <w:t>Advice to restrict alcohol intake to ≤ 2 units/</w:t>
      </w:r>
      <w:proofErr w:type="gramStart"/>
      <w:r w:rsidRPr="00101279">
        <w:rPr>
          <w:rFonts w:hint="cs"/>
          <w:sz w:val="24"/>
          <w:szCs w:val="24"/>
        </w:rPr>
        <w:t>day .</w:t>
      </w:r>
      <w:proofErr w:type="gramEnd"/>
    </w:p>
    <w:p w14:paraId="18F2ABDC" w14:textId="77777777" w:rsidR="00EC3E9E" w:rsidRPr="00101279" w:rsidRDefault="00EC3E9E" w:rsidP="00EC3E9E">
      <w:pPr>
        <w:rPr>
          <w:rFonts w:hint="cs"/>
          <w:sz w:val="24"/>
          <w:szCs w:val="24"/>
        </w:rPr>
      </w:pPr>
    </w:p>
    <w:p w14:paraId="491E5328" w14:textId="77777777" w:rsidR="00DC34EF" w:rsidRPr="00DC34EF" w:rsidRDefault="00DC34EF" w:rsidP="00DC34EF">
      <w:pPr>
        <w:rPr>
          <w:b/>
          <w:bCs/>
          <w:sz w:val="36"/>
          <w:szCs w:val="36"/>
          <w:u w:val="single"/>
        </w:rPr>
      </w:pPr>
      <w:r w:rsidRPr="00DC34EF">
        <w:rPr>
          <w:rFonts w:hint="cs"/>
          <w:b/>
          <w:bCs/>
          <w:sz w:val="36"/>
          <w:szCs w:val="36"/>
          <w:u w:val="single"/>
        </w:rPr>
        <w:t>Pharmacological treatment options</w:t>
      </w:r>
    </w:p>
    <w:p w14:paraId="2B68FA34" w14:textId="77777777" w:rsidR="00DC34EF" w:rsidRPr="00DC34EF" w:rsidRDefault="00DC34EF" w:rsidP="00DC34EF">
      <w:pPr>
        <w:rPr>
          <w:rFonts w:hint="cs"/>
          <w:b/>
          <w:bCs/>
          <w:sz w:val="24"/>
          <w:szCs w:val="24"/>
        </w:rPr>
      </w:pPr>
      <w:r w:rsidRPr="00DC34EF">
        <w:rPr>
          <w:rFonts w:hint="cs"/>
          <w:b/>
          <w:bCs/>
          <w:sz w:val="24"/>
          <w:szCs w:val="24"/>
        </w:rPr>
        <w:t>Recommendations</w:t>
      </w:r>
    </w:p>
    <w:p w14:paraId="75535A1B" w14:textId="4F673628" w:rsidR="00DC34EF" w:rsidRPr="00DC34EF" w:rsidRDefault="00DC34EF" w:rsidP="00DC34EF">
      <w:pPr>
        <w:rPr>
          <w:rFonts w:hint="cs"/>
          <w:sz w:val="24"/>
          <w:szCs w:val="24"/>
        </w:rPr>
      </w:pPr>
      <w:r w:rsidRPr="00DC34EF">
        <w:rPr>
          <w:rFonts w:hint="cs"/>
          <w:sz w:val="24"/>
          <w:szCs w:val="24"/>
        </w:rPr>
        <w:t>Fracture risk assessment, patient suitability and preference should inform the choice of drug treatment. In most people at risk of fragility fracture, anti-resorptive therapy is the first-line option</w:t>
      </w:r>
    </w:p>
    <w:p w14:paraId="19B4A703" w14:textId="77777777" w:rsidR="00DC34EF" w:rsidRPr="00DC34EF" w:rsidRDefault="00DC34EF" w:rsidP="00DC34EF">
      <w:pPr>
        <w:rPr>
          <w:rFonts w:hint="cs"/>
          <w:b/>
          <w:bCs/>
          <w:i/>
          <w:iCs/>
          <w:sz w:val="24"/>
          <w:szCs w:val="24"/>
        </w:rPr>
      </w:pPr>
      <w:r w:rsidRPr="00DC34EF">
        <w:rPr>
          <w:rFonts w:hint="cs"/>
          <w:b/>
          <w:bCs/>
          <w:i/>
          <w:iCs/>
          <w:sz w:val="24"/>
          <w:szCs w:val="24"/>
        </w:rPr>
        <w:t>Antiresorptive drug treatment</w:t>
      </w:r>
    </w:p>
    <w:p w14:paraId="4277D277" w14:textId="737B2346" w:rsidR="00DC34EF" w:rsidRPr="00DC34EF" w:rsidRDefault="00DC34EF" w:rsidP="00DC34EF">
      <w:pPr>
        <w:numPr>
          <w:ilvl w:val="0"/>
          <w:numId w:val="16"/>
        </w:numPr>
        <w:rPr>
          <w:rFonts w:hint="cs"/>
          <w:sz w:val="24"/>
          <w:szCs w:val="24"/>
        </w:rPr>
      </w:pPr>
      <w:r w:rsidRPr="00DC34EF">
        <w:rPr>
          <w:rFonts w:hint="cs"/>
          <w:sz w:val="24"/>
          <w:szCs w:val="24"/>
        </w:rPr>
        <w:t>Offer oral bisphosphonates (alendronate or risedronate) or intravenous zoledronate as the most cost-effective interventions. Alternative options include denosumab, ibandronate, hormone replacement therapy, raloxifene and strontium ranelate.</w:t>
      </w:r>
    </w:p>
    <w:p w14:paraId="09D1F7CD" w14:textId="67CAB000" w:rsidR="00DC34EF" w:rsidRPr="00DC34EF" w:rsidRDefault="00DC34EF" w:rsidP="00DC34EF">
      <w:pPr>
        <w:numPr>
          <w:ilvl w:val="0"/>
          <w:numId w:val="16"/>
        </w:numPr>
        <w:rPr>
          <w:rFonts w:hint="cs"/>
          <w:sz w:val="24"/>
          <w:szCs w:val="24"/>
        </w:rPr>
      </w:pPr>
      <w:r w:rsidRPr="00DC34EF">
        <w:rPr>
          <w:rFonts w:hint="cs"/>
          <w:sz w:val="24"/>
          <w:szCs w:val="24"/>
        </w:rPr>
        <w:t>Offer intravenous zoledronate as a first-line treatment option following a hip fracture </w:t>
      </w:r>
    </w:p>
    <w:p w14:paraId="6C545DDD" w14:textId="560529B1" w:rsidR="00DC34EF" w:rsidRPr="00DC34EF" w:rsidRDefault="00DC34EF" w:rsidP="00DC34EF">
      <w:pPr>
        <w:numPr>
          <w:ilvl w:val="0"/>
          <w:numId w:val="16"/>
        </w:numPr>
        <w:rPr>
          <w:rFonts w:hint="cs"/>
          <w:sz w:val="24"/>
          <w:szCs w:val="24"/>
        </w:rPr>
      </w:pPr>
      <w:r w:rsidRPr="00DC34EF">
        <w:rPr>
          <w:rFonts w:hint="cs"/>
          <w:sz w:val="24"/>
          <w:szCs w:val="24"/>
        </w:rPr>
        <w:t>Consider offering younger postmenopausal women (age ≤ 60 years) with high fracture risk, and low baseline risk for adverse malignant and thromboembolic events, HRT as a first-line treatment option</w:t>
      </w:r>
    </w:p>
    <w:p w14:paraId="14788191" w14:textId="77777777" w:rsidR="00DC34EF" w:rsidRDefault="00DC34EF" w:rsidP="00DC34EF">
      <w:pPr>
        <w:rPr>
          <w:b/>
          <w:bCs/>
          <w:i/>
          <w:iCs/>
          <w:sz w:val="24"/>
          <w:szCs w:val="24"/>
        </w:rPr>
      </w:pPr>
    </w:p>
    <w:p w14:paraId="5A6CD83A" w14:textId="77777777" w:rsidR="00DC34EF" w:rsidRDefault="00DC34EF" w:rsidP="00DC34EF">
      <w:pPr>
        <w:rPr>
          <w:b/>
          <w:bCs/>
          <w:i/>
          <w:iCs/>
          <w:sz w:val="24"/>
          <w:szCs w:val="24"/>
        </w:rPr>
      </w:pPr>
    </w:p>
    <w:p w14:paraId="2BDEC31B" w14:textId="77777777" w:rsidR="00DC34EF" w:rsidRDefault="00DC34EF" w:rsidP="00DC34EF">
      <w:pPr>
        <w:rPr>
          <w:b/>
          <w:bCs/>
          <w:i/>
          <w:iCs/>
          <w:sz w:val="24"/>
          <w:szCs w:val="24"/>
        </w:rPr>
      </w:pPr>
    </w:p>
    <w:p w14:paraId="548E6848" w14:textId="1CB02095" w:rsidR="00DC34EF" w:rsidRPr="00DC34EF" w:rsidRDefault="00DC34EF" w:rsidP="00DC34EF">
      <w:pPr>
        <w:rPr>
          <w:rFonts w:hint="cs"/>
          <w:b/>
          <w:bCs/>
          <w:i/>
          <w:iCs/>
          <w:sz w:val="24"/>
          <w:szCs w:val="24"/>
        </w:rPr>
      </w:pPr>
      <w:r w:rsidRPr="00DC34EF">
        <w:rPr>
          <w:rFonts w:hint="cs"/>
          <w:b/>
          <w:bCs/>
          <w:i/>
          <w:iCs/>
          <w:sz w:val="24"/>
          <w:szCs w:val="24"/>
        </w:rPr>
        <w:t>Anabolic drug treatment</w:t>
      </w:r>
    </w:p>
    <w:p w14:paraId="163C28A9" w14:textId="207C3B04" w:rsidR="00DC34EF" w:rsidRPr="00DC34EF" w:rsidRDefault="00DC34EF" w:rsidP="00DC34EF">
      <w:pPr>
        <w:numPr>
          <w:ilvl w:val="0"/>
          <w:numId w:val="14"/>
        </w:numPr>
        <w:rPr>
          <w:rFonts w:hint="cs"/>
          <w:sz w:val="24"/>
          <w:szCs w:val="24"/>
        </w:rPr>
      </w:pPr>
      <w:r w:rsidRPr="00DC34EF">
        <w:rPr>
          <w:rFonts w:hint="cs"/>
          <w:sz w:val="24"/>
          <w:szCs w:val="24"/>
        </w:rPr>
        <w:t xml:space="preserve">Consider teriparatide, </w:t>
      </w:r>
      <w:proofErr w:type="spellStart"/>
      <w:r w:rsidRPr="00DC34EF">
        <w:rPr>
          <w:rFonts w:hint="cs"/>
          <w:sz w:val="24"/>
          <w:szCs w:val="24"/>
        </w:rPr>
        <w:t>abaloparatide</w:t>
      </w:r>
      <w:proofErr w:type="spellEnd"/>
      <w:r w:rsidRPr="00DC34EF">
        <w:rPr>
          <w:rFonts w:hint="cs"/>
          <w:sz w:val="24"/>
          <w:szCs w:val="24"/>
        </w:rPr>
        <w:t xml:space="preserve"> or </w:t>
      </w:r>
      <w:proofErr w:type="spellStart"/>
      <w:r w:rsidRPr="00DC34EF">
        <w:rPr>
          <w:rFonts w:hint="cs"/>
          <w:sz w:val="24"/>
          <w:szCs w:val="24"/>
        </w:rPr>
        <w:t>romosozumab</w:t>
      </w:r>
      <w:proofErr w:type="spellEnd"/>
      <w:r w:rsidRPr="00DC34EF">
        <w:rPr>
          <w:rFonts w:hint="cs"/>
          <w:sz w:val="24"/>
          <w:szCs w:val="24"/>
        </w:rPr>
        <w:t xml:space="preserve"> as first-line treatment options in postmenopausal women at very high fracture risk, particularly in those with vertebral fra</w:t>
      </w:r>
      <w:r>
        <w:rPr>
          <w:sz w:val="24"/>
          <w:szCs w:val="24"/>
        </w:rPr>
        <w:t>ctures</w:t>
      </w:r>
      <w:r w:rsidRPr="00DC34EF">
        <w:rPr>
          <w:rFonts w:hint="cs"/>
          <w:sz w:val="24"/>
          <w:szCs w:val="24"/>
        </w:rPr>
        <w:t>.</w:t>
      </w:r>
    </w:p>
    <w:p w14:paraId="56B3AF82" w14:textId="7DDA6F87" w:rsidR="00DC34EF" w:rsidRPr="00DC34EF" w:rsidRDefault="00DC34EF" w:rsidP="00DC34EF">
      <w:pPr>
        <w:numPr>
          <w:ilvl w:val="0"/>
          <w:numId w:val="14"/>
        </w:numPr>
        <w:rPr>
          <w:rFonts w:hint="cs"/>
          <w:sz w:val="24"/>
          <w:szCs w:val="24"/>
        </w:rPr>
      </w:pPr>
      <w:r w:rsidRPr="00DC34EF">
        <w:rPr>
          <w:rFonts w:hint="cs"/>
          <w:sz w:val="24"/>
          <w:szCs w:val="24"/>
        </w:rPr>
        <w:t xml:space="preserve">Consider as second-line treatment options, teriparatide in postmenopausal women, and men age 50 years and older, and </w:t>
      </w:r>
      <w:proofErr w:type="spellStart"/>
      <w:r w:rsidRPr="00DC34EF">
        <w:rPr>
          <w:rFonts w:hint="cs"/>
          <w:sz w:val="24"/>
          <w:szCs w:val="24"/>
        </w:rPr>
        <w:t>abaloparatide</w:t>
      </w:r>
      <w:proofErr w:type="spellEnd"/>
      <w:r w:rsidRPr="00DC34EF">
        <w:rPr>
          <w:rFonts w:hint="cs"/>
          <w:sz w:val="24"/>
          <w:szCs w:val="24"/>
        </w:rPr>
        <w:t xml:space="preserve"> or </w:t>
      </w:r>
      <w:proofErr w:type="spellStart"/>
      <w:r w:rsidRPr="00DC34EF">
        <w:rPr>
          <w:rFonts w:hint="cs"/>
          <w:sz w:val="24"/>
          <w:szCs w:val="24"/>
        </w:rPr>
        <w:t>romosozumab</w:t>
      </w:r>
      <w:proofErr w:type="spellEnd"/>
      <w:r w:rsidRPr="00DC34EF">
        <w:rPr>
          <w:rFonts w:hint="cs"/>
          <w:sz w:val="24"/>
          <w:szCs w:val="24"/>
        </w:rPr>
        <w:t xml:space="preserve"> in postmenopausal women, who are intolerant of bisphosphonate treatment, particularly in those with vertebral fractures.</w:t>
      </w:r>
    </w:p>
    <w:p w14:paraId="4660DF39" w14:textId="4CD0B5C7" w:rsidR="00DC34EF" w:rsidRPr="00DC34EF" w:rsidRDefault="00DC34EF" w:rsidP="00DC34EF">
      <w:pPr>
        <w:numPr>
          <w:ilvl w:val="0"/>
          <w:numId w:val="14"/>
        </w:numPr>
        <w:rPr>
          <w:rFonts w:hint="cs"/>
          <w:sz w:val="24"/>
          <w:szCs w:val="24"/>
        </w:rPr>
      </w:pPr>
      <w:r w:rsidRPr="00DC34EF">
        <w:rPr>
          <w:rFonts w:hint="cs"/>
          <w:sz w:val="24"/>
          <w:szCs w:val="24"/>
        </w:rPr>
        <w:t>Consider raloxifene as an option for follow-on treatment after an anabolic drug in women </w:t>
      </w:r>
    </w:p>
    <w:p w14:paraId="0D60751D" w14:textId="77777777" w:rsidR="00DC34EF" w:rsidRPr="00DC34EF" w:rsidRDefault="00DC34EF" w:rsidP="00DC34EF">
      <w:pPr>
        <w:rPr>
          <w:rFonts w:hint="cs"/>
          <w:b/>
          <w:bCs/>
          <w:i/>
          <w:iCs/>
          <w:sz w:val="24"/>
          <w:szCs w:val="24"/>
        </w:rPr>
      </w:pPr>
      <w:r w:rsidRPr="00DC34EF">
        <w:rPr>
          <w:rFonts w:hint="cs"/>
          <w:b/>
          <w:bCs/>
          <w:i/>
          <w:iCs/>
          <w:sz w:val="24"/>
          <w:szCs w:val="24"/>
        </w:rPr>
        <w:t>Other treatments</w:t>
      </w:r>
    </w:p>
    <w:p w14:paraId="4879801F" w14:textId="759DE57D" w:rsidR="00DC34EF" w:rsidRPr="00DC34EF" w:rsidRDefault="00DC34EF" w:rsidP="00DC34EF">
      <w:pPr>
        <w:numPr>
          <w:ilvl w:val="0"/>
          <w:numId w:val="15"/>
        </w:numPr>
        <w:rPr>
          <w:rFonts w:hint="cs"/>
          <w:sz w:val="24"/>
          <w:szCs w:val="24"/>
        </w:rPr>
      </w:pPr>
      <w:r w:rsidRPr="00DC34EF">
        <w:rPr>
          <w:rFonts w:hint="cs"/>
          <w:sz w:val="24"/>
          <w:szCs w:val="24"/>
        </w:rPr>
        <w:t xml:space="preserve">When other antiresorptive and anabolic treatments are contraindicated or not tolerated, strontium ranelate can be used to treat postmenopausal osteoporosis and </w:t>
      </w:r>
      <w:r w:rsidRPr="00DC34EF">
        <w:rPr>
          <w:rFonts w:hint="cs"/>
          <w:sz w:val="24"/>
          <w:szCs w:val="24"/>
        </w:rPr>
        <w:lastRenderedPageBreak/>
        <w:t>men with severe osteoporosis, provided the risk-benefit in relation to cardiovascular and thromboembolic events is considered. Initiation by a specialist who is an expert in osteoporosis management is advised </w:t>
      </w:r>
    </w:p>
    <w:p w14:paraId="78351401" w14:textId="73712F58" w:rsidR="00DC34EF" w:rsidRPr="00DC34EF" w:rsidRDefault="00DC34EF" w:rsidP="00DC34EF">
      <w:pPr>
        <w:numPr>
          <w:ilvl w:val="0"/>
          <w:numId w:val="15"/>
        </w:numPr>
        <w:rPr>
          <w:rFonts w:hint="cs"/>
          <w:sz w:val="24"/>
          <w:szCs w:val="24"/>
        </w:rPr>
      </w:pPr>
      <w:r w:rsidRPr="00DC34EF">
        <w:rPr>
          <w:rFonts w:hint="cs"/>
          <w:sz w:val="24"/>
          <w:szCs w:val="24"/>
        </w:rPr>
        <w:t>Offer calcium and/or vitamin D supplementation as an adjunct to anti-osteoporosis drug treatment, if dietary calcium is low and/or vitamin D insufficiency is a risk, respectively</w:t>
      </w:r>
    </w:p>
    <w:p w14:paraId="274D5609" w14:textId="77777777" w:rsidR="00DC34EF" w:rsidRPr="00DC34EF" w:rsidRDefault="00DC34EF" w:rsidP="00DC34EF">
      <w:pPr>
        <w:numPr>
          <w:ilvl w:val="0"/>
          <w:numId w:val="15"/>
        </w:numPr>
        <w:rPr>
          <w:rFonts w:hint="cs"/>
          <w:sz w:val="24"/>
          <w:szCs w:val="24"/>
        </w:rPr>
      </w:pPr>
      <w:r w:rsidRPr="00DC34EF">
        <w:rPr>
          <w:rFonts w:hint="cs"/>
          <w:sz w:val="24"/>
          <w:szCs w:val="24"/>
        </w:rPr>
        <w:t>Treat vitamin D deficiency and insufficiency prior to initiation of parenteral anti-osteoporosis drug treatment, and alongside initiation of oral anti-osteoporosis drug treatment</w:t>
      </w:r>
    </w:p>
    <w:p w14:paraId="64DE6E9F" w14:textId="077C85FF" w:rsidR="00DC34EF" w:rsidRPr="00EC3E9E" w:rsidRDefault="00DC34EF" w:rsidP="00F4629F">
      <w:pPr>
        <w:rPr>
          <w:b/>
          <w:bCs/>
          <w:sz w:val="42"/>
          <w:szCs w:val="42"/>
          <w:u w:val="single"/>
        </w:rPr>
      </w:pPr>
      <w:r w:rsidRPr="00EC3E9E">
        <w:rPr>
          <w:b/>
          <w:bCs/>
          <w:sz w:val="36"/>
          <w:szCs w:val="36"/>
          <w:u w:val="single"/>
        </w:rPr>
        <w:t>References</w:t>
      </w:r>
    </w:p>
    <w:p w14:paraId="119801CD" w14:textId="77777777" w:rsidR="005748A5" w:rsidRPr="005748A5" w:rsidRDefault="005748A5" w:rsidP="005748A5">
      <w:pPr>
        <w:numPr>
          <w:ilvl w:val="0"/>
          <w:numId w:val="17"/>
        </w:numPr>
        <w:rPr>
          <w:sz w:val="24"/>
          <w:szCs w:val="24"/>
        </w:rPr>
      </w:pPr>
      <w:r w:rsidRPr="005748A5">
        <w:rPr>
          <w:rFonts w:hint="cs"/>
          <w:sz w:val="24"/>
          <w:szCs w:val="24"/>
        </w:rPr>
        <w:t xml:space="preserve">Compston J, Cooper A, Cooper C, et al. Guidelines for the diagnosis and management of osteoporosis in postmenopausal women and men from the age of 50 years in the UK. </w:t>
      </w:r>
      <w:proofErr w:type="spellStart"/>
      <w:r w:rsidRPr="005748A5">
        <w:rPr>
          <w:rFonts w:hint="cs"/>
          <w:sz w:val="24"/>
          <w:szCs w:val="24"/>
        </w:rPr>
        <w:t>Maturitas</w:t>
      </w:r>
      <w:proofErr w:type="spellEnd"/>
      <w:r w:rsidRPr="005748A5">
        <w:rPr>
          <w:rFonts w:hint="cs"/>
          <w:sz w:val="24"/>
          <w:szCs w:val="24"/>
        </w:rPr>
        <w:t xml:space="preserve"> 2009; 62(2): 105-8.</w:t>
      </w:r>
    </w:p>
    <w:p w14:paraId="0F89DD42" w14:textId="77777777" w:rsidR="005748A5" w:rsidRPr="005748A5" w:rsidRDefault="005748A5" w:rsidP="005748A5">
      <w:pPr>
        <w:numPr>
          <w:ilvl w:val="0"/>
          <w:numId w:val="17"/>
        </w:numPr>
        <w:rPr>
          <w:rFonts w:cstheme="minorHAnsi"/>
          <w:sz w:val="24"/>
          <w:szCs w:val="24"/>
        </w:rPr>
      </w:pPr>
      <w:r w:rsidRPr="005748A5">
        <w:rPr>
          <w:rFonts w:hint="cs"/>
          <w:sz w:val="24"/>
          <w:szCs w:val="24"/>
        </w:rPr>
        <w:t xml:space="preserve">Compston J, </w:t>
      </w:r>
      <w:r w:rsidRPr="005748A5">
        <w:rPr>
          <w:rFonts w:cstheme="minorHAnsi"/>
          <w:sz w:val="24"/>
          <w:szCs w:val="24"/>
        </w:rPr>
        <w:t xml:space="preserve">Bowring C, Cooper A, et al. Diagnosis and management of osteoporosis in postmenopausal women and older men in the UK: National Osteoporosis Guideline Group (NOGG) update 2013. </w:t>
      </w:r>
      <w:proofErr w:type="spellStart"/>
      <w:r w:rsidRPr="005748A5">
        <w:rPr>
          <w:rFonts w:cstheme="minorHAnsi"/>
          <w:sz w:val="24"/>
          <w:szCs w:val="24"/>
        </w:rPr>
        <w:t>Maturitas</w:t>
      </w:r>
      <w:proofErr w:type="spellEnd"/>
      <w:r w:rsidRPr="005748A5">
        <w:rPr>
          <w:rFonts w:cstheme="minorHAnsi"/>
          <w:sz w:val="24"/>
          <w:szCs w:val="24"/>
        </w:rPr>
        <w:t xml:space="preserve"> 2013; 75(4): 392-6.</w:t>
      </w:r>
    </w:p>
    <w:p w14:paraId="36F9E0E7" w14:textId="77777777" w:rsidR="005748A5" w:rsidRPr="00EC3E9E" w:rsidRDefault="005748A5" w:rsidP="005748A5">
      <w:pPr>
        <w:numPr>
          <w:ilvl w:val="0"/>
          <w:numId w:val="17"/>
        </w:numPr>
        <w:rPr>
          <w:rFonts w:cstheme="minorHAnsi"/>
          <w:sz w:val="24"/>
          <w:szCs w:val="24"/>
        </w:rPr>
      </w:pPr>
      <w:r w:rsidRPr="005748A5">
        <w:rPr>
          <w:rFonts w:cstheme="minorHAnsi"/>
          <w:sz w:val="24"/>
          <w:szCs w:val="24"/>
        </w:rPr>
        <w:t xml:space="preserve">Compston J, Cooper A, Cooper C, et al. UK clinical guideline for the prevention and treatment of osteoporosis. Arch </w:t>
      </w:r>
      <w:proofErr w:type="spellStart"/>
      <w:r w:rsidRPr="005748A5">
        <w:rPr>
          <w:rFonts w:cstheme="minorHAnsi"/>
          <w:sz w:val="24"/>
          <w:szCs w:val="24"/>
        </w:rPr>
        <w:t>Osteoporos</w:t>
      </w:r>
      <w:proofErr w:type="spellEnd"/>
      <w:r w:rsidRPr="005748A5">
        <w:rPr>
          <w:rFonts w:cstheme="minorHAnsi"/>
          <w:sz w:val="24"/>
          <w:szCs w:val="24"/>
        </w:rPr>
        <w:t xml:space="preserve"> 2017; 12(1): 43.</w:t>
      </w:r>
    </w:p>
    <w:p w14:paraId="3B50FDA0" w14:textId="72FB6671" w:rsidR="00EC3E9E" w:rsidRPr="00EC3E9E" w:rsidRDefault="00EC3E9E" w:rsidP="00EC3E9E">
      <w:pPr>
        <w:pStyle w:val="ListParagraph"/>
        <w:numPr>
          <w:ilvl w:val="0"/>
          <w:numId w:val="17"/>
        </w:numPr>
        <w:shd w:val="clear" w:color="auto" w:fill="FBFAF8"/>
        <w:spacing w:before="100" w:beforeAutospacing="1" w:after="100" w:afterAutospacing="1" w:line="240" w:lineRule="auto"/>
        <w:outlineLvl w:val="0"/>
        <w:rPr>
          <w:rFonts w:eastAsia="Times New Roman" w:cstheme="minorHAnsi"/>
          <w:b/>
          <w:bCs/>
          <w:color w:val="0E0E0E"/>
          <w:kern w:val="36"/>
          <w:sz w:val="24"/>
          <w:szCs w:val="24"/>
          <w:lang w:eastAsia="en-SG" w:bidi="hi-IN"/>
          <w14:ligatures w14:val="none"/>
        </w:rPr>
      </w:pPr>
      <w:r>
        <w:rPr>
          <w:rFonts w:eastAsia="Times New Roman" w:cstheme="minorHAnsi"/>
          <w:color w:val="0E0E0E"/>
          <w:kern w:val="36"/>
          <w:sz w:val="24"/>
          <w:szCs w:val="24"/>
          <w:lang w:eastAsia="en-SG" w:bidi="hi-IN"/>
          <w14:ligatures w14:val="none"/>
        </w:rPr>
        <w:t xml:space="preserve">NICE guidelines on </w:t>
      </w:r>
      <w:r w:rsidRPr="00EC3E9E">
        <w:rPr>
          <w:rFonts w:eastAsia="Times New Roman" w:cstheme="minorHAnsi"/>
          <w:color w:val="0E0E0E"/>
          <w:kern w:val="36"/>
          <w:sz w:val="24"/>
          <w:szCs w:val="24"/>
          <w:lang w:eastAsia="en-SG" w:bidi="hi-IN"/>
          <w14:ligatures w14:val="none"/>
        </w:rPr>
        <w:t xml:space="preserve">Osteoporosis: assessing the risk of fragility </w:t>
      </w:r>
      <w:proofErr w:type="spellStart"/>
      <w:proofErr w:type="gramStart"/>
      <w:r w:rsidRPr="00EC3E9E">
        <w:rPr>
          <w:rFonts w:eastAsia="Times New Roman" w:cstheme="minorHAnsi"/>
          <w:color w:val="0E0E0E"/>
          <w:kern w:val="36"/>
          <w:sz w:val="24"/>
          <w:szCs w:val="24"/>
          <w:lang w:eastAsia="en-SG" w:bidi="hi-IN"/>
          <w14:ligatures w14:val="none"/>
        </w:rPr>
        <w:t>fracture</w:t>
      </w:r>
      <w:r>
        <w:rPr>
          <w:rFonts w:eastAsia="Times New Roman" w:cstheme="minorHAnsi"/>
          <w:color w:val="0E0E0E"/>
          <w:kern w:val="36"/>
          <w:sz w:val="24"/>
          <w:szCs w:val="24"/>
          <w:lang w:eastAsia="en-SG" w:bidi="hi-IN"/>
          <w14:ligatures w14:val="none"/>
        </w:rPr>
        <w:t>.</w:t>
      </w:r>
      <w:r w:rsidRPr="00EC3E9E">
        <w:rPr>
          <w:rFonts w:eastAsia="Times New Roman" w:cstheme="minorHAnsi"/>
          <w:color w:val="0E0E0E"/>
          <w:kern w:val="0"/>
          <w:sz w:val="24"/>
          <w:szCs w:val="24"/>
          <w:lang w:eastAsia="en-SG" w:bidi="hi-IN"/>
          <w14:ligatures w14:val="none"/>
        </w:rPr>
        <w:t>Clinical</w:t>
      </w:r>
      <w:proofErr w:type="spellEnd"/>
      <w:proofErr w:type="gramEnd"/>
      <w:r w:rsidRPr="00EC3E9E">
        <w:rPr>
          <w:rFonts w:eastAsia="Times New Roman" w:cstheme="minorHAnsi"/>
          <w:color w:val="0E0E0E"/>
          <w:kern w:val="0"/>
          <w:sz w:val="24"/>
          <w:szCs w:val="24"/>
          <w:lang w:eastAsia="en-SG" w:bidi="hi-IN"/>
          <w14:ligatures w14:val="none"/>
        </w:rPr>
        <w:t xml:space="preserve"> </w:t>
      </w:r>
      <w:proofErr w:type="gramStart"/>
      <w:r w:rsidRPr="00EC3E9E">
        <w:rPr>
          <w:rFonts w:eastAsia="Times New Roman" w:cstheme="minorHAnsi"/>
          <w:color w:val="0E0E0E"/>
          <w:kern w:val="0"/>
          <w:sz w:val="24"/>
          <w:szCs w:val="24"/>
          <w:lang w:eastAsia="en-SG" w:bidi="hi-IN"/>
          <w14:ligatures w14:val="none"/>
        </w:rPr>
        <w:t>guideline</w:t>
      </w:r>
      <w:r w:rsidRPr="00EC3E9E">
        <w:rPr>
          <w:rFonts w:eastAsia="Times New Roman" w:cstheme="minorHAnsi"/>
          <w:color w:val="0E0E0E"/>
          <w:kern w:val="0"/>
          <w:sz w:val="24"/>
          <w:szCs w:val="24"/>
          <w:lang w:eastAsia="en-SG" w:bidi="hi-IN"/>
          <w14:ligatures w14:val="none"/>
        </w:rPr>
        <w:t xml:space="preserve"> ,R</w:t>
      </w:r>
      <w:r w:rsidRPr="00EC3E9E">
        <w:rPr>
          <w:rFonts w:eastAsia="Times New Roman" w:cstheme="minorHAnsi"/>
          <w:color w:val="0E0E0E"/>
          <w:kern w:val="0"/>
          <w:sz w:val="24"/>
          <w:szCs w:val="24"/>
          <w:lang w:eastAsia="en-SG" w:bidi="hi-IN"/>
          <w14:ligatures w14:val="none"/>
        </w:rPr>
        <w:t>eference</w:t>
      </w:r>
      <w:proofErr w:type="gramEnd"/>
      <w:r w:rsidRPr="00EC3E9E">
        <w:rPr>
          <w:rFonts w:eastAsia="Times New Roman" w:cstheme="minorHAnsi"/>
          <w:color w:val="0E0E0E"/>
          <w:kern w:val="0"/>
          <w:sz w:val="24"/>
          <w:szCs w:val="24"/>
          <w:lang w:eastAsia="en-SG" w:bidi="hi-IN"/>
          <w14:ligatures w14:val="none"/>
        </w:rPr>
        <w:t xml:space="preserve"> number:</w:t>
      </w:r>
      <w:r w:rsidRPr="00EC3E9E">
        <w:rPr>
          <w:rFonts w:eastAsia="Times New Roman" w:cstheme="minorHAnsi"/>
          <w:color w:val="0E0E0E"/>
          <w:kern w:val="0"/>
          <w:sz w:val="24"/>
          <w:szCs w:val="24"/>
          <w:lang w:eastAsia="en-SG" w:bidi="hi-IN"/>
          <w14:ligatures w14:val="none"/>
        </w:rPr>
        <w:t xml:space="preserve"> </w:t>
      </w:r>
      <w:r w:rsidRPr="00EC3E9E">
        <w:rPr>
          <w:rFonts w:eastAsia="Times New Roman" w:cstheme="minorHAnsi"/>
          <w:color w:val="0E0E0E"/>
          <w:kern w:val="0"/>
          <w:sz w:val="24"/>
          <w:szCs w:val="24"/>
          <w:lang w:eastAsia="en-SG" w:bidi="hi-IN"/>
          <w14:ligatures w14:val="none"/>
        </w:rPr>
        <w:t>CG146</w:t>
      </w:r>
      <w:r w:rsidRPr="00EC3E9E">
        <w:rPr>
          <w:rFonts w:eastAsia="Times New Roman" w:cstheme="minorHAnsi"/>
          <w:color w:val="0E0E0E"/>
          <w:kern w:val="0"/>
          <w:sz w:val="24"/>
          <w:szCs w:val="24"/>
          <w:lang w:eastAsia="en-SG" w:bidi="hi-IN"/>
          <w14:ligatures w14:val="none"/>
        </w:rPr>
        <w:t xml:space="preserve">, </w:t>
      </w:r>
      <w:r w:rsidRPr="00EC3E9E">
        <w:rPr>
          <w:rFonts w:eastAsia="Times New Roman" w:cstheme="minorHAnsi"/>
          <w:color w:val="0E0E0E"/>
          <w:kern w:val="0"/>
          <w:sz w:val="24"/>
          <w:szCs w:val="24"/>
          <w:lang w:eastAsia="en-SG" w:bidi="hi-IN"/>
          <w14:ligatures w14:val="none"/>
        </w:rPr>
        <w:t>Published: 08 August 2012</w:t>
      </w:r>
    </w:p>
    <w:p w14:paraId="2CB1A205" w14:textId="77777777" w:rsidR="00EC3E9E" w:rsidRPr="005748A5" w:rsidRDefault="00EC3E9E" w:rsidP="00EC3E9E">
      <w:pPr>
        <w:ind w:left="360"/>
        <w:rPr>
          <w:rFonts w:cstheme="minorHAnsi"/>
          <w:sz w:val="24"/>
          <w:szCs w:val="24"/>
        </w:rPr>
      </w:pPr>
    </w:p>
    <w:p w14:paraId="16C5A7C0" w14:textId="77777777" w:rsidR="005748A5" w:rsidRPr="00F4629F" w:rsidRDefault="005748A5" w:rsidP="00F4629F">
      <w:pPr>
        <w:rPr>
          <w:sz w:val="24"/>
          <w:szCs w:val="24"/>
        </w:rPr>
      </w:pPr>
    </w:p>
    <w:sectPr w:rsidR="005748A5" w:rsidRPr="00F46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ssistant">
    <w:charset w:val="B1"/>
    <w:family w:val="auto"/>
    <w:pitch w:val="variable"/>
    <w:sig w:usb0="A00008FF" w:usb1="4000204B"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3DC0"/>
    <w:multiLevelType w:val="hybridMultilevel"/>
    <w:tmpl w:val="52563AE6"/>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3737913"/>
    <w:multiLevelType w:val="multilevel"/>
    <w:tmpl w:val="28E2CD5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191E84"/>
    <w:multiLevelType w:val="multilevel"/>
    <w:tmpl w:val="3008F4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15F07"/>
    <w:multiLevelType w:val="hybridMultilevel"/>
    <w:tmpl w:val="B2F04732"/>
    <w:lvl w:ilvl="0" w:tplc="4809000D">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C2152C"/>
    <w:multiLevelType w:val="multilevel"/>
    <w:tmpl w:val="EFA067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3DB73B6"/>
    <w:multiLevelType w:val="multilevel"/>
    <w:tmpl w:val="3008F4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B0787"/>
    <w:multiLevelType w:val="multilevel"/>
    <w:tmpl w:val="F6B8BB3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53D4AF7"/>
    <w:multiLevelType w:val="multilevel"/>
    <w:tmpl w:val="746004F2"/>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6B360EB"/>
    <w:multiLevelType w:val="multilevel"/>
    <w:tmpl w:val="DA08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239EC"/>
    <w:multiLevelType w:val="multilevel"/>
    <w:tmpl w:val="81B6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1635A"/>
    <w:multiLevelType w:val="multilevel"/>
    <w:tmpl w:val="5E30D39A"/>
    <w:lvl w:ilvl="0">
      <w:start w:val="2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E1C6C19"/>
    <w:multiLevelType w:val="hybridMultilevel"/>
    <w:tmpl w:val="950ECF7E"/>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1A51D3F"/>
    <w:multiLevelType w:val="multilevel"/>
    <w:tmpl w:val="721630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9461D"/>
    <w:multiLevelType w:val="multilevel"/>
    <w:tmpl w:val="0492CE2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50E52E87"/>
    <w:multiLevelType w:val="multilevel"/>
    <w:tmpl w:val="79AE94D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B316F1"/>
    <w:multiLevelType w:val="multilevel"/>
    <w:tmpl w:val="3008F4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83D11"/>
    <w:multiLevelType w:val="multilevel"/>
    <w:tmpl w:val="07080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14AB9"/>
    <w:multiLevelType w:val="multilevel"/>
    <w:tmpl w:val="B4CA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436DE"/>
    <w:multiLevelType w:val="multilevel"/>
    <w:tmpl w:val="49B4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234EC1"/>
    <w:multiLevelType w:val="multilevel"/>
    <w:tmpl w:val="FDA658CA"/>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DB116C6"/>
    <w:multiLevelType w:val="multilevel"/>
    <w:tmpl w:val="BDFE6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313050">
    <w:abstractNumId w:val="18"/>
  </w:num>
  <w:num w:numId="2" w16cid:durableId="1365405745">
    <w:abstractNumId w:val="8"/>
  </w:num>
  <w:num w:numId="3" w16cid:durableId="337318135">
    <w:abstractNumId w:val="13"/>
  </w:num>
  <w:num w:numId="4" w16cid:durableId="482426115">
    <w:abstractNumId w:val="10"/>
  </w:num>
  <w:num w:numId="5" w16cid:durableId="903758993">
    <w:abstractNumId w:val="12"/>
  </w:num>
  <w:num w:numId="6" w16cid:durableId="716049331">
    <w:abstractNumId w:val="16"/>
  </w:num>
  <w:num w:numId="7" w16cid:durableId="912737831">
    <w:abstractNumId w:val="4"/>
  </w:num>
  <w:num w:numId="8" w16cid:durableId="2132355938">
    <w:abstractNumId w:val="6"/>
  </w:num>
  <w:num w:numId="9" w16cid:durableId="1172837734">
    <w:abstractNumId w:val="1"/>
  </w:num>
  <w:num w:numId="10" w16cid:durableId="262109754">
    <w:abstractNumId w:val="7"/>
  </w:num>
  <w:num w:numId="11" w16cid:durableId="1499927127">
    <w:abstractNumId w:val="19"/>
  </w:num>
  <w:num w:numId="12" w16cid:durableId="1016464919">
    <w:abstractNumId w:val="17"/>
  </w:num>
  <w:num w:numId="13" w16cid:durableId="104234776">
    <w:abstractNumId w:val="20"/>
  </w:num>
  <w:num w:numId="14" w16cid:durableId="1589339391">
    <w:abstractNumId w:val="5"/>
  </w:num>
  <w:num w:numId="15" w16cid:durableId="413749128">
    <w:abstractNumId w:val="15"/>
  </w:num>
  <w:num w:numId="16" w16cid:durableId="1598248145">
    <w:abstractNumId w:val="2"/>
  </w:num>
  <w:num w:numId="17" w16cid:durableId="1432360535">
    <w:abstractNumId w:val="14"/>
  </w:num>
  <w:num w:numId="18" w16cid:durableId="133331187">
    <w:abstractNumId w:val="9"/>
  </w:num>
  <w:num w:numId="19" w16cid:durableId="1404375430">
    <w:abstractNumId w:val="0"/>
  </w:num>
  <w:num w:numId="20" w16cid:durableId="1657102260">
    <w:abstractNumId w:val="11"/>
  </w:num>
  <w:num w:numId="21" w16cid:durableId="938298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9F"/>
    <w:rsid w:val="000503EC"/>
    <w:rsid w:val="00101279"/>
    <w:rsid w:val="00143FCF"/>
    <w:rsid w:val="001A6D34"/>
    <w:rsid w:val="002022F8"/>
    <w:rsid w:val="00234D2A"/>
    <w:rsid w:val="002D79B5"/>
    <w:rsid w:val="0035391B"/>
    <w:rsid w:val="00393A48"/>
    <w:rsid w:val="00410285"/>
    <w:rsid w:val="00467843"/>
    <w:rsid w:val="005748A5"/>
    <w:rsid w:val="008E1041"/>
    <w:rsid w:val="009B1CD4"/>
    <w:rsid w:val="00C76854"/>
    <w:rsid w:val="00D72886"/>
    <w:rsid w:val="00DC34EF"/>
    <w:rsid w:val="00DD2075"/>
    <w:rsid w:val="00EC3E9E"/>
    <w:rsid w:val="00F4629F"/>
  </w:rsids>
  <m:mathPr>
    <m:mathFont m:val="Cambria Math"/>
    <m:brkBin m:val="before"/>
    <m:brkBinSub m:val="--"/>
    <m:smallFrac m:val="0"/>
    <m:dispDef/>
    <m:lMargin m:val="0"/>
    <m:rMargin m:val="0"/>
    <m:defJc m:val="centerGroup"/>
    <m:wrapIndent m:val="1440"/>
    <m:intLim m:val="subSup"/>
    <m:naryLim m:val="undOvr"/>
  </m:mathPr>
  <w:themeFontLang w:val="en-SG"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E3471"/>
  <w15:chartTrackingRefBased/>
  <w15:docId w15:val="{973E11A2-8520-46F8-92FF-45395EAC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2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62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62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62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62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6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62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62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62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62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6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29F"/>
    <w:rPr>
      <w:rFonts w:eastAsiaTheme="majorEastAsia" w:cstheme="majorBidi"/>
      <w:color w:val="272727" w:themeColor="text1" w:themeTint="D8"/>
    </w:rPr>
  </w:style>
  <w:style w:type="paragraph" w:styleId="Title">
    <w:name w:val="Title"/>
    <w:basedOn w:val="Normal"/>
    <w:next w:val="Normal"/>
    <w:link w:val="TitleChar"/>
    <w:uiPriority w:val="10"/>
    <w:qFormat/>
    <w:rsid w:val="00F46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29F"/>
    <w:pPr>
      <w:spacing w:before="160"/>
      <w:jc w:val="center"/>
    </w:pPr>
    <w:rPr>
      <w:i/>
      <w:iCs/>
      <w:color w:val="404040" w:themeColor="text1" w:themeTint="BF"/>
    </w:rPr>
  </w:style>
  <w:style w:type="character" w:customStyle="1" w:styleId="QuoteChar">
    <w:name w:val="Quote Char"/>
    <w:basedOn w:val="DefaultParagraphFont"/>
    <w:link w:val="Quote"/>
    <w:uiPriority w:val="29"/>
    <w:rsid w:val="00F4629F"/>
    <w:rPr>
      <w:i/>
      <w:iCs/>
      <w:color w:val="404040" w:themeColor="text1" w:themeTint="BF"/>
    </w:rPr>
  </w:style>
  <w:style w:type="paragraph" w:styleId="ListParagraph">
    <w:name w:val="List Paragraph"/>
    <w:basedOn w:val="Normal"/>
    <w:uiPriority w:val="34"/>
    <w:qFormat/>
    <w:rsid w:val="00F4629F"/>
    <w:pPr>
      <w:ind w:left="720"/>
      <w:contextualSpacing/>
    </w:pPr>
  </w:style>
  <w:style w:type="character" w:styleId="IntenseEmphasis">
    <w:name w:val="Intense Emphasis"/>
    <w:basedOn w:val="DefaultParagraphFont"/>
    <w:uiPriority w:val="21"/>
    <w:qFormat/>
    <w:rsid w:val="00F4629F"/>
    <w:rPr>
      <w:i/>
      <w:iCs/>
      <w:color w:val="2F5496" w:themeColor="accent1" w:themeShade="BF"/>
    </w:rPr>
  </w:style>
  <w:style w:type="paragraph" w:styleId="IntenseQuote">
    <w:name w:val="Intense Quote"/>
    <w:basedOn w:val="Normal"/>
    <w:next w:val="Normal"/>
    <w:link w:val="IntenseQuoteChar"/>
    <w:uiPriority w:val="30"/>
    <w:qFormat/>
    <w:rsid w:val="00F462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629F"/>
    <w:rPr>
      <w:i/>
      <w:iCs/>
      <w:color w:val="2F5496" w:themeColor="accent1" w:themeShade="BF"/>
    </w:rPr>
  </w:style>
  <w:style w:type="character" w:styleId="IntenseReference">
    <w:name w:val="Intense Reference"/>
    <w:basedOn w:val="DefaultParagraphFont"/>
    <w:uiPriority w:val="32"/>
    <w:qFormat/>
    <w:rsid w:val="00F4629F"/>
    <w:rPr>
      <w:b/>
      <w:bCs/>
      <w:smallCaps/>
      <w:color w:val="2F5496" w:themeColor="accent1" w:themeShade="BF"/>
      <w:spacing w:val="5"/>
    </w:rPr>
  </w:style>
  <w:style w:type="character" w:styleId="Hyperlink">
    <w:name w:val="Hyperlink"/>
    <w:basedOn w:val="DefaultParagraphFont"/>
    <w:uiPriority w:val="99"/>
    <w:unhideWhenUsed/>
    <w:rsid w:val="00F4629F"/>
    <w:rPr>
      <w:color w:val="0563C1" w:themeColor="hyperlink"/>
      <w:u w:val="single"/>
    </w:rPr>
  </w:style>
  <w:style w:type="character" w:styleId="UnresolvedMention">
    <w:name w:val="Unresolved Mention"/>
    <w:basedOn w:val="DefaultParagraphFont"/>
    <w:uiPriority w:val="99"/>
    <w:semiHidden/>
    <w:unhideWhenUsed/>
    <w:rsid w:val="00F4629F"/>
    <w:rPr>
      <w:color w:val="605E5C"/>
      <w:shd w:val="clear" w:color="auto" w:fill="E1DFDD"/>
    </w:rPr>
  </w:style>
  <w:style w:type="paragraph" w:customStyle="1" w:styleId="mb-">
    <w:name w:val="mb-"/>
    <w:basedOn w:val="Normal"/>
    <w:rsid w:val="00393A48"/>
    <w:pPr>
      <w:spacing w:before="100" w:beforeAutospacing="1" w:after="100" w:afterAutospacing="1" w:line="240" w:lineRule="auto"/>
    </w:pPr>
    <w:rPr>
      <w:rFonts w:ascii="Times New Roman" w:eastAsia="Times New Roman" w:hAnsi="Times New Roman" w:cs="Times New Roman"/>
      <w:kern w:val="0"/>
      <w:sz w:val="24"/>
      <w:szCs w:val="24"/>
      <w:lang w:eastAsia="en-SG" w:bidi="hi-IN"/>
      <w14:ligatures w14:val="none"/>
    </w:rPr>
  </w:style>
  <w:style w:type="paragraph" w:customStyle="1" w:styleId="mb">
    <w:name w:val="mb"/>
    <w:basedOn w:val="Normal"/>
    <w:rsid w:val="00393A48"/>
    <w:pPr>
      <w:spacing w:before="100" w:beforeAutospacing="1" w:after="100" w:afterAutospacing="1" w:line="240" w:lineRule="auto"/>
    </w:pPr>
    <w:rPr>
      <w:rFonts w:ascii="Times New Roman" w:eastAsia="Times New Roman" w:hAnsi="Times New Roman" w:cs="Times New Roman"/>
      <w:kern w:val="0"/>
      <w:sz w:val="24"/>
      <w:szCs w:val="24"/>
      <w:lang w:eastAsia="en-SG" w:bidi="hi-IN"/>
      <w14:ligatures w14:val="none"/>
    </w:rPr>
  </w:style>
  <w:style w:type="character" w:customStyle="1" w:styleId="visually-hidden">
    <w:name w:val="visually-hidden"/>
    <w:basedOn w:val="DefaultParagraphFont"/>
    <w:rsid w:val="00EC3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gg.org.uk/full-guideline/section-5-non-pharmacological-management-osteoporosis" TargetMode="External"/><Relationship Id="rId3" Type="http://schemas.openxmlformats.org/officeDocument/2006/relationships/settings" Target="settings.xml"/><Relationship Id="rId7" Type="http://schemas.openxmlformats.org/officeDocument/2006/relationships/hyperlink" Target="https://www.nogg.org.uk/full-guideline/section-3-fracture-risk-assessment-and-case-fin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gg.org.uk/full-guideline/section-3-fracture-risk-assessment-and-case-finding" TargetMode="External"/><Relationship Id="rId5" Type="http://schemas.openxmlformats.org/officeDocument/2006/relationships/hyperlink" Target="https://fraxplus.org/calculation-too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6</Pages>
  <Words>1344</Words>
  <Characters>7786</Characters>
  <Application>Microsoft Office Word</Application>
  <DocSecurity>0</DocSecurity>
  <Lines>184</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Sami</dc:creator>
  <cp:keywords/>
  <dc:description/>
  <cp:lastModifiedBy>Sajid Sami</cp:lastModifiedBy>
  <cp:revision>7</cp:revision>
  <dcterms:created xsi:type="dcterms:W3CDTF">2025-09-30T17:04:00Z</dcterms:created>
  <dcterms:modified xsi:type="dcterms:W3CDTF">2025-10-01T16:58:00Z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db772379-82f3-4a74-bac7-adea9a708a2f</vt:lpwstr>
  </property>
</Properties>
</file>