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B38B" w14:textId="19319570" w:rsidR="00BB1F90" w:rsidRDefault="00BB1F90" w:rsidP="00BB1F90"/>
    <w:p w14:paraId="3D45C87E" w14:textId="77777777" w:rsidR="00E164E2" w:rsidRDefault="00E164E2" w:rsidP="00E164E2">
      <w:pPr>
        <w:pStyle w:val="Heading2"/>
      </w:pPr>
      <w:r w:rsidRPr="00E164E2">
        <w:rPr>
          <w:rStyle w:val="Strong"/>
          <w:b/>
          <w:bCs/>
          <w:sz w:val="32"/>
          <w:szCs w:val="32"/>
        </w:rPr>
        <w:t>Non-Descent Vaginal Hysterectomy (NDVH) – Protocol Shee</w:t>
      </w:r>
      <w:r>
        <w:rPr>
          <w:rStyle w:val="Strong"/>
          <w:b/>
          <w:bCs/>
        </w:rPr>
        <w:t>t</w:t>
      </w:r>
    </w:p>
    <w:p w14:paraId="3929711A" w14:textId="77777777" w:rsidR="00E164E2" w:rsidRDefault="00E164E2" w:rsidP="00E164E2">
      <w:pPr>
        <w:pStyle w:val="NormalWeb"/>
      </w:pPr>
      <w:r>
        <w:rPr>
          <w:rStyle w:val="Strong"/>
        </w:rPr>
        <w:t>Prepared by:</w:t>
      </w:r>
      <w:r>
        <w:br/>
        <w:t xml:space="preserve">Prof. Dr. </w:t>
      </w:r>
      <w:proofErr w:type="spellStart"/>
      <w:r>
        <w:t>Kh</w:t>
      </w:r>
      <w:proofErr w:type="spellEnd"/>
      <w:r>
        <w:t>. Shahnewaj, FRCOG</w:t>
      </w:r>
      <w:r>
        <w:br/>
      </w:r>
      <w:r>
        <w:rPr>
          <w:rStyle w:val="Strong"/>
        </w:rPr>
        <w:t>Date:</w:t>
      </w:r>
      <w:r>
        <w:t xml:space="preserve"> 4ᵗʰ October 2025</w:t>
      </w:r>
      <w:r>
        <w:br/>
      </w:r>
      <w:r>
        <w:rPr>
          <w:rStyle w:val="Strong"/>
        </w:rPr>
        <w:t>Institution:</w:t>
      </w:r>
      <w:r>
        <w:t xml:space="preserve"> Department of Obstetrics &amp; </w:t>
      </w:r>
      <w:proofErr w:type="spellStart"/>
      <w:r>
        <w:t>Gynaecology</w:t>
      </w:r>
      <w:proofErr w:type="spellEnd"/>
      <w:r>
        <w:t xml:space="preserve">, </w:t>
      </w:r>
      <w:proofErr w:type="spellStart"/>
      <w:r>
        <w:t>Kumudini</w:t>
      </w:r>
      <w:proofErr w:type="spellEnd"/>
      <w:r>
        <w:t xml:space="preserve"> Women’s Medical College, </w:t>
      </w:r>
      <w:proofErr w:type="spellStart"/>
      <w:r>
        <w:t>Mirzapur</w:t>
      </w:r>
      <w:proofErr w:type="spellEnd"/>
      <w:r>
        <w:br/>
      </w:r>
      <w:r>
        <w:rPr>
          <w:rStyle w:val="Strong"/>
        </w:rPr>
        <w:t>Adapted from:</w:t>
      </w:r>
      <w:r>
        <w:t xml:space="preserve"> FOGSI, AAGL, SOGC, ACOG, and RCOG Guidelines</w:t>
      </w:r>
      <w:r>
        <w:br/>
      </w:r>
      <w:r>
        <w:rPr>
          <w:rStyle w:val="Strong"/>
        </w:rPr>
        <w:t>Version:</w:t>
      </w:r>
      <w:r>
        <w:t xml:space="preserve"> 1.0</w:t>
      </w:r>
    </w:p>
    <w:p w14:paraId="1E3EBBD0" w14:textId="77777777" w:rsidR="00BB1F90" w:rsidRPr="00BB1F90" w:rsidRDefault="00BB1F90" w:rsidP="00BB1F90"/>
    <w:p w14:paraId="6DDC4090" w14:textId="77777777" w:rsidR="00DB787F" w:rsidRPr="00F90A3B" w:rsidRDefault="00DB787F" w:rsidP="00DB787F">
      <w:pPr>
        <w:pStyle w:val="Heading3"/>
        <w:rPr>
          <w:b/>
          <w:color w:val="000000" w:themeColor="text1"/>
          <w:sz w:val="28"/>
          <w:szCs w:val="28"/>
        </w:rPr>
      </w:pPr>
      <w:r w:rsidRPr="00F90A3B">
        <w:rPr>
          <w:b/>
          <w:color w:val="000000" w:themeColor="text1"/>
          <w:sz w:val="28"/>
          <w:szCs w:val="28"/>
        </w:rPr>
        <w:t>Purpose &amp; Scope</w:t>
      </w:r>
    </w:p>
    <w:p w14:paraId="35A5C89A" w14:textId="77777777" w:rsidR="00DB787F" w:rsidRDefault="00DB787F" w:rsidP="00DB787F">
      <w:pPr>
        <w:pStyle w:val="NormalWeb"/>
        <w:numPr>
          <w:ilvl w:val="0"/>
          <w:numId w:val="26"/>
        </w:numPr>
      </w:pPr>
      <w:r>
        <w:t>To establish a structured, evidence-based, and standardized protocol for performing NDVH.</w:t>
      </w:r>
    </w:p>
    <w:p w14:paraId="340D9230" w14:textId="77777777" w:rsidR="00DB787F" w:rsidRDefault="00DB787F" w:rsidP="00DB787F">
      <w:pPr>
        <w:pStyle w:val="NormalWeb"/>
        <w:numPr>
          <w:ilvl w:val="0"/>
          <w:numId w:val="26"/>
        </w:numPr>
      </w:pPr>
      <w:r>
        <w:t>To ensure patient safety and improve surgical outcomes by aligning practice with international recommendations (FOGSI, SOGC, AAGL, ACOG, RCOG).</w:t>
      </w:r>
    </w:p>
    <w:p w14:paraId="07AE17E7" w14:textId="69E7EA34" w:rsidR="00DB787F" w:rsidRDefault="00DB787F" w:rsidP="00DB787F">
      <w:pPr>
        <w:pStyle w:val="NormalWeb"/>
        <w:numPr>
          <w:ilvl w:val="0"/>
          <w:numId w:val="26"/>
        </w:numPr>
      </w:pPr>
      <w:r>
        <w:t>To serve as a reference for surgeons, trainees, and operating room personnel involved in hysterectomy procedures.</w:t>
      </w:r>
    </w:p>
    <w:p w14:paraId="1E5600BB" w14:textId="77777777" w:rsidR="00DB787F" w:rsidRPr="00DC23CE" w:rsidRDefault="00DB787F" w:rsidP="00DB787F">
      <w:pPr>
        <w:pStyle w:val="Heading2"/>
        <w:rPr>
          <w:sz w:val="28"/>
          <w:szCs w:val="28"/>
        </w:rPr>
      </w:pPr>
      <w:r w:rsidRPr="00DC23CE">
        <w:rPr>
          <w:sz w:val="28"/>
          <w:szCs w:val="28"/>
        </w:rPr>
        <w:t xml:space="preserve">Indications </w:t>
      </w:r>
      <w:r w:rsidRPr="00DC23CE">
        <w:rPr>
          <w:rStyle w:val="Emphasis"/>
          <w:sz w:val="28"/>
          <w:szCs w:val="28"/>
        </w:rPr>
        <w:t>(FOGSI and International Consensus)</w:t>
      </w:r>
    </w:p>
    <w:p w14:paraId="6466CB2A" w14:textId="77777777" w:rsidR="00DB787F" w:rsidRDefault="00DB787F" w:rsidP="00DB787F">
      <w:pPr>
        <w:pStyle w:val="NormalWeb"/>
        <w:numPr>
          <w:ilvl w:val="0"/>
          <w:numId w:val="27"/>
        </w:numPr>
      </w:pPr>
      <w:r>
        <w:t>Symptomatic uterine fibroids (preferably ≤14–16 weeks in size)</w:t>
      </w:r>
    </w:p>
    <w:p w14:paraId="568D042A" w14:textId="77777777" w:rsidR="00DB787F" w:rsidRDefault="00DB787F" w:rsidP="00DB787F">
      <w:pPr>
        <w:pStyle w:val="NormalWeb"/>
        <w:numPr>
          <w:ilvl w:val="0"/>
          <w:numId w:val="27"/>
        </w:numPr>
      </w:pPr>
      <w:r>
        <w:t>Abnormal uterine bleeding not responding to medical management</w:t>
      </w:r>
    </w:p>
    <w:p w14:paraId="7AE5AD66" w14:textId="77777777" w:rsidR="00DB787F" w:rsidRDefault="00DB787F" w:rsidP="00DB787F">
      <w:pPr>
        <w:pStyle w:val="NormalWeb"/>
        <w:numPr>
          <w:ilvl w:val="0"/>
          <w:numId w:val="27"/>
        </w:numPr>
      </w:pPr>
      <w:r>
        <w:t>Adenomyosis and small benign ovarian cysts (if accessible vaginally)</w:t>
      </w:r>
    </w:p>
    <w:p w14:paraId="583A22B5" w14:textId="77777777" w:rsidR="00DB787F" w:rsidRDefault="00DB787F" w:rsidP="00DB787F">
      <w:pPr>
        <w:pStyle w:val="NormalWeb"/>
        <w:numPr>
          <w:ilvl w:val="0"/>
          <w:numId w:val="27"/>
        </w:numPr>
      </w:pPr>
      <w:r>
        <w:t>Benign endometrial conditions following adequate evaluation</w:t>
      </w:r>
    </w:p>
    <w:p w14:paraId="02F7225A" w14:textId="77777777" w:rsidR="00FC5A48" w:rsidRPr="00FC5A48" w:rsidRDefault="00FC5A48" w:rsidP="00FC5A48">
      <w:pPr>
        <w:pStyle w:val="ListParagraph"/>
        <w:numPr>
          <w:ilvl w:val="0"/>
          <w:numId w:val="27"/>
        </w:numPr>
      </w:pPr>
      <w:r w:rsidRPr="00FC5A48">
        <w:t xml:space="preserve">NDVH should be prioritized as the </w:t>
      </w:r>
      <w:r w:rsidRPr="00FC5A48">
        <w:rPr>
          <w:b/>
          <w:bCs/>
        </w:rPr>
        <w:t>preferred route</w:t>
      </w:r>
      <w:r w:rsidRPr="00FC5A48">
        <w:t xml:space="preserve"> for benign uterine disease whenever feasible.</w:t>
      </w:r>
    </w:p>
    <w:p w14:paraId="75AB87E8" w14:textId="77777777" w:rsidR="00DB787F" w:rsidRDefault="00580F98" w:rsidP="00DB787F">
      <w:r>
        <w:rPr>
          <w:noProof/>
        </w:rPr>
        <w:pict w14:anchorId="18C6D13E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0CAA3C43" w14:textId="2913B030" w:rsidR="00DB787F" w:rsidRPr="00E2117E" w:rsidRDefault="00DB787F" w:rsidP="00E2117E">
      <w:pPr>
        <w:rPr>
          <w:b/>
          <w:sz w:val="28"/>
          <w:szCs w:val="28"/>
        </w:rPr>
      </w:pPr>
      <w:r w:rsidRPr="00E2117E">
        <w:rPr>
          <w:b/>
          <w:sz w:val="28"/>
          <w:szCs w:val="28"/>
        </w:rPr>
        <w:t>Exclusion Criteria</w:t>
      </w:r>
    </w:p>
    <w:p w14:paraId="79D6998C" w14:textId="77777777" w:rsidR="00DB787F" w:rsidRDefault="00DB787F" w:rsidP="00DB787F">
      <w:pPr>
        <w:pStyle w:val="NormalWeb"/>
        <w:numPr>
          <w:ilvl w:val="0"/>
          <w:numId w:val="30"/>
        </w:numPr>
      </w:pPr>
      <w:r>
        <w:t>Clinical or radiological suspicion of malignancy (requires oncologic laparotomy)</w:t>
      </w:r>
    </w:p>
    <w:p w14:paraId="38CD8D71" w14:textId="77777777" w:rsidR="00DB787F" w:rsidRDefault="00DB787F" w:rsidP="00DB787F">
      <w:pPr>
        <w:pStyle w:val="NormalWeb"/>
        <w:numPr>
          <w:ilvl w:val="0"/>
          <w:numId w:val="30"/>
        </w:numPr>
      </w:pPr>
      <w:r>
        <w:t>Extensive endometriosis or severe pelvic adhesions restricting uterine mobility</w:t>
      </w:r>
    </w:p>
    <w:p w14:paraId="40B7EC03" w14:textId="77777777" w:rsidR="00DB787F" w:rsidRDefault="00DB787F" w:rsidP="00DB787F">
      <w:pPr>
        <w:pStyle w:val="NormalWeb"/>
        <w:numPr>
          <w:ilvl w:val="0"/>
          <w:numId w:val="30"/>
        </w:numPr>
      </w:pPr>
      <w:r>
        <w:t>Very large uterus (&gt;16–18 weeks; considered a relative contraindication)</w:t>
      </w:r>
    </w:p>
    <w:p w14:paraId="6AE5FF43" w14:textId="77777777" w:rsidR="00DB787F" w:rsidRDefault="00DB787F" w:rsidP="00DB787F">
      <w:pPr>
        <w:pStyle w:val="NormalWeb"/>
        <w:numPr>
          <w:ilvl w:val="0"/>
          <w:numId w:val="30"/>
        </w:numPr>
      </w:pPr>
      <w:r>
        <w:t>Adnexal pathology necessitating laparotomy</w:t>
      </w:r>
    </w:p>
    <w:p w14:paraId="4986E572" w14:textId="77777777" w:rsidR="00FC5A48" w:rsidRDefault="00FC5A48" w:rsidP="00FC5A48">
      <w:pPr>
        <w:pStyle w:val="ListParagraph"/>
        <w:numPr>
          <w:ilvl w:val="0"/>
          <w:numId w:val="30"/>
        </w:numPr>
      </w:pPr>
      <w:r w:rsidRPr="00FC5A48">
        <w:rPr>
          <w:b/>
          <w:bCs/>
        </w:rPr>
        <w:t>As per FOGSI Guidelines:</w:t>
      </w:r>
      <w:r w:rsidRPr="00FC5A48">
        <w:t xml:space="preserve"> The surgical route should be individualized; however, unnecessary abdominal hysterectomy must be avoided.</w:t>
      </w:r>
    </w:p>
    <w:p w14:paraId="13851C83" w14:textId="77777777" w:rsidR="00FC5A48" w:rsidRPr="00FC5A48" w:rsidRDefault="00FC5A48" w:rsidP="00FC5A48">
      <w:pPr>
        <w:pStyle w:val="ListParagraph"/>
        <w:rPr>
          <w:rStyle w:val="Strong"/>
          <w:b w:val="0"/>
          <w:bCs w:val="0"/>
        </w:rPr>
      </w:pPr>
    </w:p>
    <w:p w14:paraId="45F298A8" w14:textId="571D20EE" w:rsidR="00891AB1" w:rsidRPr="00DC23CE" w:rsidRDefault="00891AB1" w:rsidP="00FC5A48">
      <w:pPr>
        <w:rPr>
          <w:sz w:val="28"/>
          <w:szCs w:val="28"/>
        </w:rPr>
      </w:pPr>
      <w:r w:rsidRPr="00DC23CE">
        <w:rPr>
          <w:rStyle w:val="Strong"/>
          <w:bCs w:val="0"/>
          <w:color w:val="000000" w:themeColor="text1"/>
          <w:sz w:val="28"/>
          <w:szCs w:val="28"/>
        </w:rPr>
        <w:t>Preoperative Workup</w:t>
      </w:r>
    </w:p>
    <w:p w14:paraId="06D74492" w14:textId="77777777" w:rsidR="00891AB1" w:rsidRDefault="00891AB1" w:rsidP="00891AB1">
      <w:pPr>
        <w:pStyle w:val="NormalWeb"/>
        <w:numPr>
          <w:ilvl w:val="0"/>
          <w:numId w:val="31"/>
        </w:numPr>
      </w:pPr>
      <w:r>
        <w:rPr>
          <w:rStyle w:val="Strong"/>
        </w:rPr>
        <w:t>Clinical evaluation:</w:t>
      </w:r>
      <w:r>
        <w:t xml:space="preserve"> Assess uterine size, mobility, descent, and adnexal status.</w:t>
      </w:r>
    </w:p>
    <w:p w14:paraId="0B6E38DC" w14:textId="77777777" w:rsidR="00891AB1" w:rsidRDefault="00891AB1" w:rsidP="00891AB1">
      <w:pPr>
        <w:pStyle w:val="NormalWeb"/>
        <w:numPr>
          <w:ilvl w:val="0"/>
          <w:numId w:val="31"/>
        </w:numPr>
      </w:pPr>
      <w:r>
        <w:rPr>
          <w:rStyle w:val="Strong"/>
        </w:rPr>
        <w:t>Imaging:</w:t>
      </w:r>
      <w:r>
        <w:t xml:space="preserve"> Transvaginal sonography (TVS); add CT/MRI if pelvic distortion or adnexal pathology is suspected.</w:t>
      </w:r>
    </w:p>
    <w:p w14:paraId="1E87FCA8" w14:textId="77777777" w:rsidR="00891AB1" w:rsidRDefault="00891AB1" w:rsidP="00891AB1">
      <w:pPr>
        <w:pStyle w:val="NormalWeb"/>
        <w:numPr>
          <w:ilvl w:val="0"/>
          <w:numId w:val="31"/>
        </w:numPr>
      </w:pPr>
      <w:r>
        <w:rPr>
          <w:rStyle w:val="Strong"/>
        </w:rPr>
        <w:t>Endometrial assessment:</w:t>
      </w:r>
      <w:r>
        <w:t xml:space="preserve"> Sampling recommended for abnormal uterine bleeding in women ≥40 years or with risk factors for malignancy.</w:t>
      </w:r>
    </w:p>
    <w:p w14:paraId="44CCEA6E" w14:textId="77777777" w:rsidR="00C547D4" w:rsidRDefault="00FC5A48" w:rsidP="00FC5A48">
      <w:pPr>
        <w:pStyle w:val="ListParagraph"/>
        <w:numPr>
          <w:ilvl w:val="0"/>
          <w:numId w:val="31"/>
        </w:numPr>
      </w:pPr>
      <w:r w:rsidRPr="00FC5A48">
        <w:rPr>
          <w:b/>
          <w:bCs/>
        </w:rPr>
        <w:t>Routine investigations:</w:t>
      </w:r>
      <w:r w:rsidRPr="00FC5A48">
        <w:t xml:space="preserve"> Baseline hematology and biochemistry, </w:t>
      </w:r>
      <w:proofErr w:type="spellStart"/>
      <w:r w:rsidRPr="00FC5A48">
        <w:t>anaesthetic</w:t>
      </w:r>
      <w:proofErr w:type="spellEnd"/>
      <w:r w:rsidRPr="00FC5A48">
        <w:t xml:space="preserve"> fitness assessment, and blood cross-matching when indicated.</w:t>
      </w:r>
    </w:p>
    <w:p w14:paraId="03DDA0DB" w14:textId="77777777" w:rsidR="00025BF7" w:rsidRDefault="00025BF7" w:rsidP="00025BF7">
      <w:pPr>
        <w:rPr>
          <w:rStyle w:val="Strong"/>
          <w:bCs w:val="0"/>
          <w:color w:val="000000" w:themeColor="text1"/>
          <w:sz w:val="28"/>
          <w:szCs w:val="28"/>
        </w:rPr>
      </w:pPr>
    </w:p>
    <w:p w14:paraId="21F167EA" w14:textId="30A26D78" w:rsidR="00891AB1" w:rsidRPr="00025BF7" w:rsidRDefault="00891AB1" w:rsidP="00025BF7">
      <w:pPr>
        <w:rPr>
          <w:color w:val="000000" w:themeColor="text1"/>
          <w:sz w:val="28"/>
          <w:szCs w:val="28"/>
        </w:rPr>
      </w:pPr>
      <w:r w:rsidRPr="00025BF7">
        <w:rPr>
          <w:rStyle w:val="Strong"/>
          <w:bCs w:val="0"/>
          <w:color w:val="000000" w:themeColor="text1"/>
          <w:sz w:val="28"/>
          <w:szCs w:val="28"/>
        </w:rPr>
        <w:t>Informed Consent</w:t>
      </w:r>
    </w:p>
    <w:p w14:paraId="67B49C17" w14:textId="77777777" w:rsidR="00025BF7" w:rsidRDefault="00891AB1" w:rsidP="00025BF7">
      <w:pPr>
        <w:pStyle w:val="NormalWeb"/>
        <w:rPr>
          <w:b/>
        </w:rPr>
      </w:pPr>
      <w:r w:rsidRPr="00025BF7">
        <w:rPr>
          <w:b/>
        </w:rPr>
        <w:t>Counselling should include:</w:t>
      </w:r>
    </w:p>
    <w:p w14:paraId="4D1D8316" w14:textId="0D328F6A" w:rsidR="00891AB1" w:rsidRPr="00025BF7" w:rsidRDefault="00891AB1" w:rsidP="00717104">
      <w:pPr>
        <w:pStyle w:val="NormalWeb"/>
        <w:numPr>
          <w:ilvl w:val="0"/>
          <w:numId w:val="40"/>
        </w:numPr>
        <w:rPr>
          <w:b/>
        </w:rPr>
      </w:pPr>
      <w:r>
        <w:t xml:space="preserve">Comparative risks and benefits of </w:t>
      </w:r>
      <w:r>
        <w:rPr>
          <w:rStyle w:val="Strong"/>
        </w:rPr>
        <w:t>vaginal</w:t>
      </w:r>
      <w:r>
        <w:t xml:space="preserve">, </w:t>
      </w:r>
      <w:r>
        <w:rPr>
          <w:rStyle w:val="Strong"/>
        </w:rPr>
        <w:t>abdominal</w:t>
      </w:r>
      <w:r>
        <w:t xml:space="preserve">, and </w:t>
      </w:r>
      <w:r>
        <w:rPr>
          <w:rStyle w:val="Strong"/>
        </w:rPr>
        <w:t>laparoscopic</w:t>
      </w:r>
      <w:r>
        <w:t xml:space="preserve"> approaches.</w:t>
      </w:r>
    </w:p>
    <w:p w14:paraId="003AC41A" w14:textId="77777777" w:rsidR="00891AB1" w:rsidRDefault="00891AB1" w:rsidP="00717104">
      <w:pPr>
        <w:pStyle w:val="NormalWeb"/>
        <w:numPr>
          <w:ilvl w:val="0"/>
          <w:numId w:val="40"/>
        </w:numPr>
      </w:pPr>
      <w:r>
        <w:t xml:space="preserve">Possibility of </w:t>
      </w:r>
      <w:r>
        <w:rPr>
          <w:rStyle w:val="Strong"/>
        </w:rPr>
        <w:t>intraoperative conversion</w:t>
      </w:r>
      <w:r>
        <w:t xml:space="preserve"> if adequate access or safety cannot be ensured.</w:t>
      </w:r>
    </w:p>
    <w:p w14:paraId="6981DC81" w14:textId="77777777" w:rsidR="00891AB1" w:rsidRDefault="00891AB1" w:rsidP="00717104">
      <w:pPr>
        <w:pStyle w:val="NormalWeb"/>
        <w:numPr>
          <w:ilvl w:val="0"/>
          <w:numId w:val="40"/>
        </w:numPr>
      </w:pPr>
      <w:r>
        <w:t xml:space="preserve">Potential complications: </w:t>
      </w:r>
      <w:r>
        <w:rPr>
          <w:rStyle w:val="Strong"/>
        </w:rPr>
        <w:t>hemorrhage</w:t>
      </w:r>
      <w:r>
        <w:t xml:space="preserve">, </w:t>
      </w:r>
      <w:r>
        <w:rPr>
          <w:rStyle w:val="Strong"/>
        </w:rPr>
        <w:t>bladder/ureteric/bowel injury</w:t>
      </w:r>
      <w:r>
        <w:t xml:space="preserve">, </w:t>
      </w:r>
      <w:r>
        <w:rPr>
          <w:rStyle w:val="Strong"/>
        </w:rPr>
        <w:t>infection</w:t>
      </w:r>
      <w:r>
        <w:t xml:space="preserve">, or </w:t>
      </w:r>
      <w:r>
        <w:rPr>
          <w:rStyle w:val="Strong"/>
        </w:rPr>
        <w:t>vault-related problems</w:t>
      </w:r>
      <w:r>
        <w:t>.</w:t>
      </w:r>
    </w:p>
    <w:p w14:paraId="0B6CBC01" w14:textId="77777777" w:rsidR="00FC5A48" w:rsidRPr="00FC5A48" w:rsidRDefault="00FC5A48" w:rsidP="00717104">
      <w:pPr>
        <w:pStyle w:val="ListParagraph"/>
        <w:numPr>
          <w:ilvl w:val="0"/>
          <w:numId w:val="40"/>
        </w:numPr>
      </w:pPr>
      <w:r w:rsidRPr="00FC5A48">
        <w:t>Advantages of the vaginal route include shorter hospital stay, faster recovery, less postoperative pain, and lower overall cost.</w:t>
      </w:r>
    </w:p>
    <w:p w14:paraId="1EB08CF8" w14:textId="77777777" w:rsidR="00FC5A48" w:rsidRDefault="00FC5A48" w:rsidP="00891AB1">
      <w:pPr>
        <w:pStyle w:val="Heading3"/>
        <w:rPr>
          <w:rFonts w:ascii="Times New Roman" w:eastAsia="Times New Roman" w:hAnsi="Times New Roman" w:cs="Times New Roman"/>
          <w:color w:val="auto"/>
        </w:rPr>
      </w:pPr>
    </w:p>
    <w:p w14:paraId="747BAD8D" w14:textId="397D0CE1" w:rsidR="00891AB1" w:rsidRDefault="00891AB1" w:rsidP="00891AB1">
      <w:pPr>
        <w:pStyle w:val="Heading3"/>
        <w:rPr>
          <w:rStyle w:val="Strong"/>
          <w:bCs w:val="0"/>
          <w:color w:val="000000" w:themeColor="text1"/>
          <w:sz w:val="28"/>
          <w:szCs w:val="28"/>
        </w:rPr>
      </w:pPr>
      <w:r w:rsidRPr="00F90A3B">
        <w:rPr>
          <w:rStyle w:val="Strong"/>
          <w:bCs w:val="0"/>
          <w:color w:val="000000" w:themeColor="text1"/>
          <w:sz w:val="28"/>
          <w:szCs w:val="28"/>
        </w:rPr>
        <w:t>Operative Protocol (Stepwise)</w:t>
      </w:r>
    </w:p>
    <w:p w14:paraId="0D63E8EF" w14:textId="77777777" w:rsidR="00DC23CE" w:rsidRPr="00DC23CE" w:rsidRDefault="00DC23CE" w:rsidP="00DC23CE"/>
    <w:p w14:paraId="2E2DB9DF" w14:textId="77777777" w:rsidR="00FC5A48" w:rsidRDefault="00FC5A48" w:rsidP="00FC5A48">
      <w:pPr>
        <w:pStyle w:val="ListParagraph"/>
        <w:numPr>
          <w:ilvl w:val="0"/>
          <w:numId w:val="33"/>
        </w:numPr>
      </w:pPr>
      <w:r w:rsidRPr="00FC5A48">
        <w:rPr>
          <w:b/>
          <w:bCs/>
        </w:rPr>
        <w:t>Position:</w:t>
      </w:r>
      <w:r w:rsidRPr="00FC5A48">
        <w:t xml:space="preserve"> Extended lithotomy; bladder catheterization; antiseptic preparation and </w:t>
      </w:r>
      <w:proofErr w:type="spellStart"/>
      <w:r w:rsidRPr="00FC5A48">
        <w:t>draping.Perform</w:t>
      </w:r>
      <w:proofErr w:type="spellEnd"/>
      <w:r w:rsidRPr="00FC5A48">
        <w:t xml:space="preserve"> a final bimanual examination to confirm feasibility of the vaginal route.</w:t>
      </w:r>
    </w:p>
    <w:p w14:paraId="5DBE7F09" w14:textId="77777777" w:rsidR="00891AB1" w:rsidRDefault="00891AB1" w:rsidP="00891AB1">
      <w:pPr>
        <w:pStyle w:val="NormalWeb"/>
        <w:numPr>
          <w:ilvl w:val="0"/>
          <w:numId w:val="33"/>
        </w:numPr>
      </w:pPr>
      <w:r>
        <w:rPr>
          <w:rStyle w:val="Strong"/>
        </w:rPr>
        <w:t>Vaginal incision:</w:t>
      </w:r>
      <w:r>
        <w:t xml:space="preserve"> Circumferential, anterior, or posterior </w:t>
      </w:r>
      <w:proofErr w:type="spellStart"/>
      <w:r>
        <w:t>colpotomy</w:t>
      </w:r>
      <w:proofErr w:type="spellEnd"/>
      <w:r>
        <w:t xml:space="preserve"> depending on accessibility.</w:t>
      </w:r>
    </w:p>
    <w:p w14:paraId="701C5222" w14:textId="77777777" w:rsidR="00891AB1" w:rsidRDefault="00891AB1" w:rsidP="00891AB1">
      <w:pPr>
        <w:pStyle w:val="NormalWeb"/>
        <w:numPr>
          <w:ilvl w:val="0"/>
          <w:numId w:val="33"/>
        </w:numPr>
      </w:pPr>
      <w:r>
        <w:rPr>
          <w:rStyle w:val="Strong"/>
        </w:rPr>
        <w:t>Entry:</w:t>
      </w:r>
      <w:r>
        <w:t xml:space="preserve"> Open </w:t>
      </w:r>
      <w:r>
        <w:rPr>
          <w:rStyle w:val="Strong"/>
        </w:rPr>
        <w:t>posterior pouch</w:t>
      </w:r>
      <w:r>
        <w:t xml:space="preserve"> first, followed by the </w:t>
      </w:r>
      <w:r>
        <w:rPr>
          <w:rStyle w:val="Strong"/>
        </w:rPr>
        <w:t>anterior pouch</w:t>
      </w:r>
      <w:r>
        <w:t>.</w:t>
      </w:r>
    </w:p>
    <w:p w14:paraId="0987E8B4" w14:textId="77777777" w:rsidR="00891AB1" w:rsidRDefault="00891AB1" w:rsidP="00891AB1">
      <w:pPr>
        <w:pStyle w:val="NormalWeb"/>
        <w:numPr>
          <w:ilvl w:val="0"/>
          <w:numId w:val="33"/>
        </w:numPr>
      </w:pPr>
      <w:r>
        <w:rPr>
          <w:rStyle w:val="Strong"/>
        </w:rPr>
        <w:t>Sequential clamping and ligation:</w:t>
      </w:r>
    </w:p>
    <w:p w14:paraId="3DF6E8BA" w14:textId="77777777" w:rsidR="00891AB1" w:rsidRDefault="00891AB1" w:rsidP="00717104">
      <w:pPr>
        <w:pStyle w:val="NormalWeb"/>
        <w:numPr>
          <w:ilvl w:val="1"/>
          <w:numId w:val="42"/>
        </w:numPr>
      </w:pPr>
      <w:r>
        <w:t>Uterosacral ligaments</w:t>
      </w:r>
    </w:p>
    <w:p w14:paraId="444B0F45" w14:textId="77777777" w:rsidR="00891AB1" w:rsidRDefault="00891AB1" w:rsidP="00717104">
      <w:pPr>
        <w:pStyle w:val="NormalWeb"/>
        <w:numPr>
          <w:ilvl w:val="1"/>
          <w:numId w:val="42"/>
        </w:numPr>
      </w:pPr>
      <w:r>
        <w:t>Cardinal ligaments</w:t>
      </w:r>
    </w:p>
    <w:p w14:paraId="0E95B2E5" w14:textId="77777777" w:rsidR="00891AB1" w:rsidRDefault="00891AB1" w:rsidP="00717104">
      <w:pPr>
        <w:pStyle w:val="NormalWeb"/>
        <w:numPr>
          <w:ilvl w:val="1"/>
          <w:numId w:val="42"/>
        </w:numPr>
      </w:pPr>
      <w:r>
        <w:t>Uterine vessels</w:t>
      </w:r>
    </w:p>
    <w:p w14:paraId="1FFCB317" w14:textId="77777777" w:rsidR="00891AB1" w:rsidRDefault="00891AB1" w:rsidP="00717104">
      <w:pPr>
        <w:pStyle w:val="NormalWeb"/>
        <w:numPr>
          <w:ilvl w:val="1"/>
          <w:numId w:val="42"/>
        </w:numPr>
      </w:pPr>
      <w:r>
        <w:t xml:space="preserve">Utero-ovarian or </w:t>
      </w:r>
      <w:proofErr w:type="spellStart"/>
      <w:r>
        <w:t>infundibulopelvic</w:t>
      </w:r>
      <w:proofErr w:type="spellEnd"/>
      <w:r>
        <w:t xml:space="preserve"> ligaments (as required)</w:t>
      </w:r>
    </w:p>
    <w:p w14:paraId="3C6F402A" w14:textId="77777777" w:rsidR="00891AB1" w:rsidRDefault="00891AB1" w:rsidP="00891AB1">
      <w:pPr>
        <w:pStyle w:val="NormalWeb"/>
        <w:numPr>
          <w:ilvl w:val="0"/>
          <w:numId w:val="33"/>
        </w:numPr>
      </w:pPr>
      <w:r>
        <w:rPr>
          <w:rStyle w:val="Strong"/>
        </w:rPr>
        <w:t>Debulking techniques</w:t>
      </w:r>
      <w:r>
        <w:t xml:space="preserve"> </w:t>
      </w:r>
      <w:r>
        <w:rPr>
          <w:rStyle w:val="Emphasis"/>
        </w:rPr>
        <w:t>(endorsed by FOGSI)</w:t>
      </w:r>
      <w:r>
        <w:t xml:space="preserve"> for large or non-mobile uterus:</w:t>
      </w:r>
    </w:p>
    <w:p w14:paraId="12FD57B0" w14:textId="77777777" w:rsidR="00891AB1" w:rsidRDefault="00891AB1" w:rsidP="00A57F1C">
      <w:pPr>
        <w:pStyle w:val="NormalWeb"/>
        <w:numPr>
          <w:ilvl w:val="1"/>
          <w:numId w:val="33"/>
        </w:numPr>
      </w:pPr>
      <w:r>
        <w:rPr>
          <w:rStyle w:val="Strong"/>
        </w:rPr>
        <w:t>Bisection of uterus</w:t>
      </w:r>
    </w:p>
    <w:p w14:paraId="1C19B8E8" w14:textId="77777777" w:rsidR="00891AB1" w:rsidRDefault="00891AB1" w:rsidP="00A57F1C">
      <w:pPr>
        <w:pStyle w:val="NormalWeb"/>
        <w:numPr>
          <w:ilvl w:val="1"/>
          <w:numId w:val="33"/>
        </w:numPr>
      </w:pPr>
      <w:r>
        <w:rPr>
          <w:rStyle w:val="Strong"/>
        </w:rPr>
        <w:t>Myomectomy (fibroid enucleation)</w:t>
      </w:r>
    </w:p>
    <w:p w14:paraId="21D75814" w14:textId="77777777" w:rsidR="00891AB1" w:rsidRDefault="00891AB1" w:rsidP="00A57F1C">
      <w:pPr>
        <w:pStyle w:val="NormalWeb"/>
        <w:numPr>
          <w:ilvl w:val="1"/>
          <w:numId w:val="33"/>
        </w:numPr>
      </w:pPr>
      <w:r>
        <w:rPr>
          <w:rStyle w:val="Strong"/>
        </w:rPr>
        <w:t>Morcellation</w:t>
      </w:r>
      <w:r>
        <w:t xml:space="preserve"> (coring or wedge resection)</w:t>
      </w:r>
    </w:p>
    <w:p w14:paraId="24D6D3D6" w14:textId="77777777" w:rsidR="00FC5A48" w:rsidRPr="00FC5A48" w:rsidRDefault="00FC5A48" w:rsidP="00FC5A48">
      <w:pPr>
        <w:pStyle w:val="ListParagraph"/>
        <w:numPr>
          <w:ilvl w:val="0"/>
          <w:numId w:val="33"/>
        </w:numPr>
      </w:pPr>
      <w:r w:rsidRPr="00FC5A48">
        <w:rPr>
          <w:b/>
          <w:bCs/>
        </w:rPr>
        <w:t>Vault closure:</w:t>
      </w:r>
      <w:r w:rsidRPr="00FC5A48">
        <w:t xml:space="preserve"> Secure closure with apical support by fixing the uterosacral ligaments (e.g., McCall’s or modified uterosacral suspension) to minimize vault prolapse, following AAGL and FOGSI recommendations.</w:t>
      </w:r>
    </w:p>
    <w:p w14:paraId="1066B2B8" w14:textId="77777777" w:rsidR="00991714" w:rsidRPr="00DC23CE" w:rsidRDefault="00991714" w:rsidP="00991714">
      <w:pPr>
        <w:pStyle w:val="Heading2"/>
        <w:rPr>
          <w:sz w:val="28"/>
          <w:szCs w:val="28"/>
        </w:rPr>
      </w:pPr>
      <w:r w:rsidRPr="00DC23CE">
        <w:rPr>
          <w:rStyle w:val="Strong"/>
          <w:b/>
          <w:bCs/>
          <w:sz w:val="28"/>
          <w:szCs w:val="28"/>
        </w:rPr>
        <w:t>Conversion Criteria</w:t>
      </w:r>
    </w:p>
    <w:p w14:paraId="4EE2F590" w14:textId="77777777" w:rsidR="00991714" w:rsidRDefault="00991714" w:rsidP="00991714">
      <w:pPr>
        <w:pStyle w:val="NormalWeb"/>
      </w:pPr>
      <w:r>
        <w:t xml:space="preserve">Conversion from vaginal to abdominal or laparoscopic route should be considered </w:t>
      </w:r>
      <w:r>
        <w:rPr>
          <w:rStyle w:val="Strong"/>
        </w:rPr>
        <w:t>for patient safety</w:t>
      </w:r>
      <w:r>
        <w:t>, not as a procedural failure.</w:t>
      </w:r>
      <w:r>
        <w:br/>
      </w:r>
      <w:r>
        <w:rPr>
          <w:rStyle w:val="Strong"/>
        </w:rPr>
        <w:t>Indications include:</w:t>
      </w:r>
    </w:p>
    <w:p w14:paraId="73F38268" w14:textId="77777777" w:rsidR="00991714" w:rsidRDefault="00991714" w:rsidP="00991714">
      <w:pPr>
        <w:pStyle w:val="NormalWeb"/>
        <w:numPr>
          <w:ilvl w:val="0"/>
          <w:numId w:val="34"/>
        </w:numPr>
      </w:pPr>
      <w:r>
        <w:t>Uncontrolled intraoperative bleeding</w:t>
      </w:r>
    </w:p>
    <w:p w14:paraId="5FDEBB9A" w14:textId="77777777" w:rsidR="00991714" w:rsidRDefault="00991714" w:rsidP="00991714">
      <w:pPr>
        <w:pStyle w:val="NormalWeb"/>
        <w:numPr>
          <w:ilvl w:val="0"/>
          <w:numId w:val="34"/>
        </w:numPr>
      </w:pPr>
      <w:r>
        <w:t>Inaccessible or pathologically altered adnexa</w:t>
      </w:r>
    </w:p>
    <w:p w14:paraId="7ECFEB77" w14:textId="77777777" w:rsidR="00991714" w:rsidRDefault="00991714" w:rsidP="00991714">
      <w:pPr>
        <w:pStyle w:val="NormalWeb"/>
        <w:numPr>
          <w:ilvl w:val="0"/>
          <w:numId w:val="34"/>
        </w:numPr>
      </w:pPr>
      <w:r>
        <w:t>Dense adhesions or distorted anatomy preventing safe dissection</w:t>
      </w:r>
    </w:p>
    <w:p w14:paraId="09894359" w14:textId="77777777" w:rsidR="00991714" w:rsidRDefault="00991714" w:rsidP="00991714">
      <w:pPr>
        <w:pStyle w:val="NormalWeb"/>
        <w:numPr>
          <w:ilvl w:val="0"/>
          <w:numId w:val="34"/>
        </w:numPr>
      </w:pPr>
      <w:r>
        <w:t>Intraoperative suspicion of malignancy</w:t>
      </w:r>
    </w:p>
    <w:p w14:paraId="5D3DBFDB" w14:textId="77777777" w:rsidR="009A68B2" w:rsidRPr="009A68B2" w:rsidRDefault="009A68B2" w:rsidP="009A68B2">
      <w:pPr>
        <w:pStyle w:val="ListParagraph"/>
        <w:spacing w:beforeAutospacing="1" w:afterAutospacing="1"/>
        <w:ind w:right="720"/>
      </w:pPr>
      <w:r w:rsidRPr="00A57F1C">
        <w:rPr>
          <w:b/>
          <w:i/>
          <w:iCs/>
        </w:rPr>
        <w:t>Conversion ensures patient safety and reflects sound surgical judgment rather than failure</w:t>
      </w:r>
      <w:r w:rsidRPr="009A68B2">
        <w:rPr>
          <w:i/>
          <w:iCs/>
        </w:rPr>
        <w:t>.</w:t>
      </w:r>
      <w:bookmarkStart w:id="0" w:name="_GoBack"/>
      <w:bookmarkEnd w:id="0"/>
    </w:p>
    <w:p w14:paraId="20D7BB03" w14:textId="46886C0D" w:rsidR="00991714" w:rsidRDefault="00991714" w:rsidP="00991714"/>
    <w:p w14:paraId="0F2E260E" w14:textId="77777777" w:rsidR="00991714" w:rsidRPr="00DC23CE" w:rsidRDefault="00991714" w:rsidP="00991714">
      <w:pPr>
        <w:pStyle w:val="Heading2"/>
        <w:rPr>
          <w:sz w:val="28"/>
          <w:szCs w:val="28"/>
        </w:rPr>
      </w:pPr>
      <w:r w:rsidRPr="00DC23CE">
        <w:rPr>
          <w:rStyle w:val="Strong"/>
          <w:b/>
          <w:bCs/>
          <w:sz w:val="28"/>
          <w:szCs w:val="28"/>
        </w:rPr>
        <w:t>Postoperative Care</w:t>
      </w:r>
    </w:p>
    <w:p w14:paraId="7D8BABF5" w14:textId="77777777" w:rsidR="00214957" w:rsidRDefault="009A68B2" w:rsidP="00214957">
      <w:pPr>
        <w:pStyle w:val="ListParagraph"/>
        <w:numPr>
          <w:ilvl w:val="0"/>
          <w:numId w:val="35"/>
        </w:numPr>
      </w:pPr>
      <w:r w:rsidRPr="009A68B2">
        <w:t xml:space="preserve"> </w:t>
      </w:r>
      <w:r w:rsidRPr="009A68B2">
        <w:rPr>
          <w:b/>
          <w:bCs/>
        </w:rPr>
        <w:t>Mobilization:</w:t>
      </w:r>
      <w:r w:rsidRPr="009A68B2">
        <w:t xml:space="preserve"> Encourage early ambulation. Apply elastic stockings and pharmacologic prophylaxis (when indicated) to reduce thromboembolic risk.</w:t>
      </w:r>
    </w:p>
    <w:p w14:paraId="441966FF" w14:textId="77777777" w:rsidR="00214957" w:rsidRDefault="00991714" w:rsidP="00214957">
      <w:pPr>
        <w:pStyle w:val="ListParagraph"/>
        <w:numPr>
          <w:ilvl w:val="0"/>
          <w:numId w:val="35"/>
        </w:numPr>
      </w:pPr>
      <w:r>
        <w:rPr>
          <w:rStyle w:val="Strong"/>
        </w:rPr>
        <w:t>Catheter &amp; pack removal:</w:t>
      </w:r>
      <w:r>
        <w:t xml:space="preserve"> Within 24 hours post-surgery.</w:t>
      </w:r>
    </w:p>
    <w:p w14:paraId="3133CCE4" w14:textId="77777777" w:rsidR="00DD4923" w:rsidRDefault="00214957" w:rsidP="00DD4923">
      <w:pPr>
        <w:pStyle w:val="ListParagraph"/>
        <w:numPr>
          <w:ilvl w:val="0"/>
          <w:numId w:val="35"/>
        </w:numPr>
      </w:pPr>
      <w:r w:rsidRPr="00214957">
        <w:rPr>
          <w:rStyle w:val="Emphasis"/>
          <w:b/>
        </w:rPr>
        <w:t>Analgesia</w:t>
      </w:r>
      <w:r>
        <w:rPr>
          <w:rStyle w:val="Emphasis"/>
        </w:rPr>
        <w:t>:</w:t>
      </w:r>
      <w:r>
        <w:t xml:space="preserve"> Multimodal pain control (Paracetamol + NSAID ± short opioid) for 3 days.</w:t>
      </w:r>
    </w:p>
    <w:p w14:paraId="236472DF" w14:textId="77777777" w:rsidR="00DD4923" w:rsidRPr="00DD4923" w:rsidRDefault="00214957" w:rsidP="00DD4923">
      <w:pPr>
        <w:pStyle w:val="ListParagraph"/>
        <w:numPr>
          <w:ilvl w:val="0"/>
          <w:numId w:val="35"/>
        </w:numPr>
        <w:rPr>
          <w:rStyle w:val="Strong"/>
          <w:b w:val="0"/>
          <w:bCs w:val="0"/>
        </w:rPr>
      </w:pPr>
      <w:r w:rsidRPr="00DD4923">
        <w:rPr>
          <w:b/>
        </w:rPr>
        <w:t>Antibiotic Prophylaxis</w:t>
      </w:r>
      <w:r>
        <w:t>:</w:t>
      </w:r>
      <w:r w:rsidR="00DD4923" w:rsidRPr="00DD4923">
        <w:t xml:space="preserve"> </w:t>
      </w:r>
      <w:r w:rsidR="00DD4923">
        <w:t xml:space="preserve">Administer </w:t>
      </w:r>
      <w:r w:rsidR="00DD4923">
        <w:rPr>
          <w:rStyle w:val="Strong"/>
        </w:rPr>
        <w:t>Cefazolin 1–2 g IV</w:t>
      </w:r>
      <w:r w:rsidR="00DD4923">
        <w:t xml:space="preserve"> within </w:t>
      </w:r>
      <w:r w:rsidR="00DD4923">
        <w:rPr>
          <w:rStyle w:val="Strong"/>
        </w:rPr>
        <w:t xml:space="preserve">30–60 minutes before </w:t>
      </w:r>
      <w:proofErr w:type="spellStart"/>
      <w:r w:rsidR="00DD4923">
        <w:rPr>
          <w:rStyle w:val="Strong"/>
        </w:rPr>
        <w:t>incision.</w:t>
      </w:r>
      <w:r w:rsidR="00DD4923">
        <w:t>Continue</w:t>
      </w:r>
      <w:proofErr w:type="spellEnd"/>
      <w:r w:rsidR="00DD4923">
        <w:t xml:space="preserve"> antibiotics for </w:t>
      </w:r>
      <w:r w:rsidR="00DD4923">
        <w:rPr>
          <w:rStyle w:val="Strong"/>
        </w:rPr>
        <w:t>up to 5 days</w:t>
      </w:r>
      <w:r w:rsidR="00DD4923">
        <w:t xml:space="preserve"> only if there is </w:t>
      </w:r>
      <w:r w:rsidR="00DD4923">
        <w:rPr>
          <w:rStyle w:val="Strong"/>
        </w:rPr>
        <w:t>intraoperative contamination, prolonged surgery, or other infection risk factors.</w:t>
      </w:r>
    </w:p>
    <w:p w14:paraId="39B140B5" w14:textId="25540585" w:rsidR="00DD4923" w:rsidRDefault="00214957" w:rsidP="00DD4923">
      <w:pPr>
        <w:pStyle w:val="ListParagraph"/>
        <w:numPr>
          <w:ilvl w:val="0"/>
          <w:numId w:val="35"/>
        </w:numPr>
      </w:pPr>
      <w:r w:rsidRPr="00DD4923">
        <w:rPr>
          <w:rStyle w:val="Emphasis"/>
          <w:b/>
        </w:rPr>
        <w:t>Discharge</w:t>
      </w:r>
      <w:r>
        <w:rPr>
          <w:rStyle w:val="Emphasis"/>
        </w:rPr>
        <w:t>:</w:t>
      </w:r>
      <w:r>
        <w:t xml:space="preserve"> After 48–72 </w:t>
      </w:r>
      <w:proofErr w:type="spellStart"/>
      <w:r>
        <w:t>hrs</w:t>
      </w:r>
      <w:proofErr w:type="spellEnd"/>
      <w:r>
        <w:t xml:space="preserve"> if stable.</w:t>
      </w:r>
    </w:p>
    <w:p w14:paraId="306E9F94" w14:textId="77777777" w:rsidR="00DD4923" w:rsidRDefault="00214957" w:rsidP="00DD4923">
      <w:pPr>
        <w:pStyle w:val="ListParagraph"/>
        <w:numPr>
          <w:ilvl w:val="0"/>
          <w:numId w:val="35"/>
        </w:numPr>
      </w:pPr>
      <w:r w:rsidRPr="00DD4923">
        <w:rPr>
          <w:rStyle w:val="Emphasis"/>
          <w:b/>
        </w:rPr>
        <w:t>Follow-up</w:t>
      </w:r>
      <w:r>
        <w:rPr>
          <w:rStyle w:val="Emphasis"/>
        </w:rPr>
        <w:t>:</w:t>
      </w:r>
      <w:r>
        <w:t xml:space="preserve"> </w:t>
      </w:r>
      <w:r w:rsidR="00DD4923">
        <w:t xml:space="preserve">At </w:t>
      </w:r>
      <w:r w:rsidR="00DD4923">
        <w:rPr>
          <w:rStyle w:val="Strong"/>
        </w:rPr>
        <w:t>2 weeks</w:t>
      </w:r>
      <w:r w:rsidR="00DD4923">
        <w:t xml:space="preserve"> (wound and recovery review) and </w:t>
      </w:r>
      <w:r w:rsidR="00DD4923">
        <w:rPr>
          <w:rStyle w:val="Strong"/>
        </w:rPr>
        <w:t>6 weeks</w:t>
      </w:r>
      <w:r w:rsidR="00DD4923">
        <w:t xml:space="preserve"> (final evaluation and return to normal activities).</w:t>
      </w:r>
    </w:p>
    <w:p w14:paraId="1095CF7C" w14:textId="08FB11D1" w:rsidR="00991714" w:rsidRDefault="00991714" w:rsidP="00717104">
      <w:pPr>
        <w:pStyle w:val="ListParagraph"/>
      </w:pPr>
    </w:p>
    <w:p w14:paraId="5E4573F4" w14:textId="77777777" w:rsidR="00991714" w:rsidRDefault="00580F98" w:rsidP="00991714">
      <w:r>
        <w:rPr>
          <w:noProof/>
        </w:rPr>
        <w:pict w14:anchorId="524B6B8A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297E426A" w14:textId="77777777" w:rsidR="00991714" w:rsidRPr="00DC23CE" w:rsidRDefault="00991714" w:rsidP="00991714">
      <w:pPr>
        <w:pStyle w:val="Heading2"/>
        <w:rPr>
          <w:sz w:val="28"/>
          <w:szCs w:val="28"/>
        </w:rPr>
      </w:pPr>
      <w:r w:rsidRPr="00DC23CE">
        <w:rPr>
          <w:rStyle w:val="Strong"/>
          <w:b/>
          <w:bCs/>
          <w:sz w:val="28"/>
          <w:szCs w:val="28"/>
        </w:rPr>
        <w:t>Documentation &amp; Audit</w:t>
      </w:r>
      <w:r w:rsidRPr="00DC23CE">
        <w:rPr>
          <w:sz w:val="28"/>
          <w:szCs w:val="28"/>
        </w:rPr>
        <w:t xml:space="preserve"> </w:t>
      </w:r>
      <w:r w:rsidRPr="00DC23CE">
        <w:rPr>
          <w:rStyle w:val="Emphasis"/>
          <w:sz w:val="28"/>
          <w:szCs w:val="28"/>
        </w:rPr>
        <w:t>(as per FOGSI recommendations)</w:t>
      </w:r>
    </w:p>
    <w:p w14:paraId="6BC6B020" w14:textId="77777777" w:rsidR="00991714" w:rsidRDefault="00991714" w:rsidP="00991714">
      <w:pPr>
        <w:pStyle w:val="NormalWeb"/>
        <w:numPr>
          <w:ilvl w:val="0"/>
          <w:numId w:val="36"/>
        </w:numPr>
      </w:pPr>
      <w:r>
        <w:t xml:space="preserve">Clearly document </w:t>
      </w:r>
      <w:r>
        <w:rPr>
          <w:rStyle w:val="Strong"/>
        </w:rPr>
        <w:t>indication</w:t>
      </w:r>
      <w:r>
        <w:t xml:space="preserve"> and </w:t>
      </w:r>
      <w:r>
        <w:rPr>
          <w:rStyle w:val="Strong"/>
        </w:rPr>
        <w:t>rationale for route selection</w:t>
      </w:r>
      <w:r>
        <w:t>.</w:t>
      </w:r>
    </w:p>
    <w:p w14:paraId="405FB0BD" w14:textId="77777777" w:rsidR="00991714" w:rsidRDefault="00991714" w:rsidP="00991714">
      <w:pPr>
        <w:pStyle w:val="NormalWeb"/>
        <w:numPr>
          <w:ilvl w:val="0"/>
          <w:numId w:val="36"/>
        </w:numPr>
      </w:pPr>
      <w:r>
        <w:t xml:space="preserve">Record </w:t>
      </w:r>
      <w:r>
        <w:rPr>
          <w:rStyle w:val="Strong"/>
        </w:rPr>
        <w:t>intraoperative findings</w:t>
      </w:r>
      <w:r>
        <w:t xml:space="preserve">, </w:t>
      </w:r>
      <w:r>
        <w:rPr>
          <w:rStyle w:val="Strong"/>
        </w:rPr>
        <w:t>surgical steps</w:t>
      </w:r>
      <w:r>
        <w:t xml:space="preserve">, </w:t>
      </w:r>
      <w:r>
        <w:rPr>
          <w:rStyle w:val="Strong"/>
        </w:rPr>
        <w:t>estimated blood loss</w:t>
      </w:r>
      <w:r>
        <w:t xml:space="preserve">, and any </w:t>
      </w:r>
      <w:r>
        <w:rPr>
          <w:rStyle w:val="Strong"/>
        </w:rPr>
        <w:t>complications</w:t>
      </w:r>
      <w:r>
        <w:t>.</w:t>
      </w:r>
    </w:p>
    <w:p w14:paraId="320C18E7" w14:textId="77777777" w:rsidR="00991714" w:rsidRDefault="00991714" w:rsidP="00991714">
      <w:pPr>
        <w:pStyle w:val="NormalWeb"/>
        <w:numPr>
          <w:ilvl w:val="0"/>
          <w:numId w:val="36"/>
        </w:numPr>
      </w:pPr>
      <w:r>
        <w:t xml:space="preserve">If conversion occurs, specify </w:t>
      </w:r>
      <w:r>
        <w:rPr>
          <w:rStyle w:val="Strong"/>
        </w:rPr>
        <w:t>indication and timing</w:t>
      </w:r>
      <w:r>
        <w:t>.</w:t>
      </w:r>
    </w:p>
    <w:p w14:paraId="15243262" w14:textId="77777777" w:rsidR="00991714" w:rsidRDefault="00991714" w:rsidP="00991714">
      <w:pPr>
        <w:pStyle w:val="NormalWeb"/>
        <w:numPr>
          <w:ilvl w:val="0"/>
          <w:numId w:val="36"/>
        </w:numPr>
      </w:pPr>
      <w:r>
        <w:t xml:space="preserve">Maintain regular </w:t>
      </w:r>
      <w:r>
        <w:rPr>
          <w:rStyle w:val="Strong"/>
        </w:rPr>
        <w:t>audit parameters:</w:t>
      </w:r>
    </w:p>
    <w:p w14:paraId="28AD92A0" w14:textId="77777777" w:rsidR="00991714" w:rsidRDefault="00991714" w:rsidP="00991714">
      <w:pPr>
        <w:pStyle w:val="NormalWeb"/>
        <w:numPr>
          <w:ilvl w:val="1"/>
          <w:numId w:val="36"/>
        </w:numPr>
      </w:pPr>
      <w:r>
        <w:t>Complication rates</w:t>
      </w:r>
    </w:p>
    <w:p w14:paraId="25DEC05F" w14:textId="77777777" w:rsidR="00991714" w:rsidRDefault="00991714" w:rsidP="00991714">
      <w:pPr>
        <w:pStyle w:val="NormalWeb"/>
        <w:numPr>
          <w:ilvl w:val="1"/>
          <w:numId w:val="36"/>
        </w:numPr>
      </w:pPr>
      <w:r>
        <w:t>Conversion rates</w:t>
      </w:r>
    </w:p>
    <w:p w14:paraId="6D86B17C" w14:textId="77777777" w:rsidR="00991714" w:rsidRDefault="00991714" w:rsidP="00991714">
      <w:pPr>
        <w:pStyle w:val="NormalWeb"/>
        <w:numPr>
          <w:ilvl w:val="1"/>
          <w:numId w:val="36"/>
        </w:numPr>
      </w:pPr>
      <w:r>
        <w:t xml:space="preserve">Average hospital </w:t>
      </w:r>
      <w:proofErr w:type="gramStart"/>
      <w:r>
        <w:t>stay</w:t>
      </w:r>
      <w:proofErr w:type="gramEnd"/>
    </w:p>
    <w:p w14:paraId="6353CBFE" w14:textId="77777777" w:rsidR="00991714" w:rsidRDefault="00991714" w:rsidP="00991714">
      <w:pPr>
        <w:pStyle w:val="NormalWeb"/>
        <w:numPr>
          <w:ilvl w:val="1"/>
          <w:numId w:val="36"/>
        </w:numPr>
      </w:pPr>
      <w:r>
        <w:t>Re-admission and re-intervention rates</w:t>
      </w:r>
    </w:p>
    <w:p w14:paraId="56043F69" w14:textId="18B30F34" w:rsidR="009A68B2" w:rsidRPr="009A68B2" w:rsidRDefault="009A68B2" w:rsidP="009A68B2">
      <w:r w:rsidRPr="009A68B2">
        <w:t>Continuous audit, feedback, and hands-on training are essential for maintaining surgical quality and improving outcomes</w:t>
      </w:r>
      <w:r w:rsidR="00AE189C">
        <w:t>.</w:t>
      </w:r>
    </w:p>
    <w:p w14:paraId="34BDF845" w14:textId="77777777" w:rsidR="009A68B2" w:rsidRDefault="009A68B2" w:rsidP="009A68B2">
      <w:pPr>
        <w:pStyle w:val="NormalWeb"/>
      </w:pPr>
    </w:p>
    <w:p w14:paraId="78366557" w14:textId="09CDBC50" w:rsidR="009A68B2" w:rsidRPr="00DC23CE" w:rsidRDefault="009A68B2" w:rsidP="009A68B2">
      <w:pPr>
        <w:pStyle w:val="NormalWeb"/>
        <w:rPr>
          <w:sz w:val="28"/>
          <w:szCs w:val="28"/>
        </w:rPr>
      </w:pPr>
      <w:r w:rsidRPr="00DC23CE">
        <w:rPr>
          <w:rStyle w:val="Strong"/>
          <w:sz w:val="28"/>
          <w:szCs w:val="28"/>
        </w:rPr>
        <w:t>References</w:t>
      </w:r>
    </w:p>
    <w:p w14:paraId="59DABF3A" w14:textId="77777777" w:rsidR="009A68B2" w:rsidRDefault="009A68B2" w:rsidP="009A68B2">
      <w:pPr>
        <w:pStyle w:val="NormalWeb"/>
        <w:numPr>
          <w:ilvl w:val="0"/>
          <w:numId w:val="38"/>
        </w:numPr>
      </w:pPr>
      <w:r>
        <w:t xml:space="preserve">FOGSI Focus: </w:t>
      </w:r>
      <w:r>
        <w:rPr>
          <w:rStyle w:val="Emphasis"/>
        </w:rPr>
        <w:t>Vaginal Surgeries</w:t>
      </w:r>
      <w:r>
        <w:t xml:space="preserve"> (Federation of Obstetric and </w:t>
      </w:r>
      <w:proofErr w:type="spellStart"/>
      <w:r>
        <w:t>Gynaecological</w:t>
      </w:r>
      <w:proofErr w:type="spellEnd"/>
      <w:r>
        <w:t xml:space="preserve"> Societies of India, 2015)</w:t>
      </w:r>
    </w:p>
    <w:p w14:paraId="37E70164" w14:textId="77777777" w:rsidR="009A68B2" w:rsidRDefault="009A68B2" w:rsidP="009A68B2">
      <w:pPr>
        <w:pStyle w:val="NormalWeb"/>
        <w:numPr>
          <w:ilvl w:val="0"/>
          <w:numId w:val="38"/>
        </w:numPr>
      </w:pPr>
      <w:r>
        <w:t xml:space="preserve">FOGSI Guidelines: </w:t>
      </w:r>
      <w:r>
        <w:rPr>
          <w:rStyle w:val="Emphasis"/>
        </w:rPr>
        <w:t>Hysterectomy and Reporting Standards</w:t>
      </w:r>
    </w:p>
    <w:p w14:paraId="342D33B1" w14:textId="77777777" w:rsidR="009A68B2" w:rsidRDefault="009A68B2" w:rsidP="009A68B2">
      <w:pPr>
        <w:pStyle w:val="NormalWeb"/>
        <w:numPr>
          <w:ilvl w:val="0"/>
          <w:numId w:val="38"/>
        </w:numPr>
      </w:pPr>
      <w:r>
        <w:t xml:space="preserve">SOGC (Society of Obstetricians and </w:t>
      </w:r>
      <w:proofErr w:type="spellStart"/>
      <w:r>
        <w:t>Gynaecologists</w:t>
      </w:r>
      <w:proofErr w:type="spellEnd"/>
      <w:r>
        <w:t xml:space="preserve"> of Canada) Clinical Practice Guideline No. 377: </w:t>
      </w:r>
      <w:r>
        <w:rPr>
          <w:rStyle w:val="Emphasis"/>
        </w:rPr>
        <w:t xml:space="preserve">Hysterectomy for Benign </w:t>
      </w:r>
      <w:proofErr w:type="spellStart"/>
      <w:r>
        <w:rPr>
          <w:rStyle w:val="Emphasis"/>
        </w:rPr>
        <w:t>Gynaecologic</w:t>
      </w:r>
      <w:proofErr w:type="spellEnd"/>
      <w:r>
        <w:rPr>
          <w:rStyle w:val="Emphasis"/>
        </w:rPr>
        <w:t xml:space="preserve"> Indications</w:t>
      </w:r>
    </w:p>
    <w:p w14:paraId="4524E963" w14:textId="77777777" w:rsidR="009A68B2" w:rsidRDefault="009A68B2" w:rsidP="009A68B2">
      <w:pPr>
        <w:pStyle w:val="NormalWeb"/>
        <w:numPr>
          <w:ilvl w:val="0"/>
          <w:numId w:val="38"/>
        </w:numPr>
      </w:pPr>
      <w:r>
        <w:t xml:space="preserve">ACOG (American College of Obstetricians and Gynecologists) Committee Opinion: </w:t>
      </w:r>
      <w:r>
        <w:rPr>
          <w:rStyle w:val="Emphasis"/>
        </w:rPr>
        <w:t>Choosing the Route of Hysterectomy for Benign Disease</w:t>
      </w:r>
    </w:p>
    <w:p w14:paraId="341A5DDF" w14:textId="77777777" w:rsidR="009A68B2" w:rsidRDefault="009A68B2" w:rsidP="009A68B2">
      <w:pPr>
        <w:pStyle w:val="NormalWeb"/>
        <w:numPr>
          <w:ilvl w:val="0"/>
          <w:numId w:val="38"/>
        </w:numPr>
      </w:pPr>
      <w:r>
        <w:t xml:space="preserve">AAGL (American Association of Gynecologic Laparoscopists) Position Statements and Teaching Modules on </w:t>
      </w:r>
      <w:r>
        <w:rPr>
          <w:rStyle w:val="Emphasis"/>
        </w:rPr>
        <w:t>Vaginal Hysterectomy</w:t>
      </w:r>
    </w:p>
    <w:p w14:paraId="729004DB" w14:textId="77777777" w:rsidR="009A68B2" w:rsidRDefault="009A68B2" w:rsidP="009A68B2">
      <w:pPr>
        <w:pStyle w:val="NormalWeb"/>
        <w:numPr>
          <w:ilvl w:val="0"/>
          <w:numId w:val="38"/>
        </w:numPr>
      </w:pPr>
      <w:r>
        <w:t xml:space="preserve">RCOG (Royal College of Obstetricians and </w:t>
      </w:r>
      <w:proofErr w:type="spellStart"/>
      <w:r>
        <w:t>Gynaecologists</w:t>
      </w:r>
      <w:proofErr w:type="spellEnd"/>
      <w:r>
        <w:t>) – Relevant recommendations on route of hysterectomy</w:t>
      </w:r>
    </w:p>
    <w:p w14:paraId="164640CF" w14:textId="2030F814" w:rsidR="00991714" w:rsidRDefault="00991714" w:rsidP="00991714">
      <w:pPr>
        <w:pStyle w:val="NormalWeb"/>
      </w:pPr>
    </w:p>
    <w:p w14:paraId="11A9D78F" w14:textId="77777777" w:rsidR="00991714" w:rsidRDefault="00991714" w:rsidP="00991714">
      <w:pPr>
        <w:pStyle w:val="NormalWeb"/>
      </w:pPr>
    </w:p>
    <w:p w14:paraId="6F2398C5" w14:textId="77777777" w:rsidR="00891AB1" w:rsidRDefault="00891AB1" w:rsidP="00891AB1">
      <w:pPr>
        <w:pStyle w:val="NormalWeb"/>
      </w:pPr>
    </w:p>
    <w:p w14:paraId="55FA6BBB" w14:textId="36899318" w:rsidR="00B1039B" w:rsidRDefault="00B1039B" w:rsidP="00D5347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69F26830" w14:textId="77777777" w:rsidR="00E616D0" w:rsidRDefault="00E616D0" w:rsidP="00AF499A">
      <w:pPr>
        <w:pStyle w:val="ListParagraph"/>
        <w:spacing w:before="100" w:beforeAutospacing="1" w:after="100" w:afterAutospacing="1"/>
        <w:rPr>
          <w:b/>
          <w:bCs/>
        </w:rPr>
      </w:pPr>
    </w:p>
    <w:p w14:paraId="0F9D84D1" w14:textId="77777777" w:rsidR="00F90A3B" w:rsidRDefault="00F90A3B" w:rsidP="00AF499A">
      <w:pPr>
        <w:pStyle w:val="ListParagraph"/>
        <w:spacing w:before="100" w:beforeAutospacing="1" w:after="100" w:afterAutospacing="1"/>
        <w:rPr>
          <w:b/>
          <w:bCs/>
          <w:sz w:val="21"/>
          <w:szCs w:val="21"/>
        </w:rPr>
      </w:pPr>
    </w:p>
    <w:p w14:paraId="1FBAF8CB" w14:textId="77777777" w:rsidR="00920F1F" w:rsidRDefault="00920F1F"/>
    <w:sectPr w:rsidR="00920F1F" w:rsidSect="00CF03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892"/>
    <w:multiLevelType w:val="multilevel"/>
    <w:tmpl w:val="4B4E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4C87"/>
    <w:multiLevelType w:val="multilevel"/>
    <w:tmpl w:val="294A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47978"/>
    <w:multiLevelType w:val="multilevel"/>
    <w:tmpl w:val="A9DA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613DE"/>
    <w:multiLevelType w:val="multilevel"/>
    <w:tmpl w:val="A34C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B472F"/>
    <w:multiLevelType w:val="multilevel"/>
    <w:tmpl w:val="0EC8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C5D0D"/>
    <w:multiLevelType w:val="multilevel"/>
    <w:tmpl w:val="09EE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14EF1"/>
    <w:multiLevelType w:val="multilevel"/>
    <w:tmpl w:val="6AB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00181"/>
    <w:multiLevelType w:val="multilevel"/>
    <w:tmpl w:val="A30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650B4"/>
    <w:multiLevelType w:val="multilevel"/>
    <w:tmpl w:val="9FC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F7392"/>
    <w:multiLevelType w:val="multilevel"/>
    <w:tmpl w:val="132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E7768"/>
    <w:multiLevelType w:val="multilevel"/>
    <w:tmpl w:val="43EA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86406"/>
    <w:multiLevelType w:val="multilevel"/>
    <w:tmpl w:val="2834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E6182"/>
    <w:multiLevelType w:val="multilevel"/>
    <w:tmpl w:val="E4B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937C5"/>
    <w:multiLevelType w:val="multilevel"/>
    <w:tmpl w:val="859E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826BE"/>
    <w:multiLevelType w:val="multilevel"/>
    <w:tmpl w:val="F33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33F86"/>
    <w:multiLevelType w:val="multilevel"/>
    <w:tmpl w:val="6E4C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A56FD"/>
    <w:multiLevelType w:val="multilevel"/>
    <w:tmpl w:val="CD0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F0854"/>
    <w:multiLevelType w:val="multilevel"/>
    <w:tmpl w:val="5BA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84A33"/>
    <w:multiLevelType w:val="multilevel"/>
    <w:tmpl w:val="B38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E36C18"/>
    <w:multiLevelType w:val="multilevel"/>
    <w:tmpl w:val="6C2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1D7A1C"/>
    <w:multiLevelType w:val="multilevel"/>
    <w:tmpl w:val="9D00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71D9B"/>
    <w:multiLevelType w:val="multilevel"/>
    <w:tmpl w:val="021A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E228D5"/>
    <w:multiLevelType w:val="multilevel"/>
    <w:tmpl w:val="7D0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70DD1"/>
    <w:multiLevelType w:val="multilevel"/>
    <w:tmpl w:val="805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81CA1"/>
    <w:multiLevelType w:val="multilevel"/>
    <w:tmpl w:val="FD2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025AC"/>
    <w:multiLevelType w:val="multilevel"/>
    <w:tmpl w:val="D652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470785"/>
    <w:multiLevelType w:val="multilevel"/>
    <w:tmpl w:val="3FE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3692A"/>
    <w:multiLevelType w:val="hybridMultilevel"/>
    <w:tmpl w:val="857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92C31"/>
    <w:multiLevelType w:val="multilevel"/>
    <w:tmpl w:val="212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258B1"/>
    <w:multiLevelType w:val="multilevel"/>
    <w:tmpl w:val="A78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82204"/>
    <w:multiLevelType w:val="multilevel"/>
    <w:tmpl w:val="7948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85295"/>
    <w:multiLevelType w:val="multilevel"/>
    <w:tmpl w:val="E5D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72051"/>
    <w:multiLevelType w:val="multilevel"/>
    <w:tmpl w:val="0A7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BE2944"/>
    <w:multiLevelType w:val="multilevel"/>
    <w:tmpl w:val="A08C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4A2E58"/>
    <w:multiLevelType w:val="multilevel"/>
    <w:tmpl w:val="5EC6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5243A"/>
    <w:multiLevelType w:val="multilevel"/>
    <w:tmpl w:val="FBC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63AA2"/>
    <w:multiLevelType w:val="multilevel"/>
    <w:tmpl w:val="1EB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36AC9"/>
    <w:multiLevelType w:val="multilevel"/>
    <w:tmpl w:val="CAE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22544"/>
    <w:multiLevelType w:val="multilevel"/>
    <w:tmpl w:val="D3C0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E5DF1"/>
    <w:multiLevelType w:val="multilevel"/>
    <w:tmpl w:val="77FA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3548FA"/>
    <w:multiLevelType w:val="multilevel"/>
    <w:tmpl w:val="D36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D16A1B"/>
    <w:multiLevelType w:val="multilevel"/>
    <w:tmpl w:val="CB5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2"/>
  </w:num>
  <w:num w:numId="4">
    <w:abstractNumId w:val="34"/>
  </w:num>
  <w:num w:numId="5">
    <w:abstractNumId w:val="29"/>
  </w:num>
  <w:num w:numId="6">
    <w:abstractNumId w:val="7"/>
  </w:num>
  <w:num w:numId="7">
    <w:abstractNumId w:val="33"/>
  </w:num>
  <w:num w:numId="8">
    <w:abstractNumId w:val="31"/>
  </w:num>
  <w:num w:numId="9">
    <w:abstractNumId w:val="19"/>
  </w:num>
  <w:num w:numId="10">
    <w:abstractNumId w:val="41"/>
  </w:num>
  <w:num w:numId="11">
    <w:abstractNumId w:val="16"/>
  </w:num>
  <w:num w:numId="12">
    <w:abstractNumId w:val="26"/>
  </w:num>
  <w:num w:numId="13">
    <w:abstractNumId w:val="18"/>
  </w:num>
  <w:num w:numId="14">
    <w:abstractNumId w:val="32"/>
  </w:num>
  <w:num w:numId="15">
    <w:abstractNumId w:val="14"/>
  </w:num>
  <w:num w:numId="16">
    <w:abstractNumId w:val="4"/>
  </w:num>
  <w:num w:numId="17">
    <w:abstractNumId w:val="0"/>
  </w:num>
  <w:num w:numId="18">
    <w:abstractNumId w:val="12"/>
  </w:num>
  <w:num w:numId="19">
    <w:abstractNumId w:val="37"/>
  </w:num>
  <w:num w:numId="20">
    <w:abstractNumId w:val="35"/>
  </w:num>
  <w:num w:numId="21">
    <w:abstractNumId w:val="20"/>
  </w:num>
  <w:num w:numId="22">
    <w:abstractNumId w:val="24"/>
  </w:num>
  <w:num w:numId="23">
    <w:abstractNumId w:val="13"/>
  </w:num>
  <w:num w:numId="24">
    <w:abstractNumId w:val="6"/>
  </w:num>
  <w:num w:numId="25">
    <w:abstractNumId w:val="30"/>
  </w:num>
  <w:num w:numId="26">
    <w:abstractNumId w:val="28"/>
  </w:num>
  <w:num w:numId="27">
    <w:abstractNumId w:val="40"/>
  </w:num>
  <w:num w:numId="28">
    <w:abstractNumId w:val="25"/>
  </w:num>
  <w:num w:numId="29">
    <w:abstractNumId w:val="11"/>
  </w:num>
  <w:num w:numId="30">
    <w:abstractNumId w:val="1"/>
  </w:num>
  <w:num w:numId="31">
    <w:abstractNumId w:val="10"/>
  </w:num>
  <w:num w:numId="32">
    <w:abstractNumId w:val="17"/>
  </w:num>
  <w:num w:numId="33">
    <w:abstractNumId w:val="39"/>
  </w:num>
  <w:num w:numId="34">
    <w:abstractNumId w:val="8"/>
  </w:num>
  <w:num w:numId="35">
    <w:abstractNumId w:val="22"/>
  </w:num>
  <w:num w:numId="36">
    <w:abstractNumId w:val="36"/>
  </w:num>
  <w:num w:numId="37">
    <w:abstractNumId w:val="5"/>
  </w:num>
  <w:num w:numId="38">
    <w:abstractNumId w:val="3"/>
  </w:num>
  <w:num w:numId="39">
    <w:abstractNumId w:val="15"/>
  </w:num>
  <w:num w:numId="40">
    <w:abstractNumId w:val="27"/>
  </w:num>
  <w:num w:numId="41">
    <w:abstractNumId w:val="21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F"/>
    <w:rsid w:val="000137DD"/>
    <w:rsid w:val="00025BF7"/>
    <w:rsid w:val="00214957"/>
    <w:rsid w:val="00361A79"/>
    <w:rsid w:val="00404098"/>
    <w:rsid w:val="00524BD9"/>
    <w:rsid w:val="0053224F"/>
    <w:rsid w:val="00543174"/>
    <w:rsid w:val="00580F98"/>
    <w:rsid w:val="005F4BE4"/>
    <w:rsid w:val="006E15F7"/>
    <w:rsid w:val="007047DA"/>
    <w:rsid w:val="00717104"/>
    <w:rsid w:val="0079344B"/>
    <w:rsid w:val="007D2E73"/>
    <w:rsid w:val="00891AB1"/>
    <w:rsid w:val="00920F1F"/>
    <w:rsid w:val="00945091"/>
    <w:rsid w:val="00991714"/>
    <w:rsid w:val="00993411"/>
    <w:rsid w:val="009A68B2"/>
    <w:rsid w:val="00A57F1C"/>
    <w:rsid w:val="00A7779E"/>
    <w:rsid w:val="00A81F01"/>
    <w:rsid w:val="00AA610F"/>
    <w:rsid w:val="00AE189C"/>
    <w:rsid w:val="00AF499A"/>
    <w:rsid w:val="00AF6043"/>
    <w:rsid w:val="00B1039B"/>
    <w:rsid w:val="00BB1F90"/>
    <w:rsid w:val="00C41E6D"/>
    <w:rsid w:val="00C547D4"/>
    <w:rsid w:val="00CC0A3E"/>
    <w:rsid w:val="00CC696E"/>
    <w:rsid w:val="00CF03BF"/>
    <w:rsid w:val="00D5347F"/>
    <w:rsid w:val="00DB787F"/>
    <w:rsid w:val="00DC23CE"/>
    <w:rsid w:val="00DD4923"/>
    <w:rsid w:val="00DF72BC"/>
    <w:rsid w:val="00E164E2"/>
    <w:rsid w:val="00E2117E"/>
    <w:rsid w:val="00E3618D"/>
    <w:rsid w:val="00E616D0"/>
    <w:rsid w:val="00EA1D70"/>
    <w:rsid w:val="00EF23EC"/>
    <w:rsid w:val="00F35C45"/>
    <w:rsid w:val="00F90A3B"/>
    <w:rsid w:val="00F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3866"/>
  <w15:chartTrackingRefBased/>
  <w15:docId w15:val="{B79163FA-6468-E949-A5CE-52CD0575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4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0F1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20F1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0F1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F1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0F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0F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20F1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0F1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5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4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in-w-0">
    <w:name w:val="min-w-0"/>
    <w:basedOn w:val="DefaultParagraphFont"/>
    <w:rsid w:val="00D5347F"/>
  </w:style>
  <w:style w:type="character" w:styleId="Emphasis">
    <w:name w:val="Emphasis"/>
    <w:basedOn w:val="DefaultParagraphFont"/>
    <w:uiPriority w:val="20"/>
    <w:qFormat/>
    <w:rsid w:val="00D5347F"/>
    <w:rPr>
      <w:i/>
      <w:iCs/>
    </w:rPr>
  </w:style>
  <w:style w:type="paragraph" w:styleId="ListParagraph">
    <w:name w:val="List Paragraph"/>
    <w:basedOn w:val="Normal"/>
    <w:uiPriority w:val="34"/>
    <w:qFormat/>
    <w:rsid w:val="00AF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1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7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Dr.Kh. Shahnewaj</dc:creator>
  <cp:keywords/>
  <dc:description/>
  <cp:lastModifiedBy>Dr.Kh. Shahnewaj</cp:lastModifiedBy>
  <cp:revision>2</cp:revision>
  <dcterms:created xsi:type="dcterms:W3CDTF">2025-10-05T16:14:00Z</dcterms:created>
  <dcterms:modified xsi:type="dcterms:W3CDTF">2025-10-05T16:14:00Z</dcterms:modified>
</cp:coreProperties>
</file>