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SkinSense AI — Project Analysis</w:t>
      </w:r>
    </w:p>
    <w:p>
      <w:r>
        <w:rPr>
          <w:sz w:val="21"/>
        </w:rPr>
        <w:t>**Academic Image and Video Processing (IVP) System**</w:t>
      </w:r>
    </w:p>
    <w:p>
      <w:pPr>
        <w:pStyle w:val="Heading2"/>
      </w:pPr>
      <w:r>
        <w:rPr>
          <w:rFonts w:ascii="Georgia" w:hAnsi="Georgia"/>
          <w:color w:val="D9726B"/>
        </w:rPr>
        <w:t>1. Executive Summary &amp; Problem Formulation</w:t>
      </w:r>
    </w:p>
    <w:p>
      <w:r>
        <w:rPr>
          <w:sz w:val="21"/>
        </w:rPr>
        <w:t>Consumer skincare applications frequently suffer from two critical shortcomings:</w:t>
      </w:r>
    </w:p>
    <w:p>
      <w:r>
        <w:rPr>
          <w:sz w:val="21"/>
        </w:rPr>
        <w:t>1. **Unscientific Heuristics:** Many mobile tools generate fabricated severity scores without publishing reproducible mathematical formulas or image quality validation.</w:t>
      </w:r>
    </w:p>
    <w:p>
      <w:r>
        <w:rPr>
          <w:sz w:val="21"/>
        </w:rPr>
        <w:t>2. **Privacy Vulnerabilities:** Many commercial apps upload unencrypted facial imagery to third-party cloud servers without separating image processing consent from permanent image storage.</w:t>
      </w:r>
    </w:p>
    <w:p>
      <w:r>
        <w:rPr>
          <w:sz w:val="21"/>
        </w:rPr>
        <w:t>**SkinSense AI** addresses these challenges by implementing an academic-grade, privacy-first computer-vision pipeline. The system combines classical image operators (Laplacian variance, luminance histograms, CIE $L^*a^*b^*$ color space Euclidean distance) with deep-learning object detectors (YOLO ONNX runtime) and 468-point facial mesh anthropometry (MediaPipe).</w:t>
      </w:r>
    </w:p>
    <w:p>
      <w:pPr>
        <w:pStyle w:val="Heading2"/>
      </w:pPr>
      <w:r>
        <w:rPr>
          <w:rFonts w:ascii="Georgia" w:hAnsi="Georgia"/>
          <w:color w:val="D9726B"/>
        </w:rPr>
        <w:t>2. Technical Requirements &amp; System Architecture</w:t>
      </w:r>
    </w:p>
    <w:p>
      <w:pPr>
        <w:pStyle w:val="Heading3"/>
      </w:pPr>
      <w:r>
        <w:rPr>
          <w:rFonts w:ascii="Georgia" w:hAnsi="Georgia"/>
          <w:color w:val="3B3330"/>
        </w:rPr>
        <w:t>2.1 Backend Pipeline (Python 3.11+ / FastAPI / SQLite)</w:t>
      </w:r>
    </w:p>
    <w:p>
      <w:pPr>
        <w:pStyle w:val="ListBullet"/>
      </w:pPr>
      <w:r>
        <w:t>**FastAPI Core:** Asynchronous routing, OpenAPI auto-documentation, Pydantic v2 schemas.</w:t>
      </w:r>
    </w:p>
    <w:p>
      <w:pPr>
        <w:pStyle w:val="ListBullet"/>
      </w:pPr>
      <w:r>
        <w:t>**Image Processing Engine:** OpenCV, SciPy, Pillow, and Scikit-Image.</w:t>
      </w:r>
    </w:p>
    <w:p>
      <w:pPr>
        <w:pStyle w:val="ListBullet"/>
      </w:pPr>
      <w:r>
        <w:t>**Machine Learning Layer:** ONNX Runtime executing pretrained YOLO weights (`zikabyte/skin-problem-detection-demo`).</w:t>
      </w:r>
    </w:p>
    <w:p>
      <w:pPr>
        <w:pStyle w:val="ListBullet"/>
      </w:pPr>
      <w:r>
        <w:t>**Database:** SQLAlchemy 2.0 with SQLite, enforcing foreign keys via `PRAGMA foreign_keys=ON`.</w:t>
      </w:r>
    </w:p>
    <w:p>
      <w:pPr>
        <w:pStyle w:val="ListBullet"/>
      </w:pPr>
      <w:r>
        <w:t>**Authentication:** Bcrypt password hashing and HMAC-SHA256 JWT tokens.</w:t>
      </w:r>
    </w:p>
    <w:p>
      <w:pPr>
        <w:pStyle w:val="Heading3"/>
      </w:pPr>
      <w:r>
        <w:rPr>
          <w:rFonts w:ascii="Georgia" w:hAnsi="Georgia"/>
          <w:color w:val="3B3330"/>
        </w:rPr>
        <w:t>2.2 Frontend Application (React / Vite)</w:t>
      </w:r>
    </w:p>
    <w:p>
      <w:pPr>
        <w:pStyle w:val="ListBullet"/>
      </w:pPr>
      <w:r>
        <w:t>**Visual Identity:** Warm ivory (`#FAF7F2`), cream (`#F5EFEB`), blush pink (`#E88B84`), and soft coral (`#D9726B`).</w:t>
      </w:r>
    </w:p>
    <w:p>
      <w:pPr>
        <w:pStyle w:val="ListBullet"/>
      </w:pPr>
      <w:r>
        <w:t>**Typography:** Serif headings (*Cormorant Garamond*) paired with clean sans-serif body (*Plus Jakarta Sans*).</w:t>
      </w:r>
    </w:p>
    <w:p>
      <w:pPr>
        <w:pStyle w:val="ListBullet"/>
      </w:pPr>
      <w:r>
        <w:t>**Interactive Visualizations:** Circular arc gauge for the Visual Concern Index, Recharts trend lines, interactive before/after split sliders, and multi-region segmentation overlays.</w:t>
      </w:r>
    </w:p>
    <w:p>
      <w:pPr>
        <w:pStyle w:val="ListBullet"/>
      </w:pPr>
      <w:r>
        <w:t>**Landmark Extraction:** MediaPipe Face Landmarker browser package.</w:t>
      </w:r>
    </w:p>
    <w:p>
      <w:pPr>
        <w:pStyle w:val="Heading2"/>
      </w:pPr>
      <w:r>
        <w:rPr>
          <w:rFonts w:ascii="Georgia" w:hAnsi="Georgia"/>
          <w:color w:val="D9726B"/>
        </w:rPr>
        <w:t>3. Algorithm Specifications</w:t>
      </w:r>
    </w:p>
    <w:p>
      <w:pPr>
        <w:pStyle w:val="Heading3"/>
      </w:pPr>
      <w:r>
        <w:rPr>
          <w:rFonts w:ascii="Georgia" w:hAnsi="Georgia"/>
          <w:color w:val="3B3330"/>
        </w:rPr>
        <w:t>3.1 Laplacian Sharpness Gate</w:t>
      </w:r>
    </w:p>
    <w:p>
      <w:r>
        <w:rPr>
          <w:sz w:val="21"/>
        </w:rPr>
        <w:t>$$\text{Var}(\nabla^2 I) = \frac{1}{N} \sum_{x,y} \left( (\nabla^2 I)(x,y) - \mu_{\nabla^2 I} \right)^2 \ge 40.0$$</w:t>
      </w:r>
    </w:p>
    <w:p>
      <w:r>
        <w:rPr>
          <w:sz w:val="21"/>
        </w:rPr>
        <w:t>Prevents blurry or out-of-focus imagery from distorting downstream lesion detection.</w:t>
      </w:r>
    </w:p>
    <w:p>
      <w:pPr>
        <w:pStyle w:val="Heading3"/>
      </w:pPr>
      <w:r>
        <w:rPr>
          <w:rFonts w:ascii="Georgia" w:hAnsi="Georgia"/>
          <w:color w:val="3B3330"/>
        </w:rPr>
        <w:t>3.2 CIE $L^*a^*b^*$ Perceptual Color Disparity</w:t>
      </w:r>
    </w:p>
    <w:p>
      <w:r>
        <w:rPr>
          <w:sz w:val="21"/>
        </w:rPr>
        <w:t>$$\Delta E^*_{ab} = \sqrt{(\Delta L^*)^2 + (\Delta a^*)^2 + (\Delta b^*)^2}$$</w:t>
      </w:r>
    </w:p>
    <w:p>
      <w:r>
        <w:rPr>
          <w:sz w:val="21"/>
        </w:rPr>
        <w:t>Measures the objective contrast between under-eye skin and neighboring reference cheek skin.</w:t>
      </w:r>
    </w:p>
    <w:p>
      <w:pPr>
        <w:pStyle w:val="Heading3"/>
      </w:pPr>
      <w:r>
        <w:rPr>
          <w:rFonts w:ascii="Georgia" w:hAnsi="Georgia"/>
          <w:color w:val="3B3330"/>
        </w:rPr>
        <w:t>3.3 Dynamic Weight Renormalization</w:t>
      </w:r>
    </w:p>
    <w:p>
      <w:r>
        <w:rPr>
          <w:sz w:val="21"/>
        </w:rPr>
        <w:t>$$w_i^{\text{eff}} = \frac{w_i}{\sum_{k \in \text{valid}} w_k}$$</w:t>
      </w:r>
    </w:p>
    <w:p>
      <w:r>
        <w:rPr>
          <w:sz w:val="21"/>
        </w:rPr>
        <w:t>Transparently recalculates composite concern index weights when an indicator is unavailable.</w:t>
      </w:r>
    </w:p>
    <w:p>
      <w:pPr>
        <w:pStyle w:val="Heading2"/>
      </w:pPr>
      <w:r>
        <w:rPr>
          <w:rFonts w:ascii="Georgia" w:hAnsi="Georgia"/>
          <w:color w:val="D9726B"/>
        </w:rPr>
        <w:t>4. Ethical Safeguards &amp; Clinical Boundaries</w:t>
      </w:r>
    </w:p>
    <w:p>
      <w:r>
        <w:rPr>
          <w:sz w:val="21"/>
        </w:rPr>
        <w:t>1. **Zero Data Retention Without Consent:** Processing can occur in RAM; photo retention is strictly opt-in.</w:t>
      </w:r>
    </w:p>
    <w:p>
      <w:r>
        <w:rPr>
          <w:sz w:val="21"/>
        </w:rPr>
        <w:t>2. **High-Concern Active Exfoliation Suppression:** When VCI $\ge 75$ or acne count $\ge 10$, aggressive BHA/retinoids are suppressed, barrier repair is promoted, and an in-person dermatology consultation notice is displayed.</w:t>
      </w:r>
    </w:p>
    <w:p>
      <w:r>
        <w:rPr>
          <w:sz w:val="21"/>
        </w:rPr>
        <w:t>3. **Prohibited Substances:** Deterministic blocking of dangerous DIY hacks (raw lemon, garlic, baking soda, toothpaste, open-wound acids).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