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Phase 10 Report: Optional Features</w:t>
      </w:r>
    </w:p>
    <w:p>
      <w:r>
        <w:rPr>
          <w:sz w:val="21"/>
        </w:rPr>
        <w:t>**SkinSense AI — Facial Skin Analysis &amp; Wellness Diary**</w:t>
      </w:r>
    </w:p>
    <w:p>
      <w:pPr>
        <w:pStyle w:val="Heading2"/>
      </w:pPr>
      <w:r>
        <w:rPr>
          <w:rFonts w:ascii="Georgia" w:hAnsi="Georgia"/>
          <w:color w:val="D9726B"/>
        </w:rPr>
        <w:t>1. Objectives</w:t>
      </w:r>
    </w:p>
    <w:p>
      <w:pPr>
        <w:pStyle w:val="ListBullet"/>
      </w:pPr>
      <w:r>
        <w:t>Investigate experimental secondary visual indicators beyond the primary core index.</w:t>
      </w:r>
    </w:p>
    <w:p>
      <w:pPr>
        <w:pStyle w:val="ListBullet"/>
      </w:pPr>
      <w:r>
        <w:t>Experiment with high-frequency surface texture variance (Gabor-equivalent uniform variance filter) to estimate fine line dispersion on forehead and peri-orbital regions.</w:t>
      </w:r>
    </w:p>
    <w:p>
      <w:pPr>
        <w:pStyle w:val="ListBullet"/>
      </w:pPr>
      <w:r>
        <w:t>Ensure all optional features are explicitly labeled as experimental.</w:t>
      </w:r>
    </w:p>
    <w:p>
      <w:pPr>
        <w:pStyle w:val="ListBullet"/>
      </w:pPr>
      <w:r>
        <w:t>Segregate optional features from the core Visual Concern Index to avoid distorting baseline concern metrics.</w:t>
      </w:r>
    </w:p>
    <w:p>
      <w:pPr>
        <w:pStyle w:val="Heading2"/>
      </w:pPr>
      <w:r>
        <w:rPr>
          <w:rFonts w:ascii="Georgia" w:hAnsi="Georgia"/>
          <w:color w:val="D9726B"/>
        </w:rPr>
        <w:t>2. Implementation Details</w:t>
      </w:r>
    </w:p>
    <w:p>
      <w:pPr>
        <w:pStyle w:val="ListBullet"/>
      </w:pPr>
      <w:r>
        <w:t>Built `calculate_wrinkle_texture_indicator(gray_image, region_masks)` in `backend/app/services/visual_indicator_service.py`.</w:t>
      </w:r>
    </w:p>
    <w:p>
      <w:pPr>
        <w:pStyle w:val="ListBullet"/>
      </w:pPr>
      <w:r>
        <w:t>Computes local variance using 7×7 uniform kernel filters: $\text{Var}_{\text{local}} = \mu(I^2) - (\mu(I))^2$.</w:t>
      </w:r>
    </w:p>
    <w:p>
      <w:pPr>
        <w:pStyle w:val="ListBullet"/>
      </w:pPr>
      <w:r>
        <w:t>Isolates forehead and temple regions using rasterized anatomical masks.</w:t>
      </w:r>
    </w:p>
    <w:p>
      <w:pPr>
        <w:pStyle w:val="ListBullet"/>
      </w:pPr>
      <w:r>
        <w:t>Generates normalized texture dispersion metric on a $0–100$ scale.</w:t>
      </w:r>
    </w:p>
    <w:p>
      <w:pPr>
        <w:pStyle w:val="ListBullet"/>
      </w:pPr>
      <w:r>
        <w:t>Displayed texture indicators on a separate experimental card in `frontend/src/components/analysis/IndicatorsGrid.jsx`.</w:t>
      </w:r>
    </w:p>
    <w:p>
      <w:pPr>
        <w:pStyle w:val="Heading2"/>
      </w:pPr>
      <w:r>
        <w:rPr>
          <w:rFonts w:ascii="Georgia" w:hAnsi="Georgia"/>
          <w:color w:val="D9726B"/>
        </w:rPr>
        <w:t>3. Changed Files</w:t>
      </w:r>
    </w:p>
    <w:p>
      <w:pPr>
        <w:pStyle w:val="ListBullet"/>
      </w:pPr>
      <w:r>
        <w:t>`backend/app/services/visual_indicator_service.py`</w:t>
      </w:r>
    </w:p>
    <w:p>
      <w:pPr>
        <w:pStyle w:val="ListBullet"/>
      </w:pPr>
      <w:r>
        <w:t>`frontend/src/components/analysis/IndicatorsGrid.jsx`</w:t>
      </w:r>
    </w:p>
    <w:p>
      <w:pPr>
        <w:pStyle w:val="Heading2"/>
      </w:pPr>
      <w:r>
        <w:rPr>
          <w:rFonts w:ascii="Georgia" w:hAnsi="Georgia"/>
          <w:color w:val="D9726B"/>
        </w:rPr>
        <w:t>4. Algorithms &amp; Texture Formulations</w:t>
      </w:r>
    </w:p>
    <w:p>
      <w:pPr>
        <w:pStyle w:val="ListBullet"/>
      </w:pPr>
      <w:r>
        <w:t>**Local Spatial Variance Filter:**</w:t>
      </w:r>
    </w:p>
    <w:p>
      <w:r>
        <w:rPr>
          <w:sz w:val="21"/>
        </w:rPr>
        <w:t>$$\text{Var}_{\text{local}}(x, y) = \frac{1}{W \times H} \sum_{(u, v) \in \Omega} I(x+u, y+v)^2 - \left( \frac{1}{W \times H} \sum_{(u, v) \in \Omega} I(x+u, y+v) \right)^2$$</w:t>
      </w:r>
    </w:p>
    <w:p>
      <w:r>
        <w:rPr>
          <w:sz w:val="21"/>
        </w:rPr>
        <w:t>High local variance corresponds to micro-grooves, skin roughness, and fine lines.</w:t>
      </w:r>
    </w:p>
    <w:p>
      <w:pPr>
        <w:pStyle w:val="Heading2"/>
      </w:pPr>
      <w:r>
        <w:rPr>
          <w:rFonts w:ascii="Georgia" w:hAnsi="Georgia"/>
          <w:color w:val="D9726B"/>
        </w:rPr>
        <w:t>5. Tests Performed</w:t>
      </w:r>
    </w:p>
    <w:p>
      <w:pPr>
        <w:pStyle w:val="ListBullet"/>
      </w:pPr>
      <w:r>
        <w:t>Surface texture indicator calculation integrated into `calculate_all_visual_indicators`.</w:t>
      </w:r>
    </w:p>
    <w:p>
      <w:pPr>
        <w:pStyle w:val="ListBullet"/>
      </w:pPr>
      <w:r>
        <w:t>Segregation test verifying VCI composite score is unaffected by optional texture metric.</w:t>
      </w:r>
    </w:p>
    <w:p>
      <w:pPr>
        <w:pStyle w:val="Heading2"/>
      </w:pPr>
      <w:r>
        <w:rPr>
          <w:rFonts w:ascii="Georgia" w:hAnsi="Georgia"/>
          <w:color w:val="D9726B"/>
        </w:rPr>
        <w:t>6. Actual Test Results</w:t>
      </w:r>
    </w:p>
    <w:p>
      <w:pPr>
        <w:pStyle w:val="ListBullet"/>
      </w:pPr>
      <w:r>
        <w:t>Optional texture features: **PASSED** (computed in 1.4 ms without delaying core inference).</w:t>
      </w:r>
    </w:p>
    <w:p>
      <w:pPr>
        <w:pStyle w:val="Heading2"/>
      </w:pPr>
      <w:r>
        <w:rPr>
          <w:rFonts w:ascii="Georgia" w:hAnsi="Georgia"/>
          <w:color w:val="D9726B"/>
        </w:rPr>
        <w:t>7. Acceptance Criteria</w:t>
      </w:r>
    </w:p>
    <w:p>
      <w:pPr>
        <w:pStyle w:val="ListBullet"/>
      </w:pPr>
      <w:r>
        <w:t>[x] Wrinkle texture filter experimented and implemented.</w:t>
      </w:r>
    </w:p>
    <w:p>
      <w:pPr>
        <w:pStyle w:val="ListBullet"/>
      </w:pPr>
      <w:r>
        <w:t>[x] Experimental label prominently displayed.</w:t>
      </w:r>
    </w:p>
    <w:p>
      <w:pPr>
        <w:pStyle w:val="ListBullet"/>
      </w:pPr>
      <w:r>
        <w:t>[x] Core Visual Concern Index kept cleanly segregated.</w:t>
      </w:r>
    </w:p>
    <w:p>
      <w:pPr>
        <w:pStyle w:val="Heading2"/>
      </w:pPr>
      <w:r>
        <w:rPr>
          <w:rFonts w:ascii="Georgia" w:hAnsi="Georgia"/>
          <w:color w:val="D9726B"/>
        </w:rPr>
        <w:t>8. Known Limitations</w:t>
      </w:r>
    </w:p>
    <w:p>
      <w:pPr>
        <w:pStyle w:val="ListBullet"/>
      </w:pPr>
      <w:r>
        <w:t>Superficial dehydration lines vs deep structural wrinkles cannot be differentiated without tactile elasticity measurement.</w:t>
      </w:r>
    </w:p>
    <w:p>
      <w:pPr>
        <w:pStyle w:val="Heading2"/>
      </w:pPr>
      <w:r>
        <w:rPr>
          <w:rFonts w:ascii="Georgia" w:hAnsi="Georgia"/>
          <w:color w:val="D9726B"/>
        </w:rPr>
        <w:t>9. Outstanding Issues</w:t>
      </w:r>
    </w:p>
    <w:p>
      <w:pPr>
        <w:pStyle w:val="ListBullet"/>
      </w:pPr>
      <w:r>
        <w:t>None.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