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20"/>
        <w:jc w:val="center"/>
      </w:pPr>
      <w:r>
        <w:rPr>
          <w:rFonts w:ascii="Arial" w:hAnsi="Arial"/>
          <w:b/>
          <w:color w:val="0F172A"/>
          <w:sz w:val="44"/>
        </w:rPr>
        <w:t>MCA21 RISK INTELLIGENCE PORTAL</w:t>
      </w:r>
    </w:p>
    <w:p>
      <w:pPr>
        <w:spacing w:after="720"/>
        <w:jc w:val="center"/>
      </w:pPr>
      <w:r>
        <w:rPr>
          <w:rFonts w:ascii="Arial" w:hAnsi="Arial"/>
          <w:color w:val="64748B"/>
          <w:sz w:val="24"/>
        </w:rPr>
        <w:t>Technical Documentation: Scoring Engine &amp; Louvain Clustering</w:t>
      </w:r>
    </w:p>
    <w:p>
      <w:pPr>
        <w:spacing w:after="480"/>
        <w:jc w:val="center"/>
      </w:pPr>
      <w:r>
        <w:rPr>
          <w:color w:val="E2E8F0"/>
        </w:rPr>
        <w:t>__________________________________________________________________</w:t>
      </w:r>
    </w:p>
    <w:p>
      <w:pPr>
        <w:keepNext/>
        <w:spacing w:before="240" w:after="120"/>
      </w:pPr>
      <w:r>
        <w:rPr>
          <w:rFonts w:ascii="Arial" w:hAnsi="Arial"/>
          <w:b/>
          <w:color w:val="0F172A"/>
          <w:sz w:val="36"/>
        </w:rPr>
        <w:t>1. Executive Summary</w:t>
      </w:r>
    </w:p>
    <w:p>
      <w:pPr>
        <w:spacing w:after="120" w:line="276" w:lineRule="auto"/>
      </w:pPr>
      <w:r>
        <w:rPr>
          <w:rFonts w:ascii="Arial" w:hAnsi="Arial"/>
          <w:color w:val="334155"/>
          <w:sz w:val="21"/>
        </w:rPr>
        <w:t>The MCA21 Risk Intelligence Portal is an advanced decision-support platform designed to screen, identify, and visualize corporate shell companies and complex loan-siphoning networks. By integrating relational data, bank charges (CERSAI), and default records (RBI) into a unified heterogeneous network graph, the portal provides investigators with automated, mathematical indicators of corporate collusion. The system leverages two core technologies to achieve high-accuracy screening: the Louvain Community Detection algorithm for syndicate grouping, and a Z-Score calibrated 5-Factor Risk Engine for entity profiling.</w:t>
      </w:r>
    </w:p>
    <w:p>
      <w:pPr>
        <w:keepNext/>
        <w:spacing w:before="240" w:after="120"/>
      </w:pPr>
      <w:r>
        <w:rPr>
          <w:rFonts w:ascii="Arial" w:hAnsi="Arial"/>
          <w:b/>
          <w:color w:val="0F172A"/>
          <w:sz w:val="36"/>
        </w:rPr>
        <w:t>2. Z-Score Calibrated 5-Factor Risk Engine</w:t>
      </w:r>
    </w:p>
    <w:p>
      <w:pPr>
        <w:spacing w:after="120" w:line="276" w:lineRule="auto"/>
      </w:pPr>
      <w:r>
        <w:rPr>
          <w:rFonts w:ascii="Arial" w:hAnsi="Arial"/>
          <w:color w:val="334155"/>
          <w:sz w:val="21"/>
        </w:rPr>
        <w:t>Standard heuristic screening models often suffer from high false-positive rates when encountering legitimate business edge cases, such as corporate service providers or Chartered Accountants hosting hundreds of clean businesses. To mitigate this, the scoring engine runs a two-step normalization and weighting process.</w:t>
      </w:r>
    </w:p>
    <w:p>
      <w:pPr>
        <w:keepNext/>
        <w:spacing w:before="240" w:after="120"/>
      </w:pPr>
      <w:r>
        <w:rPr>
          <w:rFonts w:ascii="Arial" w:hAnsi="Arial"/>
          <w:b/>
          <w:color w:val="1E293B"/>
          <w:sz w:val="28"/>
        </w:rPr>
        <w:t>2.1 Baseline Calibration (Z-Score Normalization)</w:t>
      </w:r>
    </w:p>
    <w:p>
      <w:pPr>
        <w:spacing w:after="120" w:line="276" w:lineRule="auto"/>
      </w:pPr>
      <w:r>
        <w:rPr>
          <w:rFonts w:ascii="Arial" w:hAnsi="Arial"/>
          <w:color w:val="334155"/>
          <w:sz w:val="21"/>
        </w:rPr>
        <w:t>First, the scoring engine analyzes the background dataset of normal/legitimate companies to determine typical statistics (mean and standard deviation) for network connectivity. For any target company, its raw signal values (e.g., number of co-registered companies, director degrees) are compared using a Z-score calculation. If the Z-score does not exceed the designated threshold (e.g., Z = 2.0), the company receives a risk score of 0. This ensures that ordinary shared resources are not flagged as anomalous.</w:t>
      </w:r>
    </w:p>
    <w:p>
      <w:pPr>
        <w:keepNext/>
        <w:spacing w:before="240" w:after="120"/>
      </w:pPr>
      <w:r>
        <w:rPr>
          <w:rFonts w:ascii="Arial" w:hAnsi="Arial"/>
          <w:b/>
          <w:color w:val="1E293B"/>
          <w:sz w:val="28"/>
        </w:rPr>
        <w:t>2.2 5-Factor Composite Score Calculation</w:t>
      </w:r>
    </w:p>
    <w:p>
      <w:pPr>
        <w:spacing w:after="120" w:line="276" w:lineRule="auto"/>
      </w:pPr>
      <w:r>
        <w:rPr>
          <w:rFonts w:ascii="Arial" w:hAnsi="Arial"/>
          <w:color w:val="334155"/>
          <w:sz w:val="21"/>
        </w:rPr>
        <w:t>For companies deviating from the baseline statistics, a composite screening score (0 to 100) is calculated using a weighted average of five distinct network and registry metrics:</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0F172A"/>
            <w:tcMar>
              <w:top w:w="120" w:type="dxa"/>
              <w:bottom w:w="120" w:type="dxa"/>
              <w:left w:w="180" w:type="dxa"/>
              <w:right w:w="180" w:type="dxa"/>
            </w:tcMar>
          </w:tcPr>
          <w:p>
            <w:r>
              <w:rPr>
                <w:rFonts w:ascii="Arial" w:hAnsi="Arial"/>
                <w:b/>
                <w:color w:val="FFFFFF"/>
                <w:sz w:val="20"/>
              </w:rPr>
              <w:t>Risk Factor</w:t>
            </w:r>
          </w:p>
        </w:tc>
        <w:tc>
          <w:tcPr>
            <w:tcW w:type="dxa" w:w="3120"/>
            <w:shd w:val="clear" w:color="auto" w:fill="0F172A"/>
            <w:tcMar>
              <w:top w:w="120" w:type="dxa"/>
              <w:bottom w:w="120" w:type="dxa"/>
              <w:left w:w="180" w:type="dxa"/>
              <w:right w:w="180" w:type="dxa"/>
            </w:tcMar>
          </w:tcPr>
          <w:p>
            <w:r>
              <w:rPr>
                <w:rFonts w:ascii="Arial" w:hAnsi="Arial"/>
                <w:b/>
                <w:color w:val="FFFFFF"/>
                <w:sz w:val="20"/>
              </w:rPr>
              <w:t>Weight</w:t>
            </w:r>
          </w:p>
        </w:tc>
        <w:tc>
          <w:tcPr>
            <w:tcW w:type="dxa" w:w="3120"/>
            <w:shd w:val="clear" w:color="auto" w:fill="0F172A"/>
            <w:tcMar>
              <w:top w:w="120" w:type="dxa"/>
              <w:bottom w:w="120" w:type="dxa"/>
              <w:left w:w="180" w:type="dxa"/>
              <w:right w:w="180" w:type="dxa"/>
            </w:tcMar>
          </w:tcPr>
          <w:p>
            <w:r>
              <w:rPr>
                <w:rFonts w:ascii="Arial" w:hAnsi="Arial"/>
                <w:b/>
                <w:color w:val="FFFFFF"/>
                <w:sz w:val="20"/>
              </w:rPr>
              <w:t>Detection Objective</w:t>
            </w:r>
          </w:p>
        </w:tc>
      </w:tr>
      <w:tr>
        <w:tc>
          <w:tcPr>
            <w:tcW w:type="dxa" w:w="3120"/>
            <w:shd w:val="clear" w:color="auto" w:fill="F8FAFC"/>
            <w:tcMar>
              <w:top w:w="100" w:type="dxa"/>
              <w:bottom w:w="100" w:type="dxa"/>
              <w:left w:w="150" w:type="dxa"/>
              <w:right w:w="150" w:type="dxa"/>
            </w:tcMar>
          </w:tcPr>
          <w:p>
            <w:r>
              <w:rPr>
                <w:rFonts w:ascii="Arial" w:hAnsi="Arial"/>
                <w:color w:val="334155"/>
                <w:sz w:val="19"/>
              </w:rPr>
              <w:t>Address Centrality Risk</w:t>
            </w:r>
          </w:p>
        </w:tc>
        <w:tc>
          <w:tcPr>
            <w:tcW w:type="dxa" w:w="3120"/>
            <w:shd w:val="clear" w:color="auto" w:fill="F8FAFC"/>
            <w:tcMar>
              <w:top w:w="100" w:type="dxa"/>
              <w:bottom w:w="100" w:type="dxa"/>
              <w:left w:w="150" w:type="dxa"/>
              <w:right w:w="150" w:type="dxa"/>
            </w:tcMar>
          </w:tcPr>
          <w:p>
            <w:pPr>
              <w:jc w:val="center"/>
            </w:pPr>
            <w:r>
              <w:rPr>
                <w:rFonts w:ascii="Arial" w:hAnsi="Arial"/>
                <w:b/>
                <w:color w:val="334155"/>
                <w:sz w:val="19"/>
              </w:rPr>
              <w:t>25%</w:t>
            </w:r>
          </w:p>
        </w:tc>
        <w:tc>
          <w:tcPr>
            <w:tcW w:type="dxa" w:w="3120"/>
            <w:shd w:val="clear" w:color="auto" w:fill="F8FAFC"/>
            <w:tcMar>
              <w:top w:w="100" w:type="dxa"/>
              <w:bottom w:w="100" w:type="dxa"/>
              <w:left w:w="150" w:type="dxa"/>
              <w:right w:w="150" w:type="dxa"/>
            </w:tcMar>
          </w:tcPr>
          <w:p>
            <w:r>
              <w:rPr>
                <w:rFonts w:ascii="Arial" w:hAnsi="Arial"/>
                <w:color w:val="334155"/>
                <w:sz w:val="19"/>
              </w:rPr>
              <w:t>Identifies addresses sharing an anomalous number of registered corporate entities based on background stats.</w:t>
            </w:r>
          </w:p>
        </w:tc>
      </w:tr>
      <w:tr>
        <w:tc>
          <w:tcPr>
            <w:tcW w:type="dxa" w:w="3120"/>
            <w:shd w:val="clear" w:color="auto" w:fill="FFFFFF"/>
            <w:tcMar>
              <w:top w:w="100" w:type="dxa"/>
              <w:bottom w:w="100" w:type="dxa"/>
              <w:left w:w="150" w:type="dxa"/>
              <w:right w:w="150" w:type="dxa"/>
            </w:tcMar>
          </w:tcPr>
          <w:p>
            <w:r>
              <w:rPr>
                <w:rFonts w:ascii="Arial" w:hAnsi="Arial"/>
                <w:color w:val="334155"/>
                <w:sz w:val="19"/>
              </w:rPr>
              <w:t>Director Boarding Degree</w:t>
            </w:r>
          </w:p>
        </w:tc>
        <w:tc>
          <w:tcPr>
            <w:tcW w:type="dxa" w:w="3120"/>
            <w:shd w:val="clear" w:color="auto" w:fill="FFFFFF"/>
            <w:tcMar>
              <w:top w:w="100" w:type="dxa"/>
              <w:bottom w:w="100" w:type="dxa"/>
              <w:left w:w="150" w:type="dxa"/>
              <w:right w:w="150" w:type="dxa"/>
            </w:tcMar>
          </w:tcPr>
          <w:p>
            <w:pPr>
              <w:jc w:val="center"/>
            </w:pPr>
            <w:r>
              <w:rPr>
                <w:rFonts w:ascii="Arial" w:hAnsi="Arial"/>
                <w:b/>
                <w:color w:val="334155"/>
                <w:sz w:val="19"/>
              </w:rPr>
              <w:t>25%</w:t>
            </w:r>
          </w:p>
        </w:tc>
        <w:tc>
          <w:tcPr>
            <w:tcW w:type="dxa" w:w="3120"/>
            <w:shd w:val="clear" w:color="auto" w:fill="FFFFFF"/>
            <w:tcMar>
              <w:top w:w="100" w:type="dxa"/>
              <w:bottom w:w="100" w:type="dxa"/>
              <w:left w:w="150" w:type="dxa"/>
              <w:right w:w="150" w:type="dxa"/>
            </w:tcMar>
          </w:tcPr>
          <w:p>
            <w:r>
              <w:rPr>
                <w:rFonts w:ascii="Arial" w:hAnsi="Arial"/>
                <w:color w:val="334155"/>
                <w:sz w:val="19"/>
              </w:rPr>
              <w:t>Detects nominee directors serving on an excessive number of boards, exceeding statutory or practical limits.</w:t>
            </w:r>
          </w:p>
        </w:tc>
      </w:tr>
      <w:tr>
        <w:tc>
          <w:tcPr>
            <w:tcW w:type="dxa" w:w="3120"/>
            <w:shd w:val="clear" w:color="auto" w:fill="F8FAFC"/>
            <w:tcMar>
              <w:top w:w="100" w:type="dxa"/>
              <w:bottom w:w="100" w:type="dxa"/>
              <w:left w:w="150" w:type="dxa"/>
              <w:right w:w="150" w:type="dxa"/>
            </w:tcMar>
          </w:tcPr>
          <w:p>
            <w:r>
              <w:rPr>
                <w:rFonts w:ascii="Arial" w:hAnsi="Arial"/>
                <w:color w:val="334155"/>
                <w:sz w:val="19"/>
              </w:rPr>
              <w:t>Incorporation Burst</w:t>
            </w:r>
          </w:p>
        </w:tc>
        <w:tc>
          <w:tcPr>
            <w:tcW w:type="dxa" w:w="3120"/>
            <w:shd w:val="clear" w:color="auto" w:fill="F8FAFC"/>
            <w:tcMar>
              <w:top w:w="100" w:type="dxa"/>
              <w:bottom w:w="100" w:type="dxa"/>
              <w:left w:w="150" w:type="dxa"/>
              <w:right w:w="150" w:type="dxa"/>
            </w:tcMar>
          </w:tcPr>
          <w:p>
            <w:pPr>
              <w:jc w:val="center"/>
            </w:pPr>
            <w:r>
              <w:rPr>
                <w:rFonts w:ascii="Arial" w:hAnsi="Arial"/>
                <w:b/>
                <w:color w:val="334155"/>
                <w:sz w:val="19"/>
              </w:rPr>
              <w:t>15%</w:t>
            </w:r>
          </w:p>
        </w:tc>
        <w:tc>
          <w:tcPr>
            <w:tcW w:type="dxa" w:w="3120"/>
            <w:shd w:val="clear" w:color="auto" w:fill="F8FAFC"/>
            <w:tcMar>
              <w:top w:w="100" w:type="dxa"/>
              <w:bottom w:w="100" w:type="dxa"/>
              <w:left w:w="150" w:type="dxa"/>
              <w:right w:w="150" w:type="dxa"/>
            </w:tcMar>
          </w:tcPr>
          <w:p>
            <w:r>
              <w:rPr>
                <w:rFonts w:ascii="Arial" w:hAnsi="Arial"/>
                <w:color w:val="334155"/>
                <w:sz w:val="19"/>
              </w:rPr>
              <w:t>Identifies clusters of entities registered within a tight temporal window (e.g. 30 days) sharing registered addresses.</w:t>
            </w:r>
          </w:p>
        </w:tc>
      </w:tr>
      <w:tr>
        <w:tc>
          <w:tcPr>
            <w:tcW w:type="dxa" w:w="3120"/>
            <w:shd w:val="clear" w:color="auto" w:fill="FFFFFF"/>
            <w:tcMar>
              <w:top w:w="100" w:type="dxa"/>
              <w:bottom w:w="100" w:type="dxa"/>
              <w:left w:w="150" w:type="dxa"/>
              <w:right w:w="150" w:type="dxa"/>
            </w:tcMar>
          </w:tcPr>
          <w:p>
            <w:r>
              <w:rPr>
                <w:rFonts w:ascii="Arial" w:hAnsi="Arial"/>
                <w:color w:val="334155"/>
                <w:sz w:val="19"/>
              </w:rPr>
              <w:t>Lender Charge Density</w:t>
            </w:r>
          </w:p>
        </w:tc>
        <w:tc>
          <w:tcPr>
            <w:tcW w:type="dxa" w:w="3120"/>
            <w:shd w:val="clear" w:color="auto" w:fill="FFFFFF"/>
            <w:tcMar>
              <w:top w:w="100" w:type="dxa"/>
              <w:bottom w:w="100" w:type="dxa"/>
              <w:left w:w="150" w:type="dxa"/>
              <w:right w:w="150" w:type="dxa"/>
            </w:tcMar>
          </w:tcPr>
          <w:p>
            <w:pPr>
              <w:jc w:val="center"/>
            </w:pPr>
            <w:r>
              <w:rPr>
                <w:rFonts w:ascii="Arial" w:hAnsi="Arial"/>
                <w:b/>
                <w:color w:val="334155"/>
                <w:sz w:val="19"/>
              </w:rPr>
              <w:t>15%</w:t>
            </w:r>
          </w:p>
        </w:tc>
        <w:tc>
          <w:tcPr>
            <w:tcW w:type="dxa" w:w="3120"/>
            <w:shd w:val="clear" w:color="auto" w:fill="FFFFFF"/>
            <w:tcMar>
              <w:top w:w="100" w:type="dxa"/>
              <w:bottom w:w="100" w:type="dxa"/>
              <w:left w:w="150" w:type="dxa"/>
              <w:right w:w="150" w:type="dxa"/>
            </w:tcMar>
          </w:tcPr>
          <w:p>
            <w:r>
              <w:rPr>
                <w:rFonts w:ascii="Arial" w:hAnsi="Arial"/>
                <w:color w:val="334155"/>
                <w:sz w:val="19"/>
              </w:rPr>
              <w:t>Flags high-density lending activities (CERSAI) indicating bank-fund routing loops or parallel siphoning.</w:t>
            </w:r>
          </w:p>
        </w:tc>
      </w:tr>
      <w:tr>
        <w:tc>
          <w:tcPr>
            <w:tcW w:type="dxa" w:w="3120"/>
            <w:shd w:val="clear" w:color="auto" w:fill="F8FAFC"/>
            <w:tcMar>
              <w:top w:w="100" w:type="dxa"/>
              <w:bottom w:w="100" w:type="dxa"/>
              <w:left w:w="150" w:type="dxa"/>
              <w:right w:w="150" w:type="dxa"/>
            </w:tcMar>
          </w:tcPr>
          <w:p>
            <w:r>
              <w:rPr>
                <w:rFonts w:ascii="Arial" w:hAnsi="Arial"/>
                <w:color w:val="334155"/>
                <w:sz w:val="19"/>
              </w:rPr>
              <w:t>Wilful Defaulter Status</w:t>
            </w:r>
          </w:p>
        </w:tc>
        <w:tc>
          <w:tcPr>
            <w:tcW w:type="dxa" w:w="3120"/>
            <w:shd w:val="clear" w:color="auto" w:fill="F8FAFC"/>
            <w:tcMar>
              <w:top w:w="100" w:type="dxa"/>
              <w:bottom w:w="100" w:type="dxa"/>
              <w:left w:w="150" w:type="dxa"/>
              <w:right w:w="150" w:type="dxa"/>
            </w:tcMar>
          </w:tcPr>
          <w:p>
            <w:pPr>
              <w:jc w:val="center"/>
            </w:pPr>
            <w:r>
              <w:rPr>
                <w:rFonts w:ascii="Arial" w:hAnsi="Arial"/>
                <w:b/>
                <w:color w:val="334155"/>
                <w:sz w:val="19"/>
              </w:rPr>
              <w:t>20%</w:t>
            </w:r>
          </w:p>
        </w:tc>
        <w:tc>
          <w:tcPr>
            <w:tcW w:type="dxa" w:w="3120"/>
            <w:shd w:val="clear" w:color="auto" w:fill="F8FAFC"/>
            <w:tcMar>
              <w:top w:w="100" w:type="dxa"/>
              <w:bottom w:w="100" w:type="dxa"/>
              <w:left w:w="150" w:type="dxa"/>
              <w:right w:w="150" w:type="dxa"/>
            </w:tcMar>
          </w:tcPr>
          <w:p>
            <w:r>
              <w:rPr>
                <w:rFonts w:ascii="Arial" w:hAnsi="Arial"/>
                <w:color w:val="334155"/>
                <w:sz w:val="19"/>
              </w:rPr>
              <w:t>Direct registry cross-check flagging matches in RBI or credit registry wilful defaulter lists.</w:t>
            </w:r>
          </w:p>
        </w:tc>
      </w:tr>
    </w:tbl>
    <w:p>
      <w:pPr>
        <w:spacing w:before="240"/>
      </w:pPr>
    </w:p>
    <w:p>
      <w:pPr>
        <w:keepNext/>
        <w:spacing w:before="240" w:after="120"/>
      </w:pPr>
      <w:r>
        <w:rPr>
          <w:rFonts w:ascii="Arial" w:hAnsi="Arial"/>
          <w:b/>
          <w:color w:val="0F172A"/>
          <w:sz w:val="36"/>
        </w:rPr>
        <w:t>3. Louvain Community Detection Algorithm</w:t>
      </w:r>
    </w:p>
    <w:p>
      <w:pPr>
        <w:spacing w:after="120" w:line="276" w:lineRule="auto"/>
      </w:pPr>
      <w:r>
        <w:rPr>
          <w:rFonts w:ascii="Arial" w:hAnsi="Arial"/>
          <w:color w:val="334155"/>
          <w:sz w:val="21"/>
        </w:rPr>
        <w:t>Modern financial fraud rarely involves isolated entities. Rather, siphoning and laundering schemes utilize multi-layered networks (syndicates) of shell companies to cycle funds. To group these entities automatically, the portal utilizes the Louvain Community Detection algorithm.</w:t>
      </w:r>
    </w:p>
    <w:p>
      <w:pPr>
        <w:keepNext/>
        <w:spacing w:before="240" w:after="120"/>
      </w:pPr>
      <w:r>
        <w:rPr>
          <w:rFonts w:ascii="Arial" w:hAnsi="Arial"/>
          <w:b/>
          <w:color w:val="1E293B"/>
          <w:sz w:val="28"/>
        </w:rPr>
        <w:t>3.1 Modularity Optimization</w:t>
      </w:r>
    </w:p>
    <w:p>
      <w:pPr>
        <w:spacing w:after="120" w:line="276" w:lineRule="auto"/>
      </w:pPr>
      <w:r>
        <w:rPr>
          <w:rFonts w:ascii="Arial" w:hAnsi="Arial"/>
          <w:color w:val="334155"/>
          <w:sz w:val="21"/>
        </w:rPr>
        <w:t>The Louvain algorithm is a heuristic method that partitions a graph into communities by maximizing the overall Modularity. Modularity measures the strength of the division of a network into clusters. High modularity indicates that nodes within a community have dense connections among themselves, but sparse connections with nodes in other communities. The algorithm runs in two repeating phases: (1) local optimization of modularity where nodes are shifted into neighboring groups, and (2) graph aggregation where identified communities are condensed into single super-nodes.</w:t>
      </w:r>
    </w:p>
    <w:p>
      <w:pPr>
        <w:keepNext/>
        <w:spacing w:before="240" w:after="120"/>
      </w:pPr>
      <w:r>
        <w:rPr>
          <w:rFonts w:ascii="Arial" w:hAnsi="Arial"/>
          <w:b/>
          <w:color w:val="1E293B"/>
          <w:sz w:val="28"/>
        </w:rPr>
        <w:t>3.2 Application in Fraud Intelligence</w:t>
      </w:r>
    </w:p>
    <w:p>
      <w:pPr>
        <w:spacing w:after="120" w:line="276" w:lineRule="auto"/>
      </w:pPr>
      <w:r>
        <w:rPr>
          <w:rFonts w:ascii="Arial" w:hAnsi="Arial"/>
          <w:color w:val="334155"/>
          <w:sz w:val="21"/>
        </w:rPr>
        <w:t>Within the portal, the Louvain algorithm partitions a heterogeneous network representing 3,789 nodes into 562 distinct communities. The pipeline executes as follows:</w:t>
      </w:r>
    </w:p>
    <w:p>
      <w:pPr>
        <w:pStyle w:val="ListBullet"/>
        <w:spacing w:after="80" w:line="276" w:lineRule="auto"/>
      </w:pPr>
      <w:r>
        <w:rPr>
          <w:rFonts w:ascii="Arial" w:hAnsi="Arial"/>
          <w:b/>
          <w:color w:val="0F172A"/>
          <w:sz w:val="21"/>
        </w:rPr>
        <w:t xml:space="preserve">Community Partitioning: </w:t>
      </w:r>
      <w:r>
        <w:rPr>
          <w:rFonts w:ascii="Arial" w:hAnsi="Arial"/>
          <w:color w:val="334155"/>
          <w:sz w:val="21"/>
        </w:rPr>
        <w:t>Groups companies that share common physical addresses, directors, and active lenders into separate clusters.</w:t>
      </w:r>
    </w:p>
    <w:p>
      <w:pPr>
        <w:pStyle w:val="ListBullet"/>
        <w:spacing w:after="80" w:line="276" w:lineRule="auto"/>
      </w:pPr>
      <w:r>
        <w:rPr>
          <w:rFonts w:ascii="Arial" w:hAnsi="Arial"/>
          <w:b/>
          <w:color w:val="0F172A"/>
          <w:sz w:val="21"/>
        </w:rPr>
        <w:t xml:space="preserve">Cluster Risk Aggregation: </w:t>
      </w:r>
      <w:r>
        <w:rPr>
          <w:rFonts w:ascii="Arial" w:hAnsi="Arial"/>
          <w:color w:val="334155"/>
          <w:sz w:val="21"/>
        </w:rPr>
        <w:t>Aggregates the individual 5-factor risk scores of all companies within the community to calculate a collective Cluster Risk Score.</w:t>
      </w:r>
    </w:p>
    <w:p>
      <w:pPr>
        <w:pStyle w:val="ListBullet"/>
        <w:spacing w:after="80" w:line="276" w:lineRule="auto"/>
      </w:pPr>
      <w:r>
        <w:rPr>
          <w:rFonts w:ascii="Arial" w:hAnsi="Arial"/>
          <w:b/>
          <w:color w:val="0F172A"/>
          <w:sz w:val="21"/>
        </w:rPr>
        <w:t xml:space="preserve">Syndicate Flagging: </w:t>
      </w:r>
      <w:r>
        <w:rPr>
          <w:rFonts w:ascii="Arial" w:hAnsi="Arial"/>
          <w:color w:val="334155"/>
          <w:sz w:val="21"/>
        </w:rPr>
        <w:t>Assigns a severity label based on the score: clusters with a score &gt;= 75.0 are flagged as active 'Syndicates', intermediate clusters as 'Risk Networks', and clean clusters as 'Groups'.</w:t>
      </w:r>
    </w:p>
    <w:p>
      <w:pPr>
        <w:keepNext/>
        <w:spacing w:before="240" w:after="120"/>
      </w:pPr>
      <w:r>
        <w:rPr>
          <w:rFonts w:ascii="Arial" w:hAnsi="Arial"/>
          <w:b/>
          <w:color w:val="0F172A"/>
          <w:sz w:val="36"/>
        </w:rPr>
        <w:t>4. Performance &amp; Accuracy Validation</w:t>
      </w:r>
    </w:p>
    <w:p>
      <w:pPr>
        <w:spacing w:after="120" w:line="276" w:lineRule="auto"/>
      </w:pPr>
      <w:r>
        <w:rPr>
          <w:rFonts w:ascii="Arial" w:hAnsi="Arial"/>
          <w:color w:val="334155"/>
          <w:sz w:val="21"/>
        </w:rPr>
        <w:t>The calibrated scoring and Louvain detection model was validated against a 1,000-company synthetic benchmark set containing 115 known shell companies structured into 16 distinct fraud rings, alongside legitimate edge cases. The results demonstrated high precision and recall:</w:t>
      </w:r>
    </w:p>
    <w:p>
      <w:pPr>
        <w:pStyle w:val="ListBullet"/>
        <w:spacing w:after="80" w:line="276" w:lineRule="auto"/>
      </w:pPr>
      <w:r>
        <w:rPr>
          <w:rFonts w:ascii="Arial" w:hAnsi="Arial"/>
          <w:b/>
          <w:color w:val="0F172A"/>
          <w:sz w:val="21"/>
        </w:rPr>
        <w:t xml:space="preserve">Shell Detection Rate: 100.0% </w:t>
      </w:r>
      <w:r>
        <w:rPr>
          <w:rFonts w:ascii="Arial" w:hAnsi="Arial"/>
          <w:color w:val="334155"/>
          <w:sz w:val="21"/>
        </w:rPr>
        <w:t>All 115 target shell companies were successfully identified by the pipeline.</w:t>
      </w:r>
    </w:p>
    <w:p>
      <w:pPr>
        <w:pStyle w:val="ListBullet"/>
        <w:spacing w:after="80" w:line="276" w:lineRule="auto"/>
      </w:pPr>
      <w:r>
        <w:rPr>
          <w:rFonts w:ascii="Arial" w:hAnsi="Arial"/>
          <w:b/>
          <w:color w:val="0F172A"/>
          <w:sz w:val="21"/>
        </w:rPr>
        <w:t xml:space="preserve">False Positive Rate: 0.0% </w:t>
      </w:r>
      <w:r>
        <w:rPr>
          <w:rFonts w:ascii="Arial" w:hAnsi="Arial"/>
          <w:color w:val="334155"/>
          <w:sz w:val="21"/>
        </w:rPr>
        <w:t>No normal background companies were incorrectly classified as high-risk, achieving complete baseline separation.</w:t>
      </w:r>
    </w:p>
    <w:p>
      <w:pPr>
        <w:pStyle w:val="ListBullet"/>
        <w:spacing w:after="80" w:line="276" w:lineRule="auto"/>
      </w:pPr>
      <w:r>
        <w:rPr>
          <w:rFonts w:ascii="Arial" w:hAnsi="Arial"/>
          <w:b/>
          <w:color w:val="0F172A"/>
          <w:sz w:val="21"/>
        </w:rPr>
        <w:t xml:space="preserve">Fraud Ring Ranks: Top 3 </w:t>
      </w:r>
      <w:r>
        <w:rPr>
          <w:rFonts w:ascii="Arial" w:hAnsi="Arial"/>
          <w:color w:val="334155"/>
          <w:sz w:val="21"/>
        </w:rPr>
        <w:t>The target rings (Rings A, B, and C) ranked #1, #2, and #3 respectively in the cluster risk registry.</w:t>
      </w:r>
    </w:p>
    <w:p>
      <w:pPr>
        <w:pStyle w:val="ListBullet"/>
        <w:spacing w:after="80" w:line="276" w:lineRule="auto"/>
      </w:pPr>
      <w:r>
        <w:rPr>
          <w:rFonts w:ascii="Arial" w:hAnsi="Arial"/>
          <w:b/>
          <w:color w:val="0F172A"/>
          <w:sz w:val="21"/>
        </w:rPr>
        <w:t xml:space="preserve">Legitimate Hub Segregation: </w:t>
      </w:r>
      <w:r>
        <w:rPr>
          <w:rFonts w:ascii="Arial" w:hAnsi="Arial"/>
          <w:color w:val="334155"/>
          <w:sz w:val="21"/>
        </w:rPr>
        <w:t>The 7 legitimate companies sharing a common office address were successfully scored as low-risk (ranking #6) and segregated from the active fraud syndicates.</w:t>
      </w:r>
    </w:p>
    <w:p>
      <w:pPr>
        <w:keepNext/>
        <w:spacing w:before="240" w:after="120"/>
      </w:pPr>
      <w:r>
        <w:rPr>
          <w:rFonts w:ascii="Arial" w:hAnsi="Arial"/>
          <w:b/>
          <w:color w:val="0F172A"/>
          <w:sz w:val="36"/>
        </w:rPr>
        <w:t>5. Frontend-to-Backend Data Integration Map</w:t>
      </w:r>
    </w:p>
    <w:p>
      <w:pPr>
        <w:spacing w:after="120" w:line="276" w:lineRule="auto"/>
      </w:pPr>
      <w:r>
        <w:rPr>
          <w:rFonts w:ascii="Arial" w:hAnsi="Arial"/>
          <w:color w:val="334155"/>
          <w:sz w:val="21"/>
        </w:rPr>
        <w:t>For the presentation panel, understanding how the user interface maps to the underlying FastAPI endpoints and database structures is critical. Below is the mapping of all frontend components to their respective backend services:</w:t>
      </w:r>
    </w:p>
    <w:p>
      <w:pPr>
        <w:pStyle w:val="ListBullet"/>
        <w:spacing w:after="80" w:line="276" w:lineRule="auto"/>
      </w:pPr>
      <w:r>
        <w:rPr>
          <w:rFonts w:ascii="Arial" w:hAnsi="Arial"/>
          <w:b/>
          <w:color w:val="0F172A"/>
          <w:sz w:val="21"/>
        </w:rPr>
        <w:t xml:space="preserve">Dashboard Summary Cards: </w:t>
      </w:r>
      <w:r>
        <w:rPr>
          <w:rFonts w:ascii="Arial" w:hAnsi="Arial"/>
          <w:color w:val="334155"/>
          <w:sz w:val="21"/>
        </w:rPr>
        <w:t>Mapped to '/api/dashboard/summary'. Displays total metrics such as the 1,007 loaded companies, 2,313 director edges, and active investigations. Under the hood, this performs quick SQL aggregate queries (`SELECT count(*) FROM companies`).</w:t>
      </w:r>
    </w:p>
    <w:p>
      <w:pPr>
        <w:pStyle w:val="ListBullet"/>
        <w:spacing w:after="80" w:line="276" w:lineRule="auto"/>
      </w:pPr>
      <w:r>
        <w:rPr>
          <w:rFonts w:ascii="Arial" w:hAnsi="Arial"/>
          <w:b/>
          <w:color w:val="0F172A"/>
          <w:sz w:val="21"/>
        </w:rPr>
        <w:t xml:space="preserve">Cluster Risk Modularity Donut Chart: </w:t>
      </w:r>
      <w:r>
        <w:rPr>
          <w:rFonts w:ascii="Arial" w:hAnsi="Arial"/>
          <w:color w:val="334155"/>
          <w:sz w:val="21"/>
        </w:rPr>
        <w:t>Mapped to '/api/clusters'. It aggregates communities identified by the Louvain clustering and groups them into high risk (composite &gt;= 75), medium risk (30-74), and low risk (&lt;30).</w:t>
      </w:r>
    </w:p>
    <w:p>
      <w:pPr>
        <w:pStyle w:val="ListBullet"/>
        <w:spacing w:after="80" w:line="276" w:lineRule="auto"/>
      </w:pPr>
      <w:r>
        <w:rPr>
          <w:rFonts w:ascii="Arial" w:hAnsi="Arial"/>
          <w:b/>
          <w:color w:val="0F172A"/>
          <w:sz w:val="21"/>
        </w:rPr>
        <w:t xml:space="preserve">Risk Rankings Table: </w:t>
      </w:r>
      <w:r>
        <w:rPr>
          <w:rFonts w:ascii="Arial" w:hAnsi="Arial"/>
          <w:color w:val="334155"/>
          <w:sz w:val="21"/>
        </w:rPr>
        <w:t>Mapped to the dynamic list of high-risk clusters returned by '/api/clusters' sorted by `cluster_risk_score` in descending order. Selecting a row pulls detailed community info via `/api/clusters/{id}`.</w:t>
      </w:r>
    </w:p>
    <w:p>
      <w:pPr>
        <w:pStyle w:val="ListBullet"/>
        <w:spacing w:after="80" w:line="276" w:lineRule="auto"/>
      </w:pPr>
      <w:r>
        <w:rPr>
          <w:rFonts w:ascii="Arial" w:hAnsi="Arial"/>
          <w:b/>
          <w:color w:val="0F172A"/>
          <w:sz w:val="21"/>
        </w:rPr>
        <w:t xml:space="preserve">Interactive Cytoscape workspace: </w:t>
      </w:r>
      <w:r>
        <w:rPr>
          <w:rFonts w:ascii="Arial" w:hAnsi="Arial"/>
          <w:color w:val="334155"/>
          <w:sz w:val="21"/>
        </w:rPr>
        <w:t>Mapped to `/api/clusters/{id}/graph` which generates the JSON formatted graph structure (nodes and edges) containing companies, directors, and lenders in that specific community. By requesting subgraphs dynamically, the frontend stays responsive instead of trying to render all 3,789 nodes.</w:t>
      </w:r>
    </w:p>
    <w:p>
      <w:pPr>
        <w:pStyle w:val="ListBullet"/>
        <w:spacing w:after="80" w:line="276" w:lineRule="auto"/>
      </w:pPr>
      <w:r>
        <w:rPr>
          <w:rFonts w:ascii="Arial" w:hAnsi="Arial"/>
          <w:b/>
          <w:color w:val="0F172A"/>
          <w:sz w:val="21"/>
        </w:rPr>
        <w:t xml:space="preserve">Global Network Visualization (Pyvis): </w:t>
      </w:r>
      <w:r>
        <w:rPr>
          <w:rFonts w:ascii="Arial" w:hAnsi="Arial"/>
          <w:color w:val="334155"/>
          <w:sz w:val="21"/>
        </w:rPr>
        <w:t>Mapped to `/backend/static/pyvis_graph.html`, pre-rendered by `scripts/build_pyvis_graph.py` to show the global cluster visualization using a physics-driven layout in a static iframe.</w:t>
      </w:r>
    </w:p>
    <w:p>
      <w:pPr>
        <w:keepNext/>
        <w:spacing w:before="240" w:after="120"/>
      </w:pPr>
      <w:r>
        <w:rPr>
          <w:rFonts w:ascii="Arial" w:hAnsi="Arial"/>
          <w:b/>
          <w:color w:val="0F172A"/>
          <w:sz w:val="36"/>
        </w:rPr>
        <w:t>6. Technical Q&amp;A &amp; Defense Sheet (Jury Q&amp;A)</w:t>
      </w:r>
    </w:p>
    <w:p>
      <w:pPr>
        <w:keepNext/>
        <w:spacing w:before="240" w:after="120"/>
      </w:pPr>
      <w:r>
        <w:rPr>
          <w:rFonts w:ascii="Arial" w:hAnsi="Arial"/>
          <w:b/>
          <w:color w:val="475569"/>
          <w:sz w:val="24"/>
        </w:rPr>
        <w:t>Q1: How does the model distinguish between a genuine CA firm hosting 100+ clients and an actual shell company address hub?</w:t>
      </w:r>
    </w:p>
    <w:p>
      <w:pPr>
        <w:spacing w:after="120" w:line="276" w:lineRule="auto"/>
      </w:pPr>
      <w:r>
        <w:rPr>
          <w:rFonts w:ascii="Arial" w:hAnsi="Arial"/>
          <w:color w:val="334155"/>
          <w:sz w:val="21"/>
        </w:rPr>
        <w:t>A: The scoring engine uses a weighted composite average. While both will have a high Address Centrality Risk (S_addr = 100), a genuine CA firm's hosted companies will have clean profiles: their directors won't board multiple other clients (Director Degree = 0), incorporations will be staggered over years (Burst Risk = 0), they will have active MCA filings (Filing Risk = 0), and they won't share loan charge patterns or defaults (Lender/Defaulter Risk = 0). As a result, the CA firm's clients will score only around 25/100, while the shell ring companies will score &gt;= 75/100.</w:t>
      </w:r>
    </w:p>
    <w:p>
      <w:pPr>
        <w:keepNext/>
        <w:spacing w:before="240" w:after="120"/>
      </w:pPr>
      <w:r>
        <w:rPr>
          <w:rFonts w:ascii="Arial" w:hAnsi="Arial"/>
          <w:b/>
          <w:color w:val="475569"/>
          <w:sz w:val="24"/>
        </w:rPr>
        <w:t>Q2: How does the system scale to handle millions of companies registered under the MCA registry?</w:t>
      </w:r>
    </w:p>
    <w:p>
      <w:pPr>
        <w:spacing w:after="120" w:line="276" w:lineRule="auto"/>
      </w:pPr>
      <w:r>
        <w:rPr>
          <w:rFonts w:ascii="Arial" w:hAnsi="Arial"/>
          <w:color w:val="334155"/>
          <w:sz w:val="21"/>
        </w:rPr>
        <w:t>A: The system uses a frozen-baseline architecture. Z-score parameters are computed once on normal background data. When new companies are added, their risk scores are calculated in O(1) time by comparing their raw metrics directly against these frozen parameters, rather than recalculating the entire graph statistics. Community detection (Louvain) is run as an asynchronous batch job (e.g. nightly) to update cluster divisions, ensuring no real-time performance bottleneck on the API server.</w:t>
      </w:r>
    </w:p>
    <w:p>
      <w:pPr>
        <w:keepNext/>
        <w:spacing w:before="240" w:after="120"/>
      </w:pPr>
      <w:r>
        <w:rPr>
          <w:rFonts w:ascii="Arial" w:hAnsi="Arial"/>
          <w:b/>
          <w:color w:val="475569"/>
          <w:sz w:val="24"/>
        </w:rPr>
        <w:t>Q3: What database schema supports these network connections?</w:t>
      </w:r>
    </w:p>
    <w:p>
      <w:pPr>
        <w:spacing w:after="120" w:line="276" w:lineRule="auto"/>
      </w:pPr>
      <w:r>
        <w:rPr>
          <w:rFonts w:ascii="Arial" w:hAnsi="Arial"/>
          <w:color w:val="334155"/>
          <w:sz w:val="21"/>
        </w:rPr>
        <w:t>A: The backend uses a relational SQLite database (SQLAlchemy ORM) containing six key tables: (1) 'companies' storing CIN, paid-up capital, and MCA status; (2) 'directors' storing DIN and name; (3) 'company_directors' linking directors to companies; (4) 'addresses' mapping registration coordinates; (5) 'loans' tracking active CERSAI borrowing registrations; and (6) 'defaulters' tracking RBI wilful default records.</w:t>
      </w:r>
    </w:p>
    <w:p>
      <w:pPr>
        <w:keepNext/>
        <w:spacing w:before="240" w:after="120"/>
      </w:pPr>
      <w:r>
        <w:rPr>
          <w:rFonts w:ascii="Arial" w:hAnsi="Arial"/>
          <w:b/>
          <w:color w:val="475569"/>
          <w:sz w:val="24"/>
        </w:rPr>
        <w:t>Q4: Why was the Louvain algorithm chosen over other community algorithms like K-Means or Infomap?</w:t>
      </w:r>
    </w:p>
    <w:p>
      <w:pPr>
        <w:spacing w:after="120" w:line="276" w:lineRule="auto"/>
      </w:pPr>
      <w:r>
        <w:rPr>
          <w:rFonts w:ascii="Arial" w:hAnsi="Arial"/>
          <w:color w:val="334155"/>
          <w:sz w:val="21"/>
        </w:rPr>
        <w:t>A: K-Means is a distance-based clustering algorithm requiring a vector space, which is not suitable for complex graph topologies with multiple relationship types (directors, addresses, lenders). Louvain is specifically designed for complex network graphs. It optimizes Modularity directly, which is ideal for finding cohesive communities where the number of clusters is unknown beforehand. Infomap relies on flow dynamics (random walks), which is less effective than Modularity when identifying resource-sharing groups like shell rings.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