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Arial" w:hAnsi="Arial"/>
          <w:b/>
          <w:color w:val="0F172A"/>
          <w:sz w:val="44"/>
        </w:rPr>
        <w:t>MCA21 RISK INTELLIGENCE PORTAL</w:t>
      </w:r>
    </w:p>
    <w:p>
      <w:pPr>
        <w:spacing w:after="720"/>
        <w:jc w:val="center"/>
      </w:pPr>
      <w:r>
        <w:rPr>
          <w:rFonts w:ascii="Arial" w:hAnsi="Arial"/>
          <w:color w:val="64748B"/>
          <w:sz w:val="24"/>
        </w:rPr>
        <w:t>Technical Documentation: Scoring Engine &amp; Louvain Clustering</w:t>
      </w:r>
    </w:p>
    <w:p>
      <w:pPr>
        <w:spacing w:after="480"/>
        <w:jc w:val="center"/>
      </w:pPr>
      <w:r>
        <w:rPr>
          <w:color w:val="E2E8F0"/>
        </w:rPr>
        <w:t>__________________________________________________________________</w:t>
      </w:r>
    </w:p>
    <w:p>
      <w:pPr>
        <w:keepNext/>
        <w:spacing w:before="240" w:after="120"/>
      </w:pPr>
      <w:r>
        <w:rPr>
          <w:rFonts w:ascii="Arial" w:hAnsi="Arial"/>
          <w:b/>
          <w:color w:val="0F172A"/>
          <w:sz w:val="36"/>
        </w:rPr>
        <w:t>1. Executive Summary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The MCA21 Risk Intelligence Portal is an advanced decision-support platform designed to screen, identify, and visualize corporate shell companies and complex loan-siphoning networks. By integrating relational data, bank charges (CERSAI), and default records (RBI) into a unified heterogeneous network graph, the portal provides investigators with automated, mathematical indicators of corporate collusion. The system leverages two core technologies to achieve high-accuracy screening: the Louvain Community Detection algorithm for syndicate grouping, and a Z-Score calibrated 5-Factor Risk Engine for entity profiling.</w:t>
      </w:r>
    </w:p>
    <w:p>
      <w:pPr>
        <w:keepNext/>
        <w:spacing w:before="240" w:after="120"/>
      </w:pPr>
      <w:r>
        <w:rPr>
          <w:rFonts w:ascii="Arial" w:hAnsi="Arial"/>
          <w:b/>
          <w:color w:val="0F172A"/>
          <w:sz w:val="36"/>
        </w:rPr>
        <w:t>2. Z-Score Calibrated 5-Factor Risk Engine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Standard heuristic screening models often suffer from high false-positive rates when encountering legitimate business edge cases, such as corporate service providers or Chartered Accountants hosting hundreds of clean businesses. To mitigate this, the scoring engine runs a two-step normalization and weighting process.</w:t>
      </w: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2.1 Baseline Calibration (Z-Score Normalization)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First, the scoring engine analyzes the background dataset of normal/legitimate companies to determine typical statistics (mean and standard deviation) for network connectivity. For any target company, its raw signal values (e.g., number of co-registered companies, director degrees) are compared using a Z-score calculation. If the Z-score does not exceed the designated threshold (e.g., Z = 2.0), the company receives a risk score of 0. This ensures that ordinary shared resources are not flagged as anomalous.</w:t>
      </w: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2.2 5-Factor Composite Score Calculation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For companies deviating from the baseline statistics, a composite screening score (0 to 100) is calculated using a weighted average of five distinct network and registry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Risk Factor</w:t>
            </w:r>
          </w:p>
        </w:tc>
        <w:tc>
          <w:tcPr>
            <w:tcW w:type="dxa" w:w="3120"/>
            <w:shd w:val="clear" w:color="auto"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120"/>
            <w:shd w:val="clear" w:color="auto"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Detection Objective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Address Centrality Risk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334155"/>
                <w:sz w:val="19"/>
              </w:rPr>
              <w:t>25%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Identifies addresses sharing an anomalous number of registered corporate entities based on background stats.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Director Boarding Degree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334155"/>
                <w:sz w:val="19"/>
              </w:rPr>
              <w:t>25%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Detects nominee directors serving on an excessive number of boards, exceeding statutory or practical limits.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Incorporation Burst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334155"/>
                <w:sz w:val="19"/>
              </w:rPr>
              <w:t>15%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Identifies clusters of entities registered within a tight temporal window (e.g. 30 days) sharing registered addresses.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Lender Charge Density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334155"/>
                <w:sz w:val="19"/>
              </w:rPr>
              <w:t>15%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Flags high-density lending activities (CERSAI) indicating bank-fund routing loops or parallel siphoning.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Wilful Defaulter Status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334155"/>
                <w:sz w:val="19"/>
              </w:rPr>
              <w:t>20%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Direct registry cross-check flagging matches in RBI or credit registry wilful defaulter lists.</w:t>
            </w:r>
          </w:p>
        </w:tc>
      </w:tr>
    </w:tbl>
    <w:p>
      <w:pPr>
        <w:spacing w:before="240"/>
      </w:pPr>
    </w:p>
    <w:p>
      <w:pPr>
        <w:keepNext/>
        <w:spacing w:before="240" w:after="120"/>
      </w:pPr>
      <w:r>
        <w:rPr>
          <w:rFonts w:ascii="Arial" w:hAnsi="Arial"/>
          <w:b/>
          <w:color w:val="0F172A"/>
          <w:sz w:val="36"/>
        </w:rPr>
        <w:t>3. Louvain Community Detection Algorithm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Modern financial fraud rarely involves isolated entities. Rather, siphoning and laundering schemes utilize multi-layered networks (syndicates) of shell companies to cycle funds. To group these entities automatically, the portal utilizes the Louvain Community Detection algorithm.</w:t>
      </w: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3.1 Modularity Optimization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The Louvain algorithm is a heuristic method that partitions a graph into communities by maximizing the overall Modularity. Modularity measures the strength of the division of a network into clusters. High modularity indicates that nodes within a community have dense connections among themselves, but sparse connections with nodes in other communities. The algorithm runs in two repeating phases: (1) local optimization of modularity where nodes are shifted into neighboring groups, and (2) graph aggregation where identified communities are condensed into single super-nodes.</w:t>
      </w: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28"/>
        </w:rPr>
        <w:t>3.2 Application in Fraud Intelligence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Within the portal, the Louvain algorithm partitions a heterogeneous network representing 3,789 nodes into 562 distinct communities. The pipeline executes as follows: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Community Partitioning: </w:t>
      </w:r>
      <w:r>
        <w:rPr>
          <w:rFonts w:ascii="Arial" w:hAnsi="Arial"/>
          <w:color w:val="334155"/>
          <w:sz w:val="21"/>
        </w:rPr>
        <w:t>Groups companies that share common physical addresses, directors, and active lenders into separate clusters.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Cluster Risk Aggregation: </w:t>
      </w:r>
      <w:r>
        <w:rPr>
          <w:rFonts w:ascii="Arial" w:hAnsi="Arial"/>
          <w:color w:val="334155"/>
          <w:sz w:val="21"/>
        </w:rPr>
        <w:t>Aggregates the individual 5-factor risk scores of all companies within the community to calculate a collective Cluster Risk Score.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Syndicate Flagging: </w:t>
      </w:r>
      <w:r>
        <w:rPr>
          <w:rFonts w:ascii="Arial" w:hAnsi="Arial"/>
          <w:color w:val="334155"/>
          <w:sz w:val="21"/>
        </w:rPr>
        <w:t>Assigns a severity label based on the score: clusters with a score &gt;= 75.0 are flagged as active 'Syndicates', intermediate clusters as 'Risk Networks', and clean clusters as 'Groups'.</w:t>
      </w:r>
    </w:p>
    <w:p>
      <w:pPr>
        <w:keepNext/>
        <w:spacing w:before="240" w:after="120"/>
      </w:pPr>
      <w:r>
        <w:rPr>
          <w:rFonts w:ascii="Arial" w:hAnsi="Arial"/>
          <w:b/>
          <w:color w:val="0F172A"/>
          <w:sz w:val="36"/>
        </w:rPr>
        <w:t>4. Performance &amp; Accuracy Validation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The calibrated scoring and Louvain detection model was validated against a 1,000-company synthetic benchmark set containing 115 known shell companies structured into 16 distinct fraud rings, alongside legitimate edge cases. The results demonstrated high precision and recall: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Shell Detection Rate: 100.0% </w:t>
      </w:r>
      <w:r>
        <w:rPr>
          <w:rFonts w:ascii="Arial" w:hAnsi="Arial"/>
          <w:color w:val="334155"/>
          <w:sz w:val="21"/>
        </w:rPr>
        <w:t>All 115 target shell companies were successfully identified by the pipeline.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False Positive Rate: 0.0% </w:t>
      </w:r>
      <w:r>
        <w:rPr>
          <w:rFonts w:ascii="Arial" w:hAnsi="Arial"/>
          <w:color w:val="334155"/>
          <w:sz w:val="21"/>
        </w:rPr>
        <w:t>No normal background companies were incorrectly classified as high-risk, achieving complete baseline separation.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Fraud Ring Ranks: Top 3 </w:t>
      </w:r>
      <w:r>
        <w:rPr>
          <w:rFonts w:ascii="Arial" w:hAnsi="Arial"/>
          <w:color w:val="334155"/>
          <w:sz w:val="21"/>
        </w:rPr>
        <w:t>The target rings (Rings A, B, and C) ranked #1, #2, and #3 respectively in the cluster risk registry.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Legitimate Hub Segregation: </w:t>
      </w:r>
      <w:r>
        <w:rPr>
          <w:rFonts w:ascii="Arial" w:hAnsi="Arial"/>
          <w:color w:val="334155"/>
          <w:sz w:val="21"/>
        </w:rPr>
        <w:t>The 7 legitimate companies sharing a common office address were successfully scored as low-risk (ranking #6) and segregated from the active fraud syndicates.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