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F172A"/>
          <w:sz w:val="44"/>
        </w:rPr>
        <w:t>MCA21 RISK INTELLIGENCE PORTAL</w:t>
      </w:r>
    </w:p>
    <w:p>
      <w:pPr>
        <w:spacing w:after="720"/>
        <w:jc w:val="center"/>
      </w:pPr>
      <w:r>
        <w:rPr>
          <w:rFonts w:ascii="Arial" w:hAnsi="Arial"/>
          <w:color w:val="64748B"/>
          <w:sz w:val="24"/>
        </w:rPr>
        <w:t>Technical Documentation: Scoring Engine &amp; Louvain Modularity Partitioning</w:t>
      </w:r>
    </w:p>
    <w:p>
      <w:pPr>
        <w:spacing w:after="480"/>
        <w:jc w:val="center"/>
      </w:pPr>
      <w:r>
        <w:rPr>
          <w:color w:val="E2E8F0"/>
        </w:rPr>
        <w:t>__________________________________________________________________</w:t>
      </w:r>
    </w:p>
    <w:p>
      <w:pPr>
        <w:keepNext/>
        <w:spacing w:before="240" w:after="120"/>
      </w:pPr>
      <w:r>
        <w:rPr>
          <w:rFonts w:ascii="Arial" w:hAnsi="Arial"/>
          <w:b/>
          <w:color w:val="0F172A"/>
          <w:sz w:val="36"/>
        </w:rPr>
        <w:t>1. Executive Summary</w:t>
      </w:r>
    </w:p>
    <w:p>
      <w:pPr>
        <w:spacing w:after="120" w:line="276" w:lineRule="auto"/>
      </w:pPr>
      <w:r>
        <w:rPr>
          <w:rFonts w:ascii="Arial" w:hAnsi="Arial"/>
          <w:color w:val="334155"/>
          <w:sz w:val="21"/>
        </w:rPr>
        <w:t>The MCA21 Risk Intelligence Portal has transitioned from uniform threshold-based risk metrics to a continuous, statistically grounded Z-score scaling model. In graph networks representing shell company syndicates, entities within the same cluster often share identical network topological attributes (co-registered at the same address, managed by the same nominee directors, and borrowing from the same lenders). Relying purely on network degrees would render their risk scores identical, masking individual variance. To solve this, the upgraded risk engine integrates node-level connectivity statistics with database-level financial indicators (authorized/paid-up capital ratios, actual loan charge amounts registered on CERSAI, and total defaults in RBI lists). This ensures that every sub-company receives a realistic, granular, and unique risk score. In addition, the Louvain community detection algorithm automatically partitions the global corporate graph into distinct communities, forming the backbone of the dashboard's modular visualizations.</w:t>
      </w:r>
    </w:p>
    <w:p>
      <w:pPr>
        <w:keepNext/>
        <w:spacing w:before="240" w:after="120"/>
      </w:pPr>
      <w:r>
        <w:rPr>
          <w:rFonts w:ascii="Arial" w:hAnsi="Arial"/>
          <w:b/>
          <w:color w:val="0F172A"/>
          <w:sz w:val="36"/>
        </w:rPr>
        <w:t>2. Upgraded 5-Factor Risk Scoring Model</w:t>
      </w:r>
    </w:p>
    <w:p>
      <w:pPr>
        <w:spacing w:after="120" w:line="276" w:lineRule="auto"/>
      </w:pPr>
      <w:r>
        <w:rPr>
          <w:rFonts w:ascii="Arial" w:hAnsi="Arial"/>
          <w:color w:val="334155"/>
          <w:sz w:val="21"/>
        </w:rPr>
        <w:t>To establish statistical rigor, the scoring engine analyzes the background dataset of legitimate companies to calculate baseline statistics (mean and standard deviation) for network connectivity. For any target company, its risk metrics are compared using a Z-score calculation to filter out ordinary shared resources (such as multiple legitimate companies registered at the office of a shared Chartered Accountant). The continuous composite risk score (0 to 100) is calculated using a weighted combination of five distinct factors: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Mar>
              <w:top w:w="120" w:type="dxa"/>
              <w:bottom w:w="120" w:type="dxa"/>
              <w:left w:w="180" w:type="dxa"/>
              <w:right w:w="180" w:type="dxa"/>
            </w:tcMar>
          </w:tcPr>
          <w:p>
            <w:r>
              <w:rPr>
                <w:rFonts w:ascii="Arial" w:hAnsi="Arial"/>
                <w:b/>
                <w:color w:val="FFFFFF"/>
                <w:sz w:val="20"/>
              </w:rPr>
              <w:t>Risk Factor</w:t>
            </w:r>
          </w:p>
        </w:tc>
        <w:tc>
          <w:tcPr>
            <w:tcW w:type="dxa" w:w="3120"/>
            <w:shd w:val="clear" w:color="auto" w:fill="0F172A"/>
            <w:tcMar>
              <w:top w:w="120" w:type="dxa"/>
              <w:bottom w:w="120" w:type="dxa"/>
              <w:left w:w="180" w:type="dxa"/>
              <w:right w:w="180" w:type="dxa"/>
            </w:tcMar>
          </w:tcPr>
          <w:p>
            <w:r>
              <w:rPr>
                <w:rFonts w:ascii="Arial" w:hAnsi="Arial"/>
                <w:b/>
                <w:color w:val="FFFFFF"/>
                <w:sz w:val="20"/>
              </w:rPr>
              <w:t>Weight</w:t>
            </w:r>
          </w:p>
        </w:tc>
        <w:tc>
          <w:tcPr>
            <w:tcW w:type="dxa" w:w="3120"/>
            <w:shd w:val="clear" w:color="auto" w:fill="0F172A"/>
            <w:tcMar>
              <w:top w:w="120" w:type="dxa"/>
              <w:bottom w:w="120" w:type="dxa"/>
              <w:left w:w="180" w:type="dxa"/>
              <w:right w:w="180" w:type="dxa"/>
            </w:tcMar>
          </w:tcPr>
          <w:p>
            <w:r>
              <w:rPr>
                <w:rFonts w:ascii="Arial" w:hAnsi="Arial"/>
                <w:b/>
                <w:color w:val="FFFFFF"/>
                <w:sz w:val="20"/>
              </w:rPr>
              <w:t>Calculation &amp; Business Logic</w:t>
            </w:r>
          </w:p>
        </w:tc>
      </w:tr>
      <w:tr>
        <w:tc>
          <w:tcPr>
            <w:tcW w:type="dxa" w:w="3120"/>
            <w:shd w:val="clear" w:color="auto" w:fill="F8FAFC"/>
            <w:tcMar>
              <w:top w:w="100" w:type="dxa"/>
              <w:bottom w:w="100" w:type="dxa"/>
              <w:left w:w="150" w:type="dxa"/>
              <w:right w:w="150" w:type="dxa"/>
            </w:tcMar>
          </w:tcPr>
          <w:p>
            <w:r>
              <w:rPr>
                <w:rFonts w:ascii="Arial" w:hAnsi="Arial"/>
                <w:color w:val="334155"/>
                <w:sz w:val="19"/>
              </w:rPr>
              <w:t>Address Centrality Risk</w:t>
            </w:r>
          </w:p>
        </w:tc>
        <w:tc>
          <w:tcPr>
            <w:tcW w:type="dxa" w:w="3120"/>
            <w:shd w:val="clear" w:color="auto" w:fill="F8FAFC"/>
            <w:tcMar>
              <w:top w:w="100" w:type="dxa"/>
              <w:bottom w:w="100" w:type="dxa"/>
              <w:left w:w="150" w:type="dxa"/>
              <w:right w:w="150" w:type="dxa"/>
            </w:tcMar>
          </w:tcPr>
          <w:p>
            <w:pPr>
              <w:jc w:val="center"/>
            </w:pPr>
            <w:r>
              <w:rPr>
                <w:rFonts w:ascii="Arial" w:hAnsi="Arial"/>
                <w:b/>
                <w:color w:val="334155"/>
                <w:sz w:val="19"/>
              </w:rPr>
              <w:t>20%</w:t>
            </w:r>
          </w:p>
        </w:tc>
        <w:tc>
          <w:tcPr>
            <w:tcW w:type="dxa" w:w="3120"/>
            <w:shd w:val="clear" w:color="auto" w:fill="F8FAFC"/>
            <w:tcMar>
              <w:top w:w="100" w:type="dxa"/>
              <w:bottom w:w="100" w:type="dxa"/>
              <w:left w:w="150" w:type="dxa"/>
              <w:right w:w="150" w:type="dxa"/>
            </w:tcMar>
          </w:tcPr>
          <w:p>
            <w:r>
              <w:rPr>
                <w:rFonts w:ascii="Arial" w:hAnsi="Arial"/>
                <w:color w:val="334155"/>
                <w:sz w:val="19"/>
              </w:rPr>
              <w:t>Z-score scaling comparing the registered office address degree against baseline average. Captures massive co-registration hubs.</w:t>
            </w:r>
          </w:p>
        </w:tc>
      </w:tr>
      <w:tr>
        <w:tc>
          <w:tcPr>
            <w:tcW w:type="dxa" w:w="3120"/>
            <w:shd w:val="clear" w:color="auto" w:fill="FFFFFF"/>
            <w:tcMar>
              <w:top w:w="100" w:type="dxa"/>
              <w:bottom w:w="100" w:type="dxa"/>
              <w:left w:w="150" w:type="dxa"/>
              <w:right w:w="150" w:type="dxa"/>
            </w:tcMar>
          </w:tcPr>
          <w:p>
            <w:r>
              <w:rPr>
                <w:rFonts w:ascii="Arial" w:hAnsi="Arial"/>
                <w:color w:val="334155"/>
                <w:sz w:val="19"/>
              </w:rPr>
              <w:t>Director Boarding Risk</w:t>
            </w:r>
          </w:p>
        </w:tc>
        <w:tc>
          <w:tcPr>
            <w:tcW w:type="dxa" w:w="3120"/>
            <w:shd w:val="clear" w:color="auto" w:fill="FFFFFF"/>
            <w:tcMar>
              <w:top w:w="100" w:type="dxa"/>
              <w:bottom w:w="100" w:type="dxa"/>
              <w:left w:w="150" w:type="dxa"/>
              <w:right w:w="150" w:type="dxa"/>
            </w:tcMar>
          </w:tcPr>
          <w:p>
            <w:pPr>
              <w:jc w:val="center"/>
            </w:pPr>
            <w:r>
              <w:rPr>
                <w:rFonts w:ascii="Arial" w:hAnsi="Arial"/>
                <w:b/>
                <w:color w:val="334155"/>
                <w:sz w:val="19"/>
              </w:rPr>
              <w:t>20%</w:t>
            </w:r>
          </w:p>
        </w:tc>
        <w:tc>
          <w:tcPr>
            <w:tcW w:type="dxa" w:w="3120"/>
            <w:shd w:val="clear" w:color="auto" w:fill="FFFFFF"/>
            <w:tcMar>
              <w:top w:w="100" w:type="dxa"/>
              <w:bottom w:w="100" w:type="dxa"/>
              <w:left w:w="150" w:type="dxa"/>
              <w:right w:w="150" w:type="dxa"/>
            </w:tcMar>
          </w:tcPr>
          <w:p>
            <w:r>
              <w:rPr>
                <w:rFonts w:ascii="Arial" w:hAnsi="Arial"/>
                <w:color w:val="334155"/>
                <w:sz w:val="19"/>
              </w:rPr>
              <w:t>Calculates the average degree of all directors boarding the target company rather than the max. This exposes differences in board composition.</w:t>
            </w:r>
          </w:p>
        </w:tc>
      </w:tr>
      <w:tr>
        <w:tc>
          <w:tcPr>
            <w:tcW w:type="dxa" w:w="3120"/>
            <w:shd w:val="clear" w:color="auto" w:fill="F8FAFC"/>
            <w:tcMar>
              <w:top w:w="100" w:type="dxa"/>
              <w:bottom w:w="100" w:type="dxa"/>
              <w:left w:w="150" w:type="dxa"/>
              <w:right w:w="150" w:type="dxa"/>
            </w:tcMar>
          </w:tcPr>
          <w:p>
            <w:r>
              <w:rPr>
                <w:rFonts w:ascii="Arial" w:hAnsi="Arial"/>
                <w:color w:val="334155"/>
                <w:sz w:val="19"/>
              </w:rPr>
              <w:t>Temporal Burst Risk</w:t>
            </w:r>
          </w:p>
        </w:tc>
        <w:tc>
          <w:tcPr>
            <w:tcW w:type="dxa" w:w="3120"/>
            <w:shd w:val="clear" w:color="auto" w:fill="F8FAFC"/>
            <w:tcMar>
              <w:top w:w="100" w:type="dxa"/>
              <w:bottom w:w="100" w:type="dxa"/>
              <w:left w:w="150" w:type="dxa"/>
              <w:right w:w="150" w:type="dxa"/>
            </w:tcMar>
          </w:tcPr>
          <w:p>
            <w:pPr>
              <w:jc w:val="center"/>
            </w:pPr>
            <w:r>
              <w:rPr>
                <w:rFonts w:ascii="Arial" w:hAnsi="Arial"/>
                <w:b/>
                <w:color w:val="334155"/>
                <w:sz w:val="19"/>
              </w:rPr>
              <w:t>15%</w:t>
            </w:r>
          </w:p>
        </w:tc>
        <w:tc>
          <w:tcPr>
            <w:tcW w:type="dxa" w:w="3120"/>
            <w:shd w:val="clear" w:color="auto" w:fill="F8FAFC"/>
            <w:tcMar>
              <w:top w:w="100" w:type="dxa"/>
              <w:bottom w:w="100" w:type="dxa"/>
              <w:left w:w="150" w:type="dxa"/>
              <w:right w:w="150" w:type="dxa"/>
            </w:tcMar>
          </w:tcPr>
          <w:p>
            <w:r>
              <w:rPr>
                <w:rFonts w:ascii="Arial" w:hAnsi="Arial"/>
                <w:color w:val="334155"/>
                <w:sz w:val="19"/>
              </w:rPr>
              <w:t>Calculates registration density (burst size) of co-located companies registered within a 30-day window.</w:t>
            </w:r>
          </w:p>
        </w:tc>
      </w:tr>
      <w:tr>
        <w:tc>
          <w:tcPr>
            <w:tcW w:type="dxa" w:w="3120"/>
            <w:shd w:val="clear" w:color="auto" w:fill="FFFFFF"/>
            <w:tcMar>
              <w:top w:w="100" w:type="dxa"/>
              <w:bottom w:w="100" w:type="dxa"/>
              <w:left w:w="150" w:type="dxa"/>
              <w:right w:w="150" w:type="dxa"/>
            </w:tcMar>
          </w:tcPr>
          <w:p>
            <w:r>
              <w:rPr>
                <w:rFonts w:ascii="Arial" w:hAnsi="Arial"/>
                <w:color w:val="334155"/>
                <w:sz w:val="19"/>
              </w:rPr>
              <w:t>Lender Density &amp; Leverage</w:t>
            </w:r>
          </w:p>
        </w:tc>
        <w:tc>
          <w:tcPr>
            <w:tcW w:type="dxa" w:w="3120"/>
            <w:shd w:val="clear" w:color="auto" w:fill="FFFFFF"/>
            <w:tcMar>
              <w:top w:w="100" w:type="dxa"/>
              <w:bottom w:w="100" w:type="dxa"/>
              <w:left w:w="150" w:type="dxa"/>
              <w:right w:w="150" w:type="dxa"/>
            </w:tcMar>
          </w:tcPr>
          <w:p>
            <w:pPr>
              <w:jc w:val="center"/>
            </w:pPr>
            <w:r>
              <w:rPr>
                <w:rFonts w:ascii="Arial" w:hAnsi="Arial"/>
                <w:b/>
                <w:color w:val="334155"/>
                <w:sz w:val="19"/>
              </w:rPr>
              <w:t>20%</w:t>
            </w:r>
          </w:p>
        </w:tc>
        <w:tc>
          <w:tcPr>
            <w:tcW w:type="dxa" w:w="3120"/>
            <w:shd w:val="clear" w:color="auto" w:fill="FFFFFF"/>
            <w:tcMar>
              <w:top w:w="100" w:type="dxa"/>
              <w:bottom w:w="100" w:type="dxa"/>
              <w:left w:w="150" w:type="dxa"/>
              <w:right w:w="150" w:type="dxa"/>
            </w:tcMar>
          </w:tcPr>
          <w:p>
            <w:r>
              <w:rPr>
                <w:rFonts w:ascii="Arial" w:hAnsi="Arial"/>
                <w:color w:val="334155"/>
                <w:sz w:val="19"/>
              </w:rPr>
              <w:t>Combines unique lender counts with debt-to-capital leverage ratios (total loan amount from CERSAI divided by paid-up capital).</w:t>
            </w:r>
          </w:p>
        </w:tc>
      </w:tr>
      <w:tr>
        <w:tc>
          <w:tcPr>
            <w:tcW w:type="dxa" w:w="3120"/>
            <w:shd w:val="clear" w:color="auto" w:fill="F8FAFC"/>
            <w:tcMar>
              <w:top w:w="100" w:type="dxa"/>
              <w:bottom w:w="100" w:type="dxa"/>
              <w:left w:w="150" w:type="dxa"/>
              <w:right w:w="150" w:type="dxa"/>
            </w:tcMar>
          </w:tcPr>
          <w:p>
            <w:r>
              <w:rPr>
                <w:rFonts w:ascii="Arial" w:hAnsi="Arial"/>
                <w:color w:val="334155"/>
                <w:sz w:val="19"/>
              </w:rPr>
              <w:t>Defaulter &amp; Capital Risk</w:t>
            </w:r>
          </w:p>
        </w:tc>
        <w:tc>
          <w:tcPr>
            <w:tcW w:type="dxa" w:w="3120"/>
            <w:shd w:val="clear" w:color="auto" w:fill="F8FAFC"/>
            <w:tcMar>
              <w:top w:w="100" w:type="dxa"/>
              <w:bottom w:w="100" w:type="dxa"/>
              <w:left w:w="150" w:type="dxa"/>
              <w:right w:w="150" w:type="dxa"/>
            </w:tcMar>
          </w:tcPr>
          <w:p>
            <w:pPr>
              <w:jc w:val="center"/>
            </w:pPr>
            <w:r>
              <w:rPr>
                <w:rFonts w:ascii="Arial" w:hAnsi="Arial"/>
                <w:b/>
                <w:color w:val="334155"/>
                <w:sz w:val="19"/>
              </w:rPr>
              <w:t>25%</w:t>
            </w:r>
          </w:p>
        </w:tc>
        <w:tc>
          <w:tcPr>
            <w:tcW w:type="dxa" w:w="3120"/>
            <w:shd w:val="clear" w:color="auto" w:fill="F8FAFC"/>
            <w:tcMar>
              <w:top w:w="100" w:type="dxa"/>
              <w:bottom w:w="100" w:type="dxa"/>
              <w:left w:w="150" w:type="dxa"/>
              <w:right w:w="150" w:type="dxa"/>
            </w:tcMar>
          </w:tcPr>
          <w:p>
            <w:r>
              <w:rPr>
                <w:rFonts w:ascii="Arial" w:hAnsi="Arial"/>
                <w:color w:val="334155"/>
                <w:sz w:val="19"/>
              </w:rPr>
              <w:t>Combines direct RBI wilful default amounts, paid-up capital size, and paid-up-to-authorized capital ratio mismatch.</w:t>
            </w:r>
          </w:p>
        </w:tc>
      </w:tr>
    </w:tbl>
    <w:p>
      <w:pPr>
        <w:spacing w:before="240"/>
      </w:pPr>
    </w:p>
    <w:p>
      <w:pPr>
        <w:keepNext/>
        <w:spacing w:before="240" w:after="120"/>
      </w:pPr>
      <w:r>
        <w:rPr>
          <w:rFonts w:ascii="Arial" w:hAnsi="Arial"/>
          <w:b/>
          <w:color w:val="1E293B"/>
          <w:sz w:val="28"/>
        </w:rPr>
        <w:t>2.1 Mathematical Formulas for Individual Risk Factors</w:t>
      </w:r>
    </w:p>
    <w:p>
      <w:pPr>
        <w:spacing w:after="120" w:line="276" w:lineRule="auto"/>
      </w:pPr>
      <w:r>
        <w:rPr>
          <w:rFonts w:ascii="Arial" w:hAnsi="Arial"/>
          <w:b/>
          <w:color w:val="0F172A"/>
          <w:sz w:val="21"/>
        </w:rPr>
        <w:t xml:space="preserve">1. Address Centrality Score (S_addr): </w:t>
      </w:r>
      <w:r>
        <w:rPr>
          <w:rFonts w:ascii="Arial" w:hAnsi="Arial"/>
          <w:color w:val="334155"/>
          <w:sz w:val="21"/>
        </w:rPr>
        <w:t>S_addr = min((Z_addr / 3.0) * 100.0, 100.0) if Z_addr &gt; 0.0 else 0.0</w:t>
        <w:br/>
        <w:t>where Z_addr = (address_degree - mean_addr) / std_addr</w:t>
      </w:r>
    </w:p>
    <w:p>
      <w:pPr>
        <w:spacing w:after="120" w:line="276" w:lineRule="auto"/>
      </w:pPr>
      <w:r>
        <w:rPr>
          <w:rFonts w:ascii="Arial" w:hAnsi="Arial"/>
          <w:b/>
          <w:color w:val="0F172A"/>
          <w:sz w:val="21"/>
        </w:rPr>
        <w:t xml:space="preserve">2. Director Boarding Score (S_dir): </w:t>
      </w:r>
      <w:r>
        <w:rPr>
          <w:rFonts w:ascii="Arial" w:hAnsi="Arial"/>
          <w:color w:val="334155"/>
          <w:sz w:val="21"/>
        </w:rPr>
        <w:t>S_dir = min((Z_dir / 3.0) * 100.0, 100.0) if Z_dir &gt; 0.0 else 0.0</w:t>
        <w:br/>
        <w:t>where Z_dir = (average_director_degree - mean_dir) / std_dir</w:t>
      </w:r>
    </w:p>
    <w:p>
      <w:pPr>
        <w:spacing w:after="120" w:line="276" w:lineRule="auto"/>
      </w:pPr>
      <w:r>
        <w:rPr>
          <w:rFonts w:ascii="Arial" w:hAnsi="Arial"/>
          <w:b/>
          <w:color w:val="0F172A"/>
          <w:sz w:val="21"/>
        </w:rPr>
        <w:t xml:space="preserve">3. Temporal Burst Score (S_temp): </w:t>
      </w:r>
      <w:r>
        <w:rPr>
          <w:rFonts w:ascii="Arial" w:hAnsi="Arial"/>
          <w:color w:val="334155"/>
          <w:sz w:val="21"/>
        </w:rPr>
        <w:t>S_temp = min((max(0, burst_company_count - 1) / 4.0) * 100.0, 100.0)</w:t>
      </w:r>
    </w:p>
    <w:p>
      <w:pPr>
        <w:spacing w:after="120" w:line="276" w:lineRule="auto"/>
      </w:pPr>
      <w:r>
        <w:rPr>
          <w:rFonts w:ascii="Arial" w:hAnsi="Arial"/>
          <w:b/>
          <w:color w:val="0F172A"/>
          <w:sz w:val="21"/>
        </w:rPr>
        <w:t xml:space="preserve">4. Lender &amp; Leverage Score (S_lender): </w:t>
      </w:r>
      <w:r>
        <w:rPr>
          <w:rFonts w:ascii="Arial" w:hAnsi="Arial"/>
          <w:color w:val="334155"/>
          <w:sz w:val="21"/>
        </w:rPr>
        <w:t>S_lender = 0.5 * S_lender_count + 0.5 * S_leverage</w:t>
        <w:br/>
        <w:t>- S_lender_count = min((num_lenders / 3.0) * 100.0, 100.0)</w:t>
        <w:br/>
        <w:t>- S_leverage = min((total_loans / paid_up_capital / 20.0) * 100.0, 100.0)</w:t>
      </w:r>
    </w:p>
    <w:p>
      <w:pPr>
        <w:spacing w:after="120" w:line="276" w:lineRule="auto"/>
      </w:pPr>
      <w:r>
        <w:rPr>
          <w:rFonts w:ascii="Arial" w:hAnsi="Arial"/>
          <w:b/>
          <w:color w:val="0F172A"/>
          <w:sz w:val="21"/>
        </w:rPr>
        <w:t xml:space="preserve">5. Defaulter &amp; Capital Score (S_def): </w:t>
      </w:r>
      <w:r>
        <w:rPr>
          <w:rFonts w:ascii="Arial" w:hAnsi="Arial"/>
          <w:color w:val="334155"/>
          <w:sz w:val="21"/>
        </w:rPr>
        <w:t>S_def = 0.5 * S_def_base + 0.25 * S_ratio + 0.25 * S_cap_size</w:t>
        <w:br/>
        <w:t>- S_def_base = min((total_defaults / 10,000,000.0) * 100.0, 100.0) if flagged else 0.0</w:t>
        <w:br/>
        <w:t>- S_ratio = min(((1.0 - (paid_up_capital / authorized_capital)) / 0.99) * 100.0, 100.0)</w:t>
        <w:br/>
        <w:t>- S_cap_size = max(0.0, 100.0 - (paid_up_capital / 5000.0))</w:t>
      </w:r>
    </w:p>
    <w:p>
      <w:pPr>
        <w:spacing w:after="120" w:line="276" w:lineRule="auto"/>
      </w:pPr>
      <w:r>
        <w:rPr>
          <w:rFonts w:ascii="Arial" w:hAnsi="Arial"/>
          <w:b/>
          <w:color w:val="0F172A"/>
          <w:sz w:val="21"/>
        </w:rPr>
        <w:t xml:space="preserve">Weighted Composite Formula: </w:t>
      </w:r>
      <w:r>
        <w:rPr>
          <w:rFonts w:ascii="Arial" w:hAnsi="Arial"/>
          <w:color w:val="334155"/>
          <w:sz w:val="21"/>
        </w:rPr>
        <w:t>Composite_Score = (0.20 * S_addr) + (0.20 * S_dir) + (0.15 * S_temp) + (0.20 * S_lender) + (0.25 * S_def)</w:t>
      </w:r>
    </w:p>
    <w:p>
      <w:pPr>
        <w:keepNext/>
        <w:spacing w:before="240" w:after="120"/>
      </w:pPr>
      <w:r>
        <w:rPr>
          <w:rFonts w:ascii="Arial" w:hAnsi="Arial"/>
          <w:b/>
          <w:color w:val="0F172A"/>
          <w:sz w:val="36"/>
        </w:rPr>
        <w:t>3. Resolution of Scoring Uniformity (Case Study)</w:t>
      </w:r>
    </w:p>
    <w:p>
      <w:pPr>
        <w:spacing w:after="120" w:line="276" w:lineRule="auto"/>
      </w:pPr>
      <w:r>
        <w:rPr>
          <w:rFonts w:ascii="Arial" w:hAnsi="Arial"/>
          <w:color w:val="334155"/>
          <w:sz w:val="21"/>
        </w:rPr>
        <w:t>Under the legacy threshold model, all companies within the 'Emerald Chemicals Limited Syndicate' (Cluster #25) were assigned an identical risk score of 71. This was because they shared nominee directors, borrowed from the same bank (Janata Sahakari Bank), and registered at the same address in Chennai. By incorporating individual database parameters, their risk scores now diverge and reflect their unique financial realities:</w:t>
      </w:r>
    </w:p>
    <w:p>
      <w:pPr>
        <w:pStyle w:val="ListBullet"/>
        <w:spacing w:after="80" w:line="276" w:lineRule="auto"/>
      </w:pPr>
      <w:r>
        <w:rPr>
          <w:rFonts w:ascii="Arial" w:hAnsi="Arial"/>
          <w:b/>
          <w:color w:val="0F172A"/>
          <w:sz w:val="21"/>
        </w:rPr>
        <w:t xml:space="preserve">1. Emerald Chemicals Limited: </w:t>
      </w:r>
      <w:r>
        <w:rPr>
          <w:rFonts w:ascii="Arial" w:hAnsi="Arial"/>
          <w:color w:val="334155"/>
          <w:sz w:val="21"/>
        </w:rPr>
        <w:t>Paid-up capital: ₹5.0L, RBI defaults: ₹45.0L, Lender charges: ₹25.0L. Resulting Score: 54.52</w:t>
      </w:r>
    </w:p>
    <w:p>
      <w:pPr>
        <w:pStyle w:val="ListBullet"/>
        <w:spacing w:after="80" w:line="276" w:lineRule="auto"/>
      </w:pPr>
      <w:r>
        <w:rPr>
          <w:rFonts w:ascii="Arial" w:hAnsi="Arial"/>
          <w:b/>
          <w:color w:val="0F172A"/>
          <w:sz w:val="21"/>
        </w:rPr>
        <w:t xml:space="preserve">2. Emerald Technologies Private Limited: </w:t>
      </w:r>
      <w:r>
        <w:rPr>
          <w:rFonts w:ascii="Arial" w:hAnsi="Arial"/>
          <w:color w:val="334155"/>
          <w:sz w:val="21"/>
        </w:rPr>
        <w:t>Paid-up capital: ₹2.0L, RBI defaults: ₹60.0L, Lender charges: ₹35.0L. Resulting Score: 66.33</w:t>
      </w:r>
    </w:p>
    <w:p>
      <w:pPr>
        <w:pStyle w:val="ListBullet"/>
        <w:spacing w:after="80" w:line="276" w:lineRule="auto"/>
      </w:pPr>
      <w:r>
        <w:rPr>
          <w:rFonts w:ascii="Arial" w:hAnsi="Arial"/>
          <w:b/>
          <w:color w:val="0F172A"/>
          <w:sz w:val="21"/>
        </w:rPr>
        <w:t xml:space="preserve">3. Emerald Impex Private Limited: </w:t>
      </w:r>
      <w:r>
        <w:rPr>
          <w:rFonts w:ascii="Arial" w:hAnsi="Arial"/>
          <w:color w:val="334155"/>
          <w:sz w:val="21"/>
        </w:rPr>
        <w:t>Paid-up capital: ₹5.0L, RBI defaults: ₹30.0L, Lender charges: ₹25.0L. Resulting Score: 52.55</w:t>
      </w:r>
    </w:p>
    <w:p>
      <w:pPr>
        <w:pStyle w:val="ListBullet"/>
        <w:spacing w:after="80" w:line="276" w:lineRule="auto"/>
      </w:pPr>
      <w:r>
        <w:rPr>
          <w:rFonts w:ascii="Arial" w:hAnsi="Arial"/>
          <w:b/>
          <w:color w:val="0F172A"/>
          <w:sz w:val="21"/>
        </w:rPr>
        <w:t xml:space="preserve">4. Emerald Pharma Private Limited: </w:t>
      </w:r>
      <w:r>
        <w:rPr>
          <w:rFonts w:ascii="Arial" w:hAnsi="Arial"/>
          <w:color w:val="334155"/>
          <w:sz w:val="21"/>
        </w:rPr>
        <w:t>Paid-up capital: ₹1.5L, RBI defaults: ₹45.0L, Lender charges: ₹35.0L. Higher leverage. Resulting Score: 66.39</w:t>
      </w:r>
    </w:p>
    <w:p>
      <w:pPr>
        <w:pStyle w:val="ListBullet"/>
        <w:spacing w:after="80" w:line="276" w:lineRule="auto"/>
      </w:pPr>
      <w:r>
        <w:rPr>
          <w:rFonts w:ascii="Arial" w:hAnsi="Arial"/>
          <w:b/>
          <w:color w:val="0F172A"/>
          <w:sz w:val="21"/>
        </w:rPr>
        <w:t xml:space="preserve">5. Emerald Logistics Private Limited: </w:t>
      </w:r>
      <w:r>
        <w:rPr>
          <w:rFonts w:ascii="Arial" w:hAnsi="Arial"/>
          <w:color w:val="334155"/>
          <w:sz w:val="21"/>
        </w:rPr>
        <w:t>Paid-up capital: ₹1.0L, RBI defaults: ₹45.0L, Lender charges: ₹25.0L. Exposes highest leverage and boarding ratios. Resulting Score: 69.80</w:t>
      </w:r>
    </w:p>
    <w:p>
      <w:pPr>
        <w:keepNext/>
        <w:spacing w:before="240" w:after="120"/>
      </w:pPr>
      <w:r>
        <w:rPr>
          <w:rFonts w:ascii="Arial" w:hAnsi="Arial"/>
          <w:b/>
          <w:color w:val="0F172A"/>
          <w:sz w:val="36"/>
        </w:rPr>
        <w:t>4. Louvain Community Detection Algorithm</w:t>
      </w:r>
    </w:p>
    <w:p>
      <w:pPr>
        <w:spacing w:after="120" w:line="276" w:lineRule="auto"/>
      </w:pPr>
      <w:r>
        <w:rPr>
          <w:rFonts w:ascii="Arial" w:hAnsi="Arial"/>
          <w:color w:val="334155"/>
          <w:sz w:val="21"/>
        </w:rPr>
        <w:t>Modern corporate fraud is highly relational. Fund-cycling and loan siphoning are carried out not by single companies, but by coordinated groups. The Louvain Community Detection algorithm is applied to partition the 3,789-node corporate graph into distinct communities based on graph modularity.</w:t>
      </w:r>
    </w:p>
    <w:p>
      <w:pPr>
        <w:keepNext/>
        <w:spacing w:before="240" w:after="120"/>
      </w:pPr>
      <w:r>
        <w:rPr>
          <w:rFonts w:ascii="Arial" w:hAnsi="Arial"/>
          <w:b/>
          <w:color w:val="1E293B"/>
          <w:sz w:val="28"/>
        </w:rPr>
        <w:t>4.1 How Louvain Works (Modularity Optimization)</w:t>
      </w:r>
    </w:p>
    <w:p>
      <w:pPr>
        <w:spacing w:after="120" w:line="276" w:lineRule="auto"/>
      </w:pPr>
      <w:r>
        <w:rPr>
          <w:rFonts w:ascii="Arial" w:hAnsi="Arial"/>
          <w:color w:val="334155"/>
          <w:sz w:val="21"/>
        </w:rPr>
        <w:t>Modularity (Q) measures the density of edges inside communities compared to edges between communities. The Louvain algorithm executes in two repeating phases:</w:t>
        <w:br/>
        <w:t>1. Modularity Optimization: The algorithm starts with each node in its own community. For each node, it calculates the modularity gain delta Q if it moves into a neighbor's community. The node moves to the community that yields the maximum gain. This repeats until modularity stabilizes.</w:t>
        <w:br/>
        <w:t>2. Graph Aggregation: Nodes in the same community are collapsed into a single 'super-node'. Edges between nodes in the same community are converted to self-loops on the super-node, and edges between different communities become weighted edges between super-nodes. The algorithm then runs Phase 1 on the super-graph. This repeats until no further modularity gain is possible.</w:t>
      </w:r>
    </w:p>
    <w:p>
      <w:pPr>
        <w:keepNext/>
        <w:spacing w:before="240" w:after="120"/>
      </w:pPr>
      <w:r>
        <w:rPr>
          <w:rFonts w:ascii="Arial" w:hAnsi="Arial"/>
          <w:b/>
          <w:color w:val="1E293B"/>
          <w:sz w:val="28"/>
        </w:rPr>
        <w:t>4.2 Visualization Coordinates Generation (Ring &amp; Starburst)</w:t>
      </w:r>
    </w:p>
    <w:p>
      <w:pPr>
        <w:spacing w:after="120" w:line="276" w:lineRule="auto"/>
      </w:pPr>
      <w:r>
        <w:rPr>
          <w:rFonts w:ascii="Arial" w:hAnsi="Arial"/>
          <w:color w:val="334155"/>
          <w:sz w:val="21"/>
        </w:rPr>
        <w:t>To avoid the visual clutter of standard force-directed layouts, our network visualization uses pre-computed concentric circles. The communities are mapped as rings in a global circle, and the individual nodes within each community are arranged in starburst clusters around the community's center. Pre-calculating these coordinates disables VisJS physics simulation by default, allowing the dashboard to load instantly, while the 'Physics Toggle' remains available for investigators to drag and manipulate nodes manually.</w:t>
      </w:r>
    </w:p>
    <w:p>
      <w:pPr>
        <w:keepNext/>
        <w:spacing w:before="240" w:after="120"/>
      </w:pPr>
      <w:r>
        <w:rPr>
          <w:rFonts w:ascii="Arial" w:hAnsi="Arial"/>
          <w:b/>
          <w:color w:val="0F172A"/>
          <w:sz w:val="36"/>
        </w:rPr>
        <w:t>5. Defense Sheet &amp; Judges' Q&amp;A Guide</w:t>
      </w:r>
    </w:p>
    <w:p>
      <w:pPr>
        <w:keepNext/>
        <w:spacing w:before="240" w:after="120"/>
      </w:pPr>
      <w:r>
        <w:rPr>
          <w:rFonts w:ascii="Arial" w:hAnsi="Arial"/>
          <w:b/>
          <w:color w:val="475569"/>
          <w:sz w:val="23"/>
        </w:rPr>
        <w:t>Q1: What is the main improvement in your risk engine?</w:t>
      </w:r>
    </w:p>
    <w:p>
      <w:pPr>
        <w:spacing w:after="120" w:line="276" w:lineRule="auto"/>
      </w:pPr>
      <w:r>
        <w:rPr>
          <w:rFonts w:ascii="Arial" w:hAnsi="Arial"/>
          <w:color w:val="334155"/>
          <w:sz w:val="21"/>
        </w:rPr>
        <w:t>A: We transitioned from a legacy uniform threshold scoring model to a continuous, Z-score scaled model. In our updated model, we integrate node-level graph features with database-level financial statistics (CERSAI charge amounts, RBI wilful default amounts, paid-up capital size, and authorized-to-paid-up capital ratios). This ensures that every company receives a distinct, realistic risk score reflecting its specific profile rather than all members of a syndicate getting capped at a single uniform value.</w:t>
      </w:r>
    </w:p>
    <w:p>
      <w:pPr>
        <w:keepNext/>
        <w:spacing w:before="240" w:after="120"/>
      </w:pPr>
      <w:r>
        <w:rPr>
          <w:rFonts w:ascii="Arial" w:hAnsi="Arial"/>
          <w:b/>
          <w:color w:val="475569"/>
          <w:sz w:val="23"/>
        </w:rPr>
        <w:t>Q2: Why use the Louvain algorithm over K-Means or DBSCAN?</w:t>
      </w:r>
    </w:p>
    <w:p>
      <w:pPr>
        <w:spacing w:after="120" w:line="276" w:lineRule="auto"/>
      </w:pPr>
      <w:r>
        <w:rPr>
          <w:rFonts w:ascii="Arial" w:hAnsi="Arial"/>
          <w:color w:val="334155"/>
          <w:sz w:val="21"/>
        </w:rPr>
        <w:t>A: K-Means and DBSCAN are distance-based clustering algorithms designed for vector spaces, meaning they require nodes to be embedded as coordinates. They do not handle graph topology naturally. Louvain is a graph-native algorithm that optimizes Modularity directly, which is perfect for corporate relationships. In addition, Louvain does not require us to pre-define the number of clusters (K) beforehand; it discovers them organically based on connections.</w:t>
      </w:r>
    </w:p>
    <w:p>
      <w:pPr>
        <w:keepNext/>
        <w:spacing w:before="240" w:after="120"/>
      </w:pPr>
      <w:r>
        <w:rPr>
          <w:rFonts w:ascii="Arial" w:hAnsi="Arial"/>
          <w:b/>
          <w:color w:val="475569"/>
          <w:sz w:val="23"/>
        </w:rPr>
        <w:t>Q3: How do you prevent a legitimate office building (with 100+ registered companies) from showing up as a massive fraud ring?</w:t>
      </w:r>
    </w:p>
    <w:p>
      <w:pPr>
        <w:spacing w:after="120" w:line="276" w:lineRule="auto"/>
      </w:pPr>
      <w:r>
        <w:rPr>
          <w:rFonts w:ascii="Arial" w:hAnsi="Arial"/>
          <w:color w:val="334155"/>
          <w:sz w:val="21"/>
        </w:rPr>
        <w:t>A: Our model uses a Z-score baseline calibrated on normal background data. A legitimate office building will indeed have a high Address Centrality Risk (S_addr). However, because we use a weighted composite model, the other four factors (Director Boarding, Temporal Burst, Lender density, and Wilful Defaulter status) will be zero since legitimate companies do not share nominee directors, register in 30-day temporal bursts, or share default histories. As validated on our test data, legitimate office hubs score only ~25/100, which keeps them far below our high-risk syndicate threshold (&gt;= 75.0).</w:t>
      </w:r>
    </w:p>
    <w:p>
      <w:pPr>
        <w:keepNext/>
        <w:spacing w:before="240" w:after="120"/>
      </w:pPr>
      <w:r>
        <w:rPr>
          <w:rFonts w:ascii="Arial" w:hAnsi="Arial"/>
          <w:b/>
          <w:color w:val="475569"/>
          <w:sz w:val="23"/>
        </w:rPr>
        <w:t>Q4: Why does the interactive graph load instantly even with thousands of nodes?</w:t>
      </w:r>
    </w:p>
    <w:p>
      <w:pPr>
        <w:spacing w:after="120" w:line="276" w:lineRule="auto"/>
      </w:pPr>
      <w:r>
        <w:rPr>
          <w:rFonts w:ascii="Arial" w:hAnsi="Arial"/>
          <w:color w:val="334155"/>
          <w:sz w:val="21"/>
        </w:rPr>
        <w:t>A: Standard force-directed graphs run real-time physics solvers (e.g. Barnes-Hut) in the browser, which makes them laggy and CPU-heavy. We solved this by using our Louvain community detection to pre-calculate x/y coordinates into concentric rings and starburst clusters. We disable physics by default on initial page load, and only enable it on-demand if the investigator toggles the 'Physics Physics Toggle' to manually drag nodes.</w:t>
      </w:r>
    </w:p>
    <w:p>
      <w:pPr>
        <w:keepNext/>
        <w:spacing w:before="240" w:after="120"/>
      </w:pPr>
      <w:r>
        <w:rPr>
          <w:rFonts w:ascii="Arial" w:hAnsi="Arial"/>
          <w:b/>
          <w:color w:val="475569"/>
          <w:sz w:val="23"/>
        </w:rPr>
        <w:t>Q5: What is the database schema supporting the backend?</w:t>
      </w:r>
    </w:p>
    <w:p>
      <w:pPr>
        <w:spacing w:after="120" w:line="276" w:lineRule="auto"/>
      </w:pPr>
      <w:r>
        <w:rPr>
          <w:rFonts w:ascii="Arial" w:hAnsi="Arial"/>
          <w:color w:val="334155"/>
          <w:sz w:val="21"/>
        </w:rPr>
        <w:t>A: We use a relational SQLite database (SQLAlchemy ORM) consisting of six tables: (1) 'companies' storing CIN, name, incorporation date, and paid-up capital; (2) 'directors' storing DIN and name; (3) 'company_directors' tracking director boardings; (4) 'addresses' mapping registered offices; (5) 'loans' tracking active CERSAI borrowing registrations; and (6) 'defaulters' tracking RBI wilful default records. When a company is inspected, the API dynamically pulls and aggregates these values to display evidence to the investigator.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