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page" w:tblpX="3994" w:tblpY="63"/>
        <w:tblW w:w="0" w:type="auto"/>
        <w:tblLook w:val="04A0" w:firstRow="1" w:lastRow="0" w:firstColumn="1" w:lastColumn="0" w:noHBand="0" w:noVBand="1"/>
      </w:tblPr>
      <w:tblGrid>
        <w:gridCol w:w="4691"/>
      </w:tblGrid>
      <w:tr w:rsidR="00FF01F4" w14:paraId="7400BE6E" w14:textId="77777777" w:rsidTr="00507A45">
        <w:trPr>
          <w:trHeight w:val="270"/>
        </w:trPr>
        <w:tc>
          <w:tcPr>
            <w:tcW w:w="4691" w:type="dxa"/>
            <w:shd w:val="clear" w:color="auto" w:fill="E5DFEC" w:themeFill="accent4" w:themeFillTint="33"/>
          </w:tcPr>
          <w:p w14:paraId="16090B3C" w14:textId="77777777" w:rsidR="00FF01F4" w:rsidRPr="00FF01F4" w:rsidRDefault="00FF01F4" w:rsidP="00FF01F4">
            <w:pPr>
              <w:jc w:val="center"/>
              <w:rPr>
                <w:rFonts w:ascii="Algerian" w:hAnsi="Algerian" w:cs="Times New Roman"/>
                <w:b/>
                <w:sz w:val="24"/>
                <w:szCs w:val="24"/>
              </w:rPr>
            </w:pPr>
            <w:r w:rsidRPr="00FF01F4">
              <w:rPr>
                <w:rFonts w:ascii="Algerian" w:hAnsi="Algerian" w:cs="Times New Roman"/>
                <w:b/>
                <w:sz w:val="24"/>
                <w:szCs w:val="24"/>
              </w:rPr>
              <w:t xml:space="preserve">INVENTION DISCLOSURE FORM </w:t>
            </w:r>
          </w:p>
        </w:tc>
      </w:tr>
    </w:tbl>
    <w:tbl>
      <w:tblPr>
        <w:tblStyle w:val="TableGrid"/>
        <w:tblpPr w:leftFromText="180" w:rightFromText="180" w:vertAnchor="page" w:horzAnchor="margin" w:tblpY="2431"/>
        <w:tblW w:w="0" w:type="auto"/>
        <w:tblLook w:val="04A0" w:firstRow="1" w:lastRow="0" w:firstColumn="1" w:lastColumn="0" w:noHBand="0" w:noVBand="1"/>
      </w:tblPr>
      <w:tblGrid>
        <w:gridCol w:w="4505"/>
        <w:gridCol w:w="4511"/>
      </w:tblGrid>
      <w:tr w:rsidR="00EC1525" w14:paraId="24F3732A" w14:textId="77777777" w:rsidTr="005B3D7E">
        <w:tc>
          <w:tcPr>
            <w:tcW w:w="4505" w:type="dxa"/>
            <w:shd w:val="clear" w:color="auto" w:fill="E5DFEC" w:themeFill="accent4" w:themeFillTint="33"/>
          </w:tcPr>
          <w:p w14:paraId="5B9686A8" w14:textId="77777777" w:rsidR="00EC1525" w:rsidRPr="00507DA0" w:rsidRDefault="00EC1525" w:rsidP="00FF01F4">
            <w:pPr>
              <w:jc w:val="center"/>
              <w:rPr>
                <w:rFonts w:ascii="Arial Black" w:hAnsi="Arial Black" w:cs="Times New Roman"/>
              </w:rPr>
            </w:pPr>
            <w:r>
              <w:rPr>
                <w:rFonts w:ascii="Arial Black" w:hAnsi="Arial Black" w:cs="Times New Roman"/>
              </w:rPr>
              <w:t xml:space="preserve">Invention disclosure No. </w:t>
            </w:r>
          </w:p>
        </w:tc>
        <w:tc>
          <w:tcPr>
            <w:tcW w:w="4511" w:type="dxa"/>
            <w:shd w:val="clear" w:color="auto" w:fill="E5DFEC" w:themeFill="accent4" w:themeFillTint="33"/>
          </w:tcPr>
          <w:p w14:paraId="38B8CF3F" w14:textId="77777777" w:rsidR="00EC1525" w:rsidRDefault="00B66245" w:rsidP="00FF01F4">
            <w:pPr>
              <w:jc w:val="center"/>
              <w:rPr>
                <w:rFonts w:ascii="Arial Black" w:hAnsi="Arial Black"/>
              </w:rPr>
            </w:pPr>
            <w:r w:rsidRPr="00507DA0">
              <w:rPr>
                <w:rFonts w:ascii="Arial Black" w:hAnsi="Arial Black" w:cs="Times New Roman"/>
              </w:rPr>
              <w:t>Title of the invention</w:t>
            </w:r>
          </w:p>
        </w:tc>
      </w:tr>
      <w:tr w:rsidR="00EC1525" w14:paraId="205D2A86" w14:textId="77777777" w:rsidTr="005B3D7E">
        <w:tc>
          <w:tcPr>
            <w:tcW w:w="4505" w:type="dxa"/>
          </w:tcPr>
          <w:p w14:paraId="2A95CC7B" w14:textId="152197EC" w:rsidR="00F30271" w:rsidRDefault="00F30271">
            <w:pPr>
              <w:spacing w:before="120" w:after="80"/>
              <w:jc w:val="center"/>
            </w:pPr>
          </w:p>
        </w:tc>
        <w:tc>
          <w:tcPr>
            <w:tcW w:w="4511" w:type="dxa"/>
          </w:tcPr>
          <w:p w14:paraId="4FD24354" w14:textId="77777777" w:rsidR="00F30271" w:rsidRDefault="00000000">
            <w:pPr>
              <w:spacing w:before="80" w:after="80"/>
              <w:jc w:val="center"/>
            </w:pPr>
            <w:r>
              <w:rPr>
                <w:rFonts w:ascii="Times New Roman" w:eastAsia="Times New Roman" w:hAnsi="Times New Roman" w:cs="Times New Roman"/>
                <w:b/>
              </w:rPr>
              <w:t>A System and Method for Human-in-the-Loop, Non-Linear Automated Web-Application Delivery Employing a Bounded, Diff-Aware Self-Healing Code-Repair Loop with Requirement-to-Test Traceability and Post-Deployment Live Validation</w:t>
            </w:r>
          </w:p>
          <w:p w14:paraId="506DD3A4" w14:textId="77777777" w:rsidR="00F30271" w:rsidRDefault="00000000">
            <w:pPr>
              <w:spacing w:after="80"/>
              <w:jc w:val="center"/>
            </w:pPr>
            <w:r>
              <w:rPr>
                <w:rFonts w:ascii="Times New Roman" w:eastAsia="Times New Roman" w:hAnsi="Times New Roman" w:cs="Times New Roman"/>
                <w:i/>
                <w:sz w:val="19"/>
              </w:rPr>
              <w:t>(Working title of the prototype: “ForgeFlow”)</w:t>
            </w:r>
          </w:p>
        </w:tc>
      </w:tr>
      <w:tr w:rsidR="005B3D7E" w14:paraId="5513A581" w14:textId="77777777" w:rsidTr="005B3D7E">
        <w:tc>
          <w:tcPr>
            <w:tcW w:w="4505" w:type="dxa"/>
            <w:shd w:val="clear" w:color="auto" w:fill="E5DFEC" w:themeFill="accent4" w:themeFillTint="33"/>
          </w:tcPr>
          <w:p w14:paraId="31351865" w14:textId="77777777" w:rsidR="005B3D7E" w:rsidRDefault="005B3D7E" w:rsidP="00FF01F4">
            <w:pPr>
              <w:jc w:val="center"/>
              <w:rPr>
                <w:rFonts w:ascii="Arial Black" w:hAnsi="Arial Black" w:cs="Times New Roman"/>
              </w:rPr>
            </w:pPr>
            <w:r>
              <w:rPr>
                <w:rFonts w:ascii="Arial Black" w:hAnsi="Arial Black" w:cs="Times New Roman"/>
              </w:rPr>
              <w:t>Applicant Name</w:t>
            </w:r>
          </w:p>
        </w:tc>
        <w:tc>
          <w:tcPr>
            <w:tcW w:w="4511" w:type="dxa"/>
          </w:tcPr>
          <w:p w14:paraId="5CF599A1" w14:textId="77777777" w:rsidR="005B3D7E" w:rsidRPr="007B7DAF" w:rsidRDefault="005B3D7E" w:rsidP="00FF01F4">
            <w:pPr>
              <w:jc w:val="center"/>
              <w:rPr>
                <w:rFonts w:ascii="Arial Black" w:hAnsi="Arial Black"/>
              </w:rPr>
            </w:pPr>
            <w:r w:rsidRPr="007B7DAF">
              <w:rPr>
                <w:rFonts w:ascii="Arial Black" w:hAnsi="Arial Black"/>
              </w:rPr>
              <w:t>Symbiosis International (Deemed University)</w:t>
            </w:r>
          </w:p>
        </w:tc>
      </w:tr>
      <w:tr w:rsidR="005B3D7E" w14:paraId="2A016456" w14:textId="77777777" w:rsidTr="005B3D7E">
        <w:tc>
          <w:tcPr>
            <w:tcW w:w="4505" w:type="dxa"/>
            <w:shd w:val="clear" w:color="auto" w:fill="E5DFEC" w:themeFill="accent4" w:themeFillTint="33"/>
          </w:tcPr>
          <w:p w14:paraId="6DC134E8" w14:textId="77777777" w:rsidR="005B3D7E" w:rsidRDefault="005B3D7E" w:rsidP="00FF01F4">
            <w:pPr>
              <w:jc w:val="center"/>
              <w:rPr>
                <w:rFonts w:ascii="Arial Black" w:hAnsi="Arial Black" w:cs="Times New Roman"/>
              </w:rPr>
            </w:pPr>
            <w:r>
              <w:rPr>
                <w:rFonts w:ascii="Arial Black" w:hAnsi="Arial Black" w:cs="Times New Roman"/>
              </w:rPr>
              <w:t>I</w:t>
            </w:r>
            <w:r w:rsidR="00583DC1">
              <w:rPr>
                <w:rFonts w:ascii="Arial Black" w:hAnsi="Arial Black" w:cs="Times New Roman"/>
              </w:rPr>
              <w:t xml:space="preserve">f </w:t>
            </w:r>
            <w:r>
              <w:rPr>
                <w:rFonts w:ascii="Arial Black" w:hAnsi="Arial Black" w:cs="Times New Roman"/>
              </w:rPr>
              <w:t xml:space="preserve">Joint Applicant collaboration with </w:t>
            </w:r>
            <w:r w:rsidRPr="005B3D7E">
              <w:rPr>
                <w:rFonts w:ascii="Arial Black" w:hAnsi="Arial Black" w:cs="Times New Roman"/>
              </w:rPr>
              <w:t>(</w:t>
            </w:r>
            <w:r w:rsidRPr="005B3D7E">
              <w:rPr>
                <w:rFonts w:ascii="Arial Rounded MT Bold" w:hAnsi="Arial Rounded MT Bold" w:cs="Times New Roman"/>
              </w:rPr>
              <w:t>Joint Applicant Name</w:t>
            </w:r>
            <w:r w:rsidRPr="005B3D7E">
              <w:rPr>
                <w:rFonts w:ascii="Arial Black" w:hAnsi="Arial Black" w:cs="Times New Roman"/>
              </w:rPr>
              <w:t xml:space="preserve">) </w:t>
            </w:r>
          </w:p>
        </w:tc>
        <w:tc>
          <w:tcPr>
            <w:tcW w:w="4511" w:type="dxa"/>
          </w:tcPr>
          <w:p w14:paraId="28178977" w14:textId="77777777" w:rsidR="00F30271" w:rsidRDefault="00000000">
            <w:pPr>
              <w:spacing w:before="80" w:after="80"/>
              <w:jc w:val="center"/>
            </w:pPr>
            <w:r>
              <w:rPr>
                <w:rFonts w:ascii="Times New Roman" w:eastAsia="Times New Roman" w:hAnsi="Times New Roman" w:cs="Times New Roman"/>
              </w:rPr>
              <w:t>Not applicable; no joint applicant.</w:t>
            </w:r>
          </w:p>
        </w:tc>
      </w:tr>
      <w:tr w:rsidR="000169C4" w14:paraId="191EC560" w14:textId="77777777" w:rsidTr="005B3D7E">
        <w:tc>
          <w:tcPr>
            <w:tcW w:w="4505" w:type="dxa"/>
            <w:shd w:val="clear" w:color="auto" w:fill="E5DFEC" w:themeFill="accent4" w:themeFillTint="33"/>
          </w:tcPr>
          <w:p w14:paraId="1273035F" w14:textId="77777777" w:rsidR="000169C4" w:rsidRPr="00507DA0" w:rsidRDefault="000169C4" w:rsidP="00FF01F4">
            <w:pPr>
              <w:jc w:val="center"/>
              <w:rPr>
                <w:rFonts w:ascii="Arial Black" w:hAnsi="Arial Black"/>
              </w:rPr>
            </w:pPr>
            <w:r w:rsidRPr="00507DA0">
              <w:rPr>
                <w:rFonts w:ascii="Arial Black" w:hAnsi="Arial Black" w:cs="Times New Roman"/>
              </w:rPr>
              <w:t>Name of the inventor (s)</w:t>
            </w:r>
          </w:p>
        </w:tc>
        <w:tc>
          <w:tcPr>
            <w:tcW w:w="4511" w:type="dxa"/>
            <w:shd w:val="clear" w:color="auto" w:fill="E5DFEC" w:themeFill="accent4" w:themeFillTint="33"/>
          </w:tcPr>
          <w:p w14:paraId="61551BF7" w14:textId="77777777" w:rsidR="000169C4" w:rsidRPr="00FF01F4" w:rsidRDefault="005B3D7E" w:rsidP="00FF01F4">
            <w:pPr>
              <w:jc w:val="center"/>
              <w:rPr>
                <w:rFonts w:ascii="Arial Black" w:hAnsi="Arial Black"/>
              </w:rPr>
            </w:pPr>
            <w:r w:rsidRPr="007E5D27">
              <w:rPr>
                <w:rFonts w:ascii="Arial Black" w:hAnsi="Arial Black" w:cs="Times New Roman"/>
              </w:rPr>
              <w:t>Inventor(s) Institute &amp; Department Name</w:t>
            </w:r>
            <w:r>
              <w:rPr>
                <w:rFonts w:ascii="Arial Black" w:hAnsi="Arial Black"/>
              </w:rPr>
              <w:t xml:space="preserve"> </w:t>
            </w:r>
          </w:p>
        </w:tc>
      </w:tr>
      <w:tr w:rsidR="000169C4" w14:paraId="587CCE81" w14:textId="77777777" w:rsidTr="005B3D7E">
        <w:tc>
          <w:tcPr>
            <w:tcW w:w="4505" w:type="dxa"/>
          </w:tcPr>
          <w:p w14:paraId="4C86A3E7" w14:textId="77777777" w:rsidR="00F30271" w:rsidRDefault="00F30271">
            <w:pPr>
              <w:spacing w:after="80"/>
            </w:pPr>
          </w:p>
          <w:p w14:paraId="644ABF50" w14:textId="77777777" w:rsidR="00F30271" w:rsidRDefault="00000000">
            <w:pPr>
              <w:spacing w:after="120"/>
              <w:ind w:left="216"/>
            </w:pPr>
            <w:r>
              <w:rPr>
                <w:rFonts w:ascii="Times New Roman" w:eastAsia="Times New Roman" w:hAnsi="Times New Roman" w:cs="Times New Roman"/>
              </w:rPr>
              <w:t>1.  Mr. Faheemuddin Sayyed</w:t>
            </w:r>
          </w:p>
          <w:p w14:paraId="229A5D92" w14:textId="77777777" w:rsidR="00F30271" w:rsidRDefault="00000000">
            <w:pPr>
              <w:spacing w:after="120"/>
              <w:ind w:left="216"/>
            </w:pPr>
            <w:r>
              <w:rPr>
                <w:rFonts w:ascii="Times New Roman" w:eastAsia="Times New Roman" w:hAnsi="Times New Roman" w:cs="Times New Roman"/>
              </w:rPr>
              <w:t>2.  Mr. Sanidhya Awasthi</w:t>
            </w:r>
          </w:p>
          <w:p w14:paraId="17046709" w14:textId="77777777" w:rsidR="00F30271" w:rsidRDefault="00000000">
            <w:pPr>
              <w:spacing w:after="120"/>
              <w:ind w:left="216"/>
            </w:pPr>
            <w:r>
              <w:rPr>
                <w:rFonts w:ascii="Times New Roman" w:eastAsia="Times New Roman" w:hAnsi="Times New Roman" w:cs="Times New Roman"/>
              </w:rPr>
              <w:t>3.  Mr. Raghav Sonchhatra</w:t>
            </w:r>
          </w:p>
          <w:p w14:paraId="1EF17234" w14:textId="77777777" w:rsidR="00F30271" w:rsidRDefault="00000000">
            <w:pPr>
              <w:spacing w:after="120"/>
              <w:ind w:left="216"/>
            </w:pPr>
            <w:r>
              <w:rPr>
                <w:rFonts w:ascii="Times New Roman" w:eastAsia="Times New Roman" w:hAnsi="Times New Roman" w:cs="Times New Roman"/>
              </w:rPr>
              <w:t>4.  Dr. Payal Kadam</w:t>
            </w:r>
          </w:p>
          <w:p w14:paraId="2FB6F5A1" w14:textId="44CDEEE8" w:rsidR="00F30271" w:rsidRDefault="00F30271">
            <w:pPr>
              <w:spacing w:before="80" w:after="80"/>
              <w:ind w:left="216"/>
            </w:pPr>
          </w:p>
        </w:tc>
        <w:tc>
          <w:tcPr>
            <w:tcW w:w="4511" w:type="dxa"/>
          </w:tcPr>
          <w:p w14:paraId="18F9F8EF" w14:textId="77777777" w:rsidR="00F30271" w:rsidRDefault="00F30271">
            <w:pPr>
              <w:spacing w:after="80"/>
            </w:pPr>
          </w:p>
          <w:p w14:paraId="48CF9B53" w14:textId="77777777" w:rsidR="00F30271" w:rsidRDefault="00000000">
            <w:pPr>
              <w:spacing w:after="80"/>
              <w:ind w:left="144"/>
            </w:pPr>
            <w:r>
              <w:rPr>
                <w:rFonts w:ascii="Times New Roman" w:eastAsia="Times New Roman" w:hAnsi="Times New Roman" w:cs="Times New Roman"/>
                <w:b/>
                <w:sz w:val="21"/>
              </w:rPr>
              <w:t>All four inventors:</w:t>
            </w:r>
          </w:p>
          <w:p w14:paraId="5F86A953" w14:textId="77777777" w:rsidR="00F30271" w:rsidRDefault="00000000">
            <w:pPr>
              <w:spacing w:after="40"/>
              <w:ind w:left="144"/>
            </w:pPr>
            <w:r>
              <w:rPr>
                <w:rFonts w:ascii="Times New Roman" w:eastAsia="Times New Roman" w:hAnsi="Times New Roman" w:cs="Times New Roman"/>
                <w:sz w:val="21"/>
              </w:rPr>
              <w:t>B.Tech (CSE), Dept. of Computer Science &amp; Engineering,</w:t>
            </w:r>
          </w:p>
          <w:p w14:paraId="4C1ABDC0" w14:textId="77777777" w:rsidR="00F30271" w:rsidRDefault="00000000">
            <w:pPr>
              <w:spacing w:after="40"/>
              <w:ind w:left="144"/>
            </w:pPr>
            <w:r>
              <w:rPr>
                <w:rFonts w:ascii="Times New Roman" w:eastAsia="Times New Roman" w:hAnsi="Times New Roman" w:cs="Times New Roman"/>
                <w:sz w:val="21"/>
              </w:rPr>
              <w:t>Symbiosis Institute of Technology (SIT),</w:t>
            </w:r>
          </w:p>
          <w:p w14:paraId="38EE5E78" w14:textId="77777777" w:rsidR="00F30271" w:rsidRDefault="00000000">
            <w:pPr>
              <w:spacing w:after="40"/>
              <w:ind w:left="144"/>
            </w:pPr>
            <w:r>
              <w:rPr>
                <w:rFonts w:ascii="Times New Roman" w:eastAsia="Times New Roman" w:hAnsi="Times New Roman" w:cs="Times New Roman"/>
                <w:sz w:val="21"/>
              </w:rPr>
              <w:t>Symbiosis International (Deemed University),</w:t>
            </w:r>
          </w:p>
          <w:p w14:paraId="2BAAF4C4" w14:textId="77777777" w:rsidR="00F30271" w:rsidRDefault="00000000">
            <w:pPr>
              <w:spacing w:after="40"/>
              <w:ind w:left="144"/>
            </w:pPr>
            <w:r>
              <w:rPr>
                <w:rFonts w:ascii="Times New Roman" w:eastAsia="Times New Roman" w:hAnsi="Times New Roman" w:cs="Times New Roman"/>
                <w:sz w:val="21"/>
              </w:rPr>
              <w:t>Lavale, Pune 412115, Maharashtra, India.</w:t>
            </w:r>
          </w:p>
        </w:tc>
      </w:tr>
      <w:tr w:rsidR="007E5D27" w14:paraId="267FEB91" w14:textId="77777777" w:rsidTr="005B3D7E">
        <w:tc>
          <w:tcPr>
            <w:tcW w:w="4505" w:type="dxa"/>
            <w:shd w:val="clear" w:color="auto" w:fill="E5DFEC" w:themeFill="accent4" w:themeFillTint="33"/>
          </w:tcPr>
          <w:p w14:paraId="470B19C2" w14:textId="77777777" w:rsidR="007E5D27" w:rsidRPr="007E5D27" w:rsidRDefault="005B3D7E" w:rsidP="00FF01F4">
            <w:pPr>
              <w:jc w:val="center"/>
              <w:rPr>
                <w:rFonts w:ascii="Arial Black" w:hAnsi="Arial Black" w:cs="Times New Roman"/>
              </w:rPr>
            </w:pPr>
            <w:r w:rsidRPr="005B3D7E">
              <w:rPr>
                <w:rFonts w:ascii="Arial Black" w:hAnsi="Arial Black"/>
                <w:color w:val="000000" w:themeColor="text1"/>
              </w:rPr>
              <w:t>Email address &amp;</w:t>
            </w:r>
            <w:r>
              <w:rPr>
                <w:rFonts w:ascii="Arial Black" w:hAnsi="Arial Black"/>
                <w:color w:val="000000" w:themeColor="text1"/>
              </w:rPr>
              <w:t xml:space="preserve"> </w:t>
            </w:r>
            <w:r w:rsidRPr="005B3D7E">
              <w:rPr>
                <w:rFonts w:ascii="Arial Black" w:hAnsi="Arial Black"/>
                <w:color w:val="000000" w:themeColor="text1"/>
              </w:rPr>
              <w:t xml:space="preserve">Phone number </w:t>
            </w:r>
            <w:r w:rsidRPr="005B3D7E">
              <w:rPr>
                <w:rFonts w:ascii="Arial Black" w:hAnsi="Arial Black" w:cs="Times New Roman"/>
                <w:color w:val="000000" w:themeColor="text1"/>
              </w:rPr>
              <w:t>of the inventor (s)</w:t>
            </w:r>
          </w:p>
        </w:tc>
        <w:tc>
          <w:tcPr>
            <w:tcW w:w="4511" w:type="dxa"/>
          </w:tcPr>
          <w:p w14:paraId="518A5D7A" w14:textId="4A614B93" w:rsidR="00F30271" w:rsidRDefault="00000000">
            <w:pPr>
              <w:spacing w:after="60"/>
              <w:ind w:left="144"/>
            </w:pPr>
            <w:r>
              <w:rPr>
                <w:rFonts w:ascii="Times New Roman" w:eastAsia="Times New Roman" w:hAnsi="Times New Roman" w:cs="Times New Roman"/>
                <w:b/>
                <w:sz w:val="21"/>
              </w:rPr>
              <w:t xml:space="preserve">Faheemuddin Sayyed:  </w:t>
            </w:r>
            <w:r>
              <w:rPr>
                <w:rFonts w:ascii="Times New Roman" w:eastAsia="Times New Roman" w:hAnsi="Times New Roman" w:cs="Times New Roman"/>
                <w:sz w:val="21"/>
              </w:rPr>
              <w:t>faheemuddinsayyed789@gmail.com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9356763651</w:t>
            </w:r>
          </w:p>
          <w:p w14:paraId="4430FC18" w14:textId="08EE8167" w:rsidR="00F30271" w:rsidRDefault="00000000">
            <w:pPr>
              <w:spacing w:after="60"/>
              <w:ind w:left="144"/>
            </w:pPr>
            <w:r>
              <w:rPr>
                <w:rFonts w:ascii="Times New Roman" w:eastAsia="Times New Roman" w:hAnsi="Times New Roman" w:cs="Times New Roman"/>
                <w:b/>
                <w:sz w:val="21"/>
              </w:rPr>
              <w:t xml:space="preserve">Sanidhya Awasthi:  </w:t>
            </w:r>
            <w:r>
              <w:rPr>
                <w:rFonts w:ascii="Times New Roman" w:eastAsia="Times New Roman" w:hAnsi="Times New Roman" w:cs="Times New Roman"/>
                <w:sz w:val="21"/>
              </w:rPr>
              <w:t>sanidhya.awasthi19@gmail.com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9023982865</w:t>
            </w:r>
          </w:p>
          <w:p w14:paraId="2643F857" w14:textId="4524580B" w:rsidR="00F30271" w:rsidRDefault="00000000">
            <w:pPr>
              <w:spacing w:after="60"/>
              <w:ind w:left="144"/>
            </w:pPr>
            <w:r>
              <w:rPr>
                <w:rFonts w:ascii="Times New Roman" w:eastAsia="Times New Roman" w:hAnsi="Times New Roman" w:cs="Times New Roman"/>
                <w:b/>
                <w:sz w:val="21"/>
              </w:rPr>
              <w:t xml:space="preserve">Raghav Sonchhatra:  </w:t>
            </w:r>
            <w:r>
              <w:rPr>
                <w:rFonts w:ascii="Times New Roman" w:eastAsia="Times New Roman" w:hAnsi="Times New Roman" w:cs="Times New Roman"/>
                <w:sz w:val="21"/>
              </w:rPr>
              <w:t>rsonchhatra49@gmail.com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7420936303</w:t>
            </w:r>
          </w:p>
          <w:p w14:paraId="0B03A93B" w14:textId="462FD6C6" w:rsidR="00F30271" w:rsidRDefault="00000000" w:rsidP="00360CE5">
            <w:pPr>
              <w:spacing w:after="60"/>
              <w:ind w:left="144"/>
            </w:pPr>
            <w:r>
              <w:rPr>
                <w:rFonts w:ascii="Times New Roman" w:eastAsia="Times New Roman" w:hAnsi="Times New Roman" w:cs="Times New Roman"/>
                <w:b/>
                <w:sz w:val="21"/>
              </w:rPr>
              <w:t xml:space="preserve">Dr. Payal Kadam:  </w:t>
            </w:r>
            <w:r>
              <w:rPr>
                <w:rFonts w:ascii="Times New Roman" w:eastAsia="Times New Roman" w:hAnsi="Times New Roman" w:cs="Times New Roman"/>
                <w:sz w:val="21"/>
              </w:rPr>
              <w:t>payal.kadam@sitpune.edu.in</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9423524715</w:t>
            </w:r>
          </w:p>
        </w:tc>
      </w:tr>
      <w:tr w:rsidR="00FF01F4" w14:paraId="1449F229" w14:textId="77777777" w:rsidTr="005B3D7E">
        <w:tc>
          <w:tcPr>
            <w:tcW w:w="9016" w:type="dxa"/>
            <w:gridSpan w:val="2"/>
            <w:shd w:val="clear" w:color="auto" w:fill="E5DFEC" w:themeFill="accent4" w:themeFillTint="33"/>
          </w:tcPr>
          <w:p w14:paraId="147CD6D2" w14:textId="77777777" w:rsidR="00FF01F4" w:rsidRPr="00507DA0" w:rsidRDefault="00B66245" w:rsidP="00FF01F4">
            <w:pPr>
              <w:jc w:val="center"/>
              <w:rPr>
                <w:rFonts w:ascii="Arial Black" w:hAnsi="Arial Black"/>
              </w:rPr>
            </w:pPr>
            <w:r>
              <w:rPr>
                <w:rFonts w:ascii="Arial Black" w:hAnsi="Arial Black" w:cs="Times New Roman"/>
              </w:rPr>
              <w:t>Description o</w:t>
            </w:r>
            <w:r w:rsidR="00FF01F4" w:rsidRPr="00507DA0">
              <w:rPr>
                <w:rFonts w:ascii="Arial Black" w:hAnsi="Arial Black" w:cs="Times New Roman"/>
              </w:rPr>
              <w:t>f The Invention</w:t>
            </w:r>
          </w:p>
        </w:tc>
      </w:tr>
      <w:tr w:rsidR="00FF01F4" w14:paraId="06BDEBF9" w14:textId="77777777" w:rsidTr="005B3D7E">
        <w:tc>
          <w:tcPr>
            <w:tcW w:w="9016" w:type="dxa"/>
            <w:gridSpan w:val="2"/>
          </w:tcPr>
          <w:p w14:paraId="6DF90C09" w14:textId="59B28B34"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1.  Field</w:t>
            </w:r>
          </w:p>
          <w:p w14:paraId="4278F2B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Computer-implemented software-engineering automation: systems that continuously and interactively use generative language models to create, check, fix and publish full Web applications.</w:t>
            </w:r>
          </w:p>
          <w:p w14:paraId="67810594" w14:textId="77777777" w:rsidR="0075584B" w:rsidRPr="0075584B" w:rsidRDefault="0075584B" w:rsidP="0075584B">
            <w:pPr>
              <w:spacing w:after="40"/>
              <w:jc w:val="both"/>
              <w:rPr>
                <w:rFonts w:ascii="Times New Roman" w:eastAsia="Times New Roman" w:hAnsi="Times New Roman" w:cs="Times New Roman"/>
                <w:sz w:val="21"/>
              </w:rPr>
            </w:pPr>
          </w:p>
          <w:p w14:paraId="61833A52" w14:textId="31932F7F"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2.  Problem Addressed</w:t>
            </w:r>
          </w:p>
          <w:p w14:paraId="0452D42B"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Prompt-to-app builders can quickly write code, but test it poorly. There are four frequent failure modes: on failure, the model is re-prompted in an open-ended loop that can consume unlimited budget, and has been demonstrated to degrade code security; the model receives the entire repository, and is then required to fix code that it did not change; reported first-attempt deployment success for model-generated infrastructure is less than one-third; and the pipeline is rigid, enforcing a fixed order of stages.</w:t>
            </w:r>
          </w:p>
          <w:p w14:paraId="7ACE587C" w14:textId="77777777" w:rsidR="0075584B" w:rsidRPr="0075584B" w:rsidRDefault="0075584B" w:rsidP="0075584B">
            <w:pPr>
              <w:spacing w:after="40"/>
              <w:jc w:val="both"/>
              <w:rPr>
                <w:rFonts w:ascii="Times New Roman" w:eastAsia="Times New Roman" w:hAnsi="Times New Roman" w:cs="Times New Roman"/>
                <w:sz w:val="21"/>
              </w:rPr>
            </w:pPr>
          </w:p>
          <w:p w14:paraId="0E24BEF8" w14:textId="7691DA4C"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lastRenderedPageBreak/>
              <w:t>3.  Summary</w:t>
            </w:r>
          </w:p>
          <w:p w14:paraId="02CFB613" w14:textId="59257C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A platform implemented by a computer (an installable Progressive Web App over a trusted control plane and per-project sandboxes) takes a web-application idea, in either screenshots or a structured specification, and completes six independently-stateful phases: requirements, design, build, test-and-repair, deploy, and post-deployment live validation. It has two distinguishing mechanisms:</w:t>
            </w:r>
          </w:p>
          <w:p w14:paraId="75889DCA" w14:textId="777777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A diff-aware self-healing repair loop</w:t>
            </w:r>
            <w:r w:rsidRPr="0075584B">
              <w:rPr>
                <w:rFonts w:ascii="Times New Roman" w:eastAsia="Times New Roman" w:hAnsi="Times New Roman" w:cs="Times New Roman"/>
                <w:sz w:val="21"/>
              </w:rPr>
              <w:t xml:space="preserve"> with a bounded and deterministically-assembled minimal context terminated on the first of four ordered guards, escalating to the human as a terminal state without looping or failing silently.</w:t>
            </w:r>
          </w:p>
          <w:p w14:paraId="151A32A4"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The system invariant of non-linearity</w:t>
            </w:r>
            <w:r w:rsidRPr="0075584B">
              <w:rPr>
                <w:rFonts w:ascii="Times New Roman" w:eastAsia="Times New Roman" w:hAnsi="Times New Roman" w:cs="Times New Roman"/>
                <w:sz w:val="21"/>
              </w:rPr>
              <w:t>. Each stage has its own state; any stage can be entered or skipped. There are only two principles being enforced – deploy requires a build; validation requires a deployment.</w:t>
            </w:r>
          </w:p>
          <w:p w14:paraId="67E2D856" w14:textId="77777777" w:rsidR="0075584B" w:rsidRPr="0075584B" w:rsidRDefault="0075584B" w:rsidP="0075584B">
            <w:pPr>
              <w:spacing w:after="40"/>
              <w:jc w:val="both"/>
              <w:rPr>
                <w:rFonts w:ascii="Times New Roman" w:eastAsia="Times New Roman" w:hAnsi="Times New Roman" w:cs="Times New Roman"/>
                <w:sz w:val="21"/>
              </w:rPr>
            </w:pPr>
          </w:p>
          <w:p w14:paraId="4E3F08FA" w14:textId="54709A88"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4.  Detailed Description</w:t>
            </w:r>
          </w:p>
          <w:p w14:paraId="3A480D99"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The characteristics of the architecture and control are defined in 4.1 (Figs. 1, 2). A trusted control plane provides authentication, stage state, a conductor, six stage handlers, an agent layer with a model router, a sandbox manager, a deployment orchestrator, and an encrypted credential vault and a sequence-numbered event hub streaming resumable events. Generated code will not ever be executed there: it will only be run in a per-project container without host network, dropped capabilities, but with a non-root user and resource limits set. The legality of a transition is handled by the conductor only and takes an intent {message, target stage, action in refine | proceed | skip}. The state seen in each stage is independent of the others from {empty, </w:t>
            </w:r>
            <w:proofErr w:type="spellStart"/>
            <w:r w:rsidRPr="0075584B">
              <w:rPr>
                <w:rFonts w:ascii="Times New Roman" w:eastAsia="Times New Roman" w:hAnsi="Times New Roman" w:cs="Times New Roman"/>
                <w:sz w:val="21"/>
              </w:rPr>
              <w:t>in_progress</w:t>
            </w:r>
            <w:proofErr w:type="spellEnd"/>
            <w:r w:rsidRPr="0075584B">
              <w:rPr>
                <w:rFonts w:ascii="Times New Roman" w:eastAsia="Times New Roman" w:hAnsi="Times New Roman" w:cs="Times New Roman"/>
                <w:sz w:val="21"/>
              </w:rPr>
              <w:t xml:space="preserve">, </w:t>
            </w:r>
            <w:proofErr w:type="spellStart"/>
            <w:r w:rsidRPr="0075584B">
              <w:rPr>
                <w:rFonts w:ascii="Times New Roman" w:eastAsia="Times New Roman" w:hAnsi="Times New Roman" w:cs="Times New Roman"/>
                <w:sz w:val="21"/>
              </w:rPr>
              <w:t>awaiting_user</w:t>
            </w:r>
            <w:proofErr w:type="spellEnd"/>
            <w:r w:rsidRPr="0075584B">
              <w:rPr>
                <w:rFonts w:ascii="Times New Roman" w:eastAsia="Times New Roman" w:hAnsi="Times New Roman" w:cs="Times New Roman"/>
                <w:sz w:val="21"/>
              </w:rPr>
              <w:t>, complete, skipped, stale}; an entry to a completed stage results in new versions of artifacts and in setting downstream stages stale but not deleting them. Artifacts are not discarded and will not be overwritten, so revisiting is safe.</w:t>
            </w:r>
          </w:p>
          <w:p w14:paraId="5FA026CD" w14:textId="77777777" w:rsidR="0075584B" w:rsidRPr="0075584B" w:rsidRDefault="0075584B" w:rsidP="0075584B">
            <w:pPr>
              <w:spacing w:after="40"/>
              <w:jc w:val="both"/>
              <w:rPr>
                <w:rFonts w:ascii="Times New Roman" w:eastAsia="Times New Roman" w:hAnsi="Times New Roman" w:cs="Times New Roman"/>
                <w:sz w:val="21"/>
              </w:rPr>
            </w:pPr>
          </w:p>
          <w:p w14:paraId="793E7F3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The 4.2 requirements are compiled in traceable tests (Fig. 4). Requirements are recorded as structured features with inputs, and expected behaviours and acceptance criteria, in a guided form or in a form drafted by the model which the user must approve before saving. Each criterion gets a stable identifier, and is built into one or more executable tests with that identifier. Suites execute in the sandbox and reporter output is normalised to a per-test record of {status, assertion, stack, files referenced, criterion identifier} - a criterion that has no passing test is NOT absorbed into an aggregate pass count, but rather reported as unmet.</w:t>
            </w:r>
          </w:p>
          <w:p w14:paraId="1FB4A896" w14:textId="77777777" w:rsidR="0075584B" w:rsidRPr="0075584B" w:rsidRDefault="0075584B" w:rsidP="0075584B">
            <w:pPr>
              <w:spacing w:after="40"/>
              <w:jc w:val="both"/>
              <w:rPr>
                <w:rFonts w:ascii="Times New Roman" w:eastAsia="Times New Roman" w:hAnsi="Times New Roman" w:cs="Times New Roman"/>
                <w:sz w:val="21"/>
              </w:rPr>
            </w:pPr>
          </w:p>
          <w:p w14:paraId="6DA382F9" w14:textId="777777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4.3  Minimal repair context (Fig. 3). Deterministic, model-free assembler can accept only four types of material if it is handed a run that fails: the failing tests only; the sources that are exercised by the failing run, as found by walking the import graph of the failing specification to a bounded depth; the version-control difference against a "good" specification; and the version-control difference against a "good" specification, as found by walking the import graph of the failing specification to a bounded depth. </w:t>
            </w:r>
          </w:p>
          <w:p w14:paraId="34E47F92"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The difference means “what changed since it worked”, not “what changed in the last commit” and the requirement text for the failing criteria is joined back by the identifier of the criterion so that the agent repairs against the text of the criterion, not just the text of the failing criterion. By construction, everything else (the rest of the repository, passing tests, untouched modules) is excluded. This way, it is hard-capped and all trims are recorded (including the difference, 24,000 characters total, 8,000 per file, 8,000 difference, all runtime-configurable).</w:t>
            </w:r>
          </w:p>
          <w:p w14:paraId="3A5E8C0A" w14:textId="77777777" w:rsidR="0075584B" w:rsidRPr="0075584B" w:rsidRDefault="0075584B" w:rsidP="0075584B">
            <w:pPr>
              <w:spacing w:after="40"/>
              <w:jc w:val="both"/>
              <w:rPr>
                <w:rFonts w:ascii="Times New Roman" w:eastAsia="Times New Roman" w:hAnsi="Times New Roman" w:cs="Times New Roman"/>
                <w:sz w:val="21"/>
              </w:rPr>
            </w:pPr>
          </w:p>
          <w:p w14:paraId="3CFEDA4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4.4  Guards and escalation. The patch is applied and run fast, the affected suite is subsequently re-run fast and the entire suite afterwards to detect regressions. Then four guards are evaluated in precedence order, (G1) a regression guard that is triggered when patches have broken previously passed tests, (G2) a stall guard that is triggered when the failing set does not shrink for a threshold number of iterations, (G3) a guard to check the iteration count before every model call, (G4) budget, cancellation or nothing safe to patch. Defaults: 5, Stall threshold: 2, Regression allowance: 2. Any non-green ending will take them to </w:t>
            </w:r>
            <w:proofErr w:type="spellStart"/>
            <w:r w:rsidRPr="0075584B">
              <w:rPr>
                <w:rFonts w:ascii="Times New Roman" w:eastAsia="Times New Roman" w:hAnsi="Times New Roman" w:cs="Times New Roman"/>
                <w:sz w:val="21"/>
              </w:rPr>
              <w:t>awaiting_user</w:t>
            </w:r>
            <w:proofErr w:type="spellEnd"/>
            <w:r w:rsidRPr="0075584B">
              <w:rPr>
                <w:rFonts w:ascii="Times New Roman" w:eastAsia="Times New Roman" w:hAnsi="Times New Roman" w:cs="Times New Roman"/>
                <w:sz w:val="21"/>
              </w:rPr>
              <w:t xml:space="preserve"> and will print a structured escalation with the tripped guard, a “here is where I am stuck” summary, the failed tests, patches tried and a resume contract: a terminal state, not an error path.</w:t>
            </w:r>
          </w:p>
          <w:p w14:paraId="26B8ADE8" w14:textId="77777777" w:rsidR="0075584B" w:rsidRPr="0075584B" w:rsidRDefault="0075584B" w:rsidP="0075584B">
            <w:pPr>
              <w:spacing w:after="40"/>
              <w:jc w:val="both"/>
              <w:rPr>
                <w:rFonts w:ascii="Times New Roman" w:eastAsia="Times New Roman" w:hAnsi="Times New Roman" w:cs="Times New Roman"/>
                <w:sz w:val="21"/>
              </w:rPr>
            </w:pPr>
          </w:p>
          <w:p w14:paraId="1808D89F"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To deploy and live validate (Figs. 5, 6). A static analyser generates an infrastructure plan that can be used to identify the environment variables and secrets necessary to support each project, which can be classified as a static frontend, a frontend with a persistent backend or a frontend with backend and database. The </w:t>
            </w:r>
            <w:r w:rsidRPr="0075584B">
              <w:rPr>
                <w:rFonts w:ascii="Times New Roman" w:eastAsia="Times New Roman" w:hAnsi="Times New Roman" w:cs="Times New Roman"/>
                <w:sz w:val="21"/>
              </w:rPr>
              <w:lastRenderedPageBreak/>
              <w:t>credentials are platform-managed or user-managed, encrypted at rest, decrypted only in-process (at call time). The deployment is done in a specific order: create the database, deploy the backend with the database URI injected, deploy the frontend with the backend URL injected, and health-check each node, and an interactive topology graph is rendered as a result. This suite is then re-pointed to the deployed URL, and given that the normalised record shape is the same as that of the live run, then if the live run fails, it re-enters the same bounded loop, but for the deployed artefact and not the local artefact.</w:t>
            </w:r>
          </w:p>
          <w:p w14:paraId="5B1B1982" w14:textId="77777777" w:rsidR="0075584B" w:rsidRPr="0075584B" w:rsidRDefault="0075584B" w:rsidP="0075584B">
            <w:pPr>
              <w:spacing w:after="40"/>
              <w:jc w:val="both"/>
              <w:rPr>
                <w:rFonts w:ascii="Times New Roman" w:eastAsia="Times New Roman" w:hAnsi="Times New Roman" w:cs="Times New Roman"/>
                <w:sz w:val="21"/>
              </w:rPr>
            </w:pPr>
          </w:p>
          <w:p w14:paraId="7258E92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Governance and reducing cost (4.6). Identifiers for models are configuration and not identity: an expensive model for code, test and repair synthesis, a cheap one for classification and summarisation. Tokens are added to every call and the project and budget limits stop work with some actionable message. A working prototype is available: It has approximately 1,930 automated tests, 295 modules, about 48,500 lines of production code and 63 shippable phases and was exercised via deterministic copy instead of being generated from a skeleton, which is 49 files.</w:t>
            </w:r>
          </w:p>
          <w:p w14:paraId="3658C658" w14:textId="266B04C9" w:rsidR="0075584B" w:rsidRPr="0075584B" w:rsidRDefault="0075584B" w:rsidP="0075584B">
            <w:pPr>
              <w:spacing w:after="40"/>
              <w:jc w:val="both"/>
              <w:rPr>
                <w:rFonts w:ascii="Times New Roman" w:eastAsia="Times New Roman" w:hAnsi="Times New Roman" w:cs="Times New Roman"/>
                <w:sz w:val="21"/>
              </w:rPr>
            </w:pPr>
          </w:p>
        </w:tc>
      </w:tr>
      <w:tr w:rsidR="00B66245" w14:paraId="3FEB96AD" w14:textId="77777777" w:rsidTr="005B3D7E">
        <w:tc>
          <w:tcPr>
            <w:tcW w:w="9016" w:type="dxa"/>
            <w:gridSpan w:val="2"/>
            <w:shd w:val="clear" w:color="auto" w:fill="E5DFEC" w:themeFill="accent4" w:themeFillTint="33"/>
          </w:tcPr>
          <w:p w14:paraId="3F12664E" w14:textId="77777777" w:rsidR="00B66245" w:rsidRDefault="00B66245" w:rsidP="0024717F">
            <w:pPr>
              <w:jc w:val="center"/>
              <w:rPr>
                <w:rFonts w:ascii="Arial Black" w:hAnsi="Arial Black" w:cs="Times New Roman"/>
              </w:rPr>
            </w:pPr>
            <w:r w:rsidRPr="00B66245">
              <w:rPr>
                <w:rFonts w:ascii="Arial Black" w:hAnsi="Arial Black" w:cs="Times New Roman"/>
              </w:rPr>
              <w:lastRenderedPageBreak/>
              <w:t>Public Disclosure in seminars or exhibitions by the inventor OR any plans to disclose the invention in public by the inventor</w:t>
            </w:r>
          </w:p>
        </w:tc>
      </w:tr>
      <w:tr w:rsidR="00B66245" w14:paraId="6BCB186C" w14:textId="77777777" w:rsidTr="005B3D7E">
        <w:tc>
          <w:tcPr>
            <w:tcW w:w="9016" w:type="dxa"/>
            <w:gridSpan w:val="2"/>
          </w:tcPr>
          <w:p w14:paraId="12F49B1E" w14:textId="34E28B26" w:rsidR="006876FE" w:rsidRPr="006876FE" w:rsidRDefault="006876FE" w:rsidP="006876FE">
            <w:pPr>
              <w:spacing w:after="60"/>
              <w:jc w:val="both"/>
              <w:rPr>
                <w:rFonts w:ascii="Times New Roman" w:eastAsia="Times New Roman" w:hAnsi="Times New Roman" w:cs="Times New Roman"/>
                <w:sz w:val="21"/>
              </w:rPr>
            </w:pPr>
            <w:r w:rsidRPr="006876FE">
              <w:rPr>
                <w:rFonts w:ascii="Times New Roman" w:eastAsia="Times New Roman" w:hAnsi="Times New Roman" w:cs="Times New Roman"/>
                <w:b/>
                <w:bCs/>
                <w:sz w:val="21"/>
              </w:rPr>
              <w:t>Status:</w:t>
            </w:r>
            <w:r w:rsidRPr="006876FE">
              <w:rPr>
                <w:rFonts w:ascii="Times New Roman" w:eastAsia="Times New Roman" w:hAnsi="Times New Roman" w:cs="Times New Roman"/>
                <w:sz w:val="21"/>
              </w:rPr>
              <w:t xml:space="preserve"> there is no public disclosure so far. It has not been exhibited, lectured or shown in any seminar, conference, exhibition or demonstration, nor published anywhere.</w:t>
            </w:r>
          </w:p>
          <w:p w14:paraId="423AFB65" w14:textId="6DF30B4B" w:rsidR="00F30271" w:rsidRDefault="006876FE" w:rsidP="006876FE">
            <w:pPr>
              <w:spacing w:after="60"/>
              <w:jc w:val="both"/>
            </w:pPr>
            <w:r w:rsidRPr="006876FE">
              <w:rPr>
                <w:rFonts w:ascii="Times New Roman" w:eastAsia="Times New Roman" w:hAnsi="Times New Roman" w:cs="Times New Roman"/>
                <w:b/>
                <w:bCs/>
                <w:sz w:val="21"/>
              </w:rPr>
              <w:t>Planned:</w:t>
            </w:r>
            <w:r w:rsidRPr="006876FE">
              <w:rPr>
                <w:rFonts w:ascii="Times New Roman" w:eastAsia="Times New Roman" w:hAnsi="Times New Roman" w:cs="Times New Roman"/>
                <w:sz w:val="21"/>
              </w:rPr>
              <w:t xml:space="preserve"> a conference manuscript has been prepared but not submitted for publication nor presented at the conference. </w:t>
            </w:r>
          </w:p>
        </w:tc>
      </w:tr>
      <w:tr w:rsidR="00B66245" w14:paraId="41D1A89C" w14:textId="77777777" w:rsidTr="005B3D7E">
        <w:tc>
          <w:tcPr>
            <w:tcW w:w="9016" w:type="dxa"/>
            <w:gridSpan w:val="2"/>
            <w:shd w:val="clear" w:color="auto" w:fill="E5DFEC" w:themeFill="accent4" w:themeFillTint="33"/>
          </w:tcPr>
          <w:p w14:paraId="6974D30E" w14:textId="77777777" w:rsidR="00B66245" w:rsidRPr="00B66245" w:rsidRDefault="00B66245" w:rsidP="0024717F">
            <w:pPr>
              <w:jc w:val="center"/>
              <w:rPr>
                <w:rFonts w:ascii="Arial Black" w:hAnsi="Arial Black" w:cs="Times New Roman"/>
              </w:rPr>
            </w:pPr>
            <w:r w:rsidRPr="00B66245">
              <w:rPr>
                <w:rFonts w:ascii="Arial Black" w:hAnsi="Arial Black" w:cs="Times New Roman"/>
              </w:rPr>
              <w:t>Prior Filings: Has the inventor filed a Disclosure Document or Provisional Patent Application on the current invention in US or elsewhere?</w:t>
            </w:r>
          </w:p>
        </w:tc>
      </w:tr>
      <w:tr w:rsidR="00B66245" w14:paraId="28C67387" w14:textId="77777777" w:rsidTr="005B3D7E">
        <w:tc>
          <w:tcPr>
            <w:tcW w:w="9016" w:type="dxa"/>
            <w:gridSpan w:val="2"/>
          </w:tcPr>
          <w:p w14:paraId="233E516C" w14:textId="3DD05632" w:rsidR="00F30271" w:rsidRDefault="003D7757" w:rsidP="003D7757">
            <w:pPr>
              <w:spacing w:before="80" w:after="60"/>
              <w:jc w:val="center"/>
            </w:pPr>
            <w:r>
              <w:rPr>
                <w:rFonts w:ascii="Times New Roman" w:eastAsia="Times New Roman" w:hAnsi="Times New Roman" w:cs="Times New Roman"/>
                <w:b/>
              </w:rPr>
              <w:t>No.</w:t>
            </w:r>
          </w:p>
        </w:tc>
      </w:tr>
      <w:tr w:rsidR="0024717F" w14:paraId="30A63883" w14:textId="77777777" w:rsidTr="005B3D7E">
        <w:tc>
          <w:tcPr>
            <w:tcW w:w="9016" w:type="dxa"/>
            <w:gridSpan w:val="2"/>
            <w:shd w:val="clear" w:color="auto" w:fill="E5DFEC" w:themeFill="accent4" w:themeFillTint="33"/>
          </w:tcPr>
          <w:p w14:paraId="604ACCF8" w14:textId="77777777" w:rsidR="0024717F" w:rsidRPr="00507DA0" w:rsidRDefault="0024717F" w:rsidP="0024717F">
            <w:pPr>
              <w:jc w:val="center"/>
              <w:rPr>
                <w:rFonts w:ascii="Arial Black" w:hAnsi="Arial Black" w:cs="Times New Roman"/>
              </w:rPr>
            </w:pPr>
            <w:r>
              <w:rPr>
                <w:rFonts w:ascii="Arial Black" w:hAnsi="Arial Black" w:cs="Times New Roman"/>
              </w:rPr>
              <w:t xml:space="preserve">How </w:t>
            </w:r>
            <w:r w:rsidR="00EC1525">
              <w:rPr>
                <w:rFonts w:ascii="Arial Black" w:hAnsi="Arial Black" w:cs="Times New Roman"/>
              </w:rPr>
              <w:t>are</w:t>
            </w:r>
            <w:r>
              <w:rPr>
                <w:rFonts w:ascii="Arial Black" w:hAnsi="Arial Black" w:cs="Times New Roman"/>
              </w:rPr>
              <w:t xml:space="preserve"> the </w:t>
            </w:r>
            <w:r w:rsidR="000B76AC">
              <w:rPr>
                <w:rFonts w:ascii="Arial Black" w:hAnsi="Arial Black" w:cs="Times New Roman"/>
              </w:rPr>
              <w:t>p</w:t>
            </w:r>
            <w:r>
              <w:rPr>
                <w:rFonts w:ascii="Arial Black" w:hAnsi="Arial Black" w:cs="Times New Roman"/>
              </w:rPr>
              <w:t>roblem</w:t>
            </w:r>
            <w:r w:rsidR="000B76AC">
              <w:rPr>
                <w:rFonts w:ascii="Arial Black" w:hAnsi="Arial Black" w:cs="Times New Roman"/>
              </w:rPr>
              <w:t>s</w:t>
            </w:r>
            <w:r w:rsidR="00C22614">
              <w:rPr>
                <w:rFonts w:ascii="Arial Black" w:hAnsi="Arial Black" w:cs="Times New Roman"/>
              </w:rPr>
              <w:t xml:space="preserve"> </w:t>
            </w:r>
            <w:r w:rsidR="000B76AC">
              <w:rPr>
                <w:rFonts w:ascii="Arial Black" w:hAnsi="Arial Black" w:cs="Times New Roman"/>
              </w:rPr>
              <w:t>solved/</w:t>
            </w:r>
            <w:r>
              <w:rPr>
                <w:rFonts w:ascii="Arial Black" w:hAnsi="Arial Black" w:cs="Times New Roman"/>
              </w:rPr>
              <w:t xml:space="preserve">outstanding need of the invention met? </w:t>
            </w:r>
          </w:p>
        </w:tc>
      </w:tr>
      <w:tr w:rsidR="0024717F" w14:paraId="53390828" w14:textId="77777777" w:rsidTr="005B3D7E">
        <w:tc>
          <w:tcPr>
            <w:tcW w:w="9016" w:type="dxa"/>
            <w:gridSpan w:val="2"/>
          </w:tcPr>
          <w:p w14:paraId="0C6B454A" w14:textId="77777777" w:rsidR="006876FE" w:rsidRPr="006876FE" w:rsidRDefault="006876FE" w:rsidP="006876FE">
            <w:p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sz w:val="21"/>
              </w:rPr>
              <w:t>A specific, auditable mechanism is provided for each failure mode in Section 2:</w:t>
            </w:r>
          </w:p>
          <w:p w14:paraId="0A4DE58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Unbounded repair:</w:t>
            </w:r>
            <w:r w:rsidRPr="006876FE">
              <w:rPr>
                <w:rFonts w:ascii="Times New Roman" w:eastAsia="Times New Roman" w:hAnsi="Times New Roman" w:cs="Times New Roman"/>
                <w:sz w:val="21"/>
              </w:rPr>
              <w:t xml:space="preserve"> loop controller with four ordered guards (regression, stall, iteration cap, budget/cancel) evaluated before each model call, with the guard that tripped being recorded. Termination is not something the model does, it's something the controller does.</w:t>
            </w:r>
          </w:p>
          <w:p w14:paraId="696C1881" w14:textId="2DD147A5"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Silent failure:</w:t>
            </w:r>
            <w:r w:rsidRPr="006876FE">
              <w:rPr>
                <w:rFonts w:ascii="Times New Roman" w:eastAsia="Times New Roman" w:hAnsi="Times New Roman" w:cs="Times New Roman"/>
                <w:sz w:val="21"/>
              </w:rPr>
              <w:t xml:space="preserve"> Human escalation as an end state delivering the tripped guard, stuck-summary, the failing tests, every patch attempted, and a resume contract!</w:t>
            </w:r>
          </w:p>
          <w:p w14:paraId="72F4F53C" w14:textId="0A9172CE"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of remembered code:</w:t>
            </w:r>
            <w:r w:rsidRPr="006876FE">
              <w:rPr>
                <w:rFonts w:ascii="Times New Roman" w:eastAsia="Times New Roman" w:hAnsi="Times New Roman" w:cs="Times New Roman"/>
                <w:sz w:val="21"/>
              </w:rPr>
              <w:t xml:space="preserve"> deterministic minimal-context assembler accepting only failing tests, import-reachable sources, the difference between them and a moving last-passing reference, and a hard-capped, fully recorded and recorded acceptance text.</w:t>
            </w:r>
          </w:p>
          <w:p w14:paraId="3A70FFF9" w14:textId="09F15689"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the assertion - not the requirement: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a criterion identifier that threads throughout the chain - a red test names the user-level promise that it violated and the agent is shown that promise verbatim.</w:t>
            </w:r>
          </w:p>
          <w:p w14:paraId="1C18D2FE" w14:textId="03A5C7DF"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Deployment as an afterthought: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static infrastructure classification, ordered deployment with injected environment wiring, and health check before the stage may complete.</w:t>
            </w:r>
          </w:p>
          <w:p w14:paraId="7F632473" w14:textId="51675146"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Green suite mis-configured as a working product:</w:t>
            </w:r>
            <w:r w:rsidRPr="006876FE">
              <w:rPr>
                <w:rFonts w:ascii="Times New Roman" w:eastAsia="Times New Roman" w:hAnsi="Times New Roman" w:cs="Times New Roman"/>
                <w:sz w:val="21"/>
              </w:rPr>
              <w:t xml:space="preserve"> the same end-to-end suite re-pointed to the deployed URL, and live failures re-routed the same way through the same bounded loop.</w:t>
            </w:r>
          </w:p>
          <w:p w14:paraId="197A493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Loss of human control:</w:t>
            </w:r>
            <w:r w:rsidRPr="006876FE">
              <w:rPr>
                <w:rFonts w:ascii="Times New Roman" w:eastAsia="Times New Roman" w:hAnsi="Times New Roman" w:cs="Times New Roman"/>
                <w:sz w:val="21"/>
              </w:rPr>
              <w:t xml:space="preserve"> independent per-stage state + a conductor owning transition legality, enter-anywhere is system property, skip and revisit is system property.</w:t>
            </w:r>
          </w:p>
          <w:p w14:paraId="3F163D43" w14:textId="23F6E2CB" w:rsidR="00F30271" w:rsidRDefault="006876FE" w:rsidP="006876FE">
            <w:pPr>
              <w:pStyle w:val="ListParagraph"/>
              <w:numPr>
                <w:ilvl w:val="0"/>
                <w:numId w:val="2"/>
              </w:numPr>
              <w:spacing w:after="60"/>
              <w:jc w:val="both"/>
            </w:pPr>
            <w:r w:rsidRPr="006876FE">
              <w:rPr>
                <w:rFonts w:ascii="Times New Roman" w:eastAsia="Times New Roman" w:hAnsi="Times New Roman" w:cs="Times New Roman"/>
                <w:i/>
                <w:iCs/>
                <w:sz w:val="21"/>
              </w:rPr>
              <w:t>Unpredictable cost</w:t>
            </w:r>
            <w:r>
              <w:rPr>
                <w:rFonts w:ascii="Times New Roman" w:eastAsia="Times New Roman" w:hAnsi="Times New Roman" w:cs="Times New Roman"/>
                <w:sz w:val="21"/>
              </w:rPr>
              <w:t>:</w:t>
            </w:r>
            <w:r w:rsidRPr="006876FE">
              <w:rPr>
                <w:rFonts w:ascii="Times New Roman" w:eastAsia="Times New Roman" w:hAnsi="Times New Roman" w:cs="Times New Roman"/>
                <w:sz w:val="21"/>
              </w:rPr>
              <w:t xml:space="preserve"> role-based model routing, per call token accounting and budgets that kill off work with an actionable message.</w:t>
            </w:r>
          </w:p>
        </w:tc>
      </w:tr>
      <w:tr w:rsidR="00FF01F4" w14:paraId="2B3F2551" w14:textId="77777777" w:rsidTr="005B3D7E">
        <w:tc>
          <w:tcPr>
            <w:tcW w:w="9016" w:type="dxa"/>
            <w:gridSpan w:val="2"/>
            <w:shd w:val="clear" w:color="auto" w:fill="E5DFEC" w:themeFill="accent4" w:themeFillTint="33"/>
          </w:tcPr>
          <w:p w14:paraId="4DFAD80C" w14:textId="77777777" w:rsidR="00FF01F4" w:rsidRPr="00507DA0" w:rsidRDefault="00FF01F4" w:rsidP="00061C5F">
            <w:pPr>
              <w:jc w:val="center"/>
              <w:rPr>
                <w:rFonts w:ascii="Arial Black" w:hAnsi="Arial Black"/>
              </w:rPr>
            </w:pPr>
            <w:r w:rsidRPr="00507DA0">
              <w:rPr>
                <w:rFonts w:ascii="Arial Black" w:hAnsi="Arial Black" w:cs="Times New Roman"/>
              </w:rPr>
              <w:t>Identify the elements that are considered novel</w:t>
            </w:r>
            <w:r w:rsidR="000B76AC">
              <w:rPr>
                <w:rFonts w:ascii="Arial Black" w:hAnsi="Arial Black" w:cs="Times New Roman"/>
              </w:rPr>
              <w:t>/non-obvious</w:t>
            </w:r>
          </w:p>
        </w:tc>
      </w:tr>
      <w:tr w:rsidR="00FF01F4" w14:paraId="03337A28" w14:textId="77777777" w:rsidTr="005B3D7E">
        <w:tc>
          <w:tcPr>
            <w:tcW w:w="9016" w:type="dxa"/>
            <w:gridSpan w:val="2"/>
          </w:tcPr>
          <w:p w14:paraId="7215144E"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1. Controlled and multi-guard termination of an LLM repair loop.</w:t>
            </w:r>
            <w:r w:rsidRPr="002D4FBA">
              <w:rPr>
                <w:rFonts w:ascii="Times New Roman" w:eastAsia="Times New Roman" w:hAnsi="Times New Roman" w:cs="Times New Roman"/>
                <w:sz w:val="21"/>
              </w:rPr>
              <w:t xml:space="preserve"> Four guards in fixed precedence, the regression guard is above the stall guard so that a patch that is failing to make progress is diagnosed as failing to make progress, not as failing to make regression.</w:t>
            </w:r>
          </w:p>
          <w:p w14:paraId="2DB8F61D" w14:textId="5BFF9A66" w:rsidR="002D4FBA" w:rsidRPr="002D4FBA" w:rsidRDefault="002D4FBA" w:rsidP="002D4FBA">
            <w:pPr>
              <w:spacing w:after="80"/>
              <w:ind w:left="432" w:hanging="432"/>
              <w:jc w:val="both"/>
              <w:rPr>
                <w:rFonts w:ascii="Times New Roman" w:eastAsia="Times New Roman" w:hAnsi="Times New Roman" w:cs="Times New Roman"/>
                <w:sz w:val="21"/>
              </w:rPr>
            </w:pPr>
            <w:r>
              <w:rPr>
                <w:rFonts w:ascii="Times New Roman" w:eastAsia="Times New Roman" w:hAnsi="Times New Roman" w:cs="Times New Roman"/>
                <w:b/>
                <w:bCs/>
                <w:sz w:val="21"/>
              </w:rPr>
              <w:t>2</w:t>
            </w:r>
            <w:r w:rsidRPr="002D4FBA">
              <w:rPr>
                <w:rFonts w:ascii="Times New Roman" w:eastAsia="Times New Roman" w:hAnsi="Times New Roman" w:cs="Times New Roman"/>
                <w:b/>
                <w:bCs/>
                <w:sz w:val="21"/>
              </w:rPr>
              <w:t>.  A single sample of the diff basis.</w:t>
            </w:r>
            <w:r w:rsidRPr="002D4FBA">
              <w:rPr>
                <w:rFonts w:ascii="Times New Roman" w:eastAsia="Times New Roman" w:hAnsi="Times New Roman" w:cs="Times New Roman"/>
                <w:sz w:val="21"/>
              </w:rPr>
              <w:t xml:space="preserve"> The difference is that the reference moves forward on each green run, instead of diffing against the last commit, so diffing against HEAD or a branch point does not give you what changed since it worked.</w:t>
            </w:r>
          </w:p>
          <w:p w14:paraId="2BC68117"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lastRenderedPageBreak/>
              <w:t>3.  Hard-capped repair context deterministically assembled without a model.</w:t>
            </w:r>
            <w:r w:rsidRPr="002D4FBA">
              <w:rPr>
                <w:rFonts w:ascii="Times New Roman" w:eastAsia="Times New Roman" w:hAnsi="Times New Roman" w:cs="Times New Roman"/>
                <w:sz w:val="21"/>
              </w:rPr>
              <w:t xml:space="preserve"> There are three independent character budgets in an import-graph walk, and each trim is recorded to make the context exhaustively unit-testable and reproducible, which is not the case with retrieval- or model-selected context.</w:t>
            </w:r>
          </w:p>
          <w:p w14:paraId="79531EED"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4.  A context under-reach escape hatch with bounded, audited context under-reach.</w:t>
            </w:r>
            <w:r w:rsidRPr="002D4FBA">
              <w:rPr>
                <w:rFonts w:ascii="Times New Roman" w:eastAsia="Times New Roman" w:hAnsi="Times New Roman" w:cs="Times New Roman"/>
                <w:sz w:val="21"/>
              </w:rPr>
              <w:t xml:space="preserve"> If the fix is beyond the reach of the analyser, the agent can ask for a limited number of other non-test files, each of which is noted, and the failure mode is eliminated without compromising minimality.</w:t>
            </w:r>
          </w:p>
          <w:p w14:paraId="04D6668F"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5.  Human escalation as a first class terminal state with a resume contract.</w:t>
            </w:r>
            <w:r w:rsidRPr="002D4FBA">
              <w:rPr>
                <w:rFonts w:ascii="Times New Roman" w:eastAsia="Times New Roman" w:hAnsi="Times New Roman" w:cs="Times New Roman"/>
                <w:sz w:val="21"/>
              </w:rPr>
              <w:t xml:space="preserve"> Non-convergence is a normal recorded outcome (not an exception or a timeout) with a stuck-summary, attempted patches, convergence metrics and stage to resume at.</w:t>
            </w:r>
          </w:p>
          <w:p w14:paraId="30292430"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6.  One criterion identifier threading requirement, test, result and repair.</w:t>
            </w:r>
            <w:r w:rsidRPr="002D4FBA">
              <w:rPr>
                <w:rFonts w:ascii="Times New Roman" w:eastAsia="Times New Roman" w:hAnsi="Times New Roman" w:cs="Times New Roman"/>
                <w:sz w:val="21"/>
              </w:rPr>
              <w:t xml:space="preserve"> Capture and carry records of minting, failure analysis and back into the repair context, including forward coverage proof and backward failure attribution and requirement-grounded repair from a single key.</w:t>
            </w:r>
          </w:p>
          <w:p w14:paraId="355E0DAB"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7.  Independent per stage state, non-destructive staleness cascade.</w:t>
            </w:r>
            <w:r w:rsidRPr="002D4FBA">
              <w:rPr>
                <w:rFonts w:ascii="Times New Roman" w:eastAsia="Times New Roman" w:hAnsi="Times New Roman" w:cs="Times New Roman"/>
                <w:sz w:val="21"/>
              </w:rPr>
              <w:t xml:space="preserve"> Each of the six stages contains its own state and only two orderings are enforced: refining upstream means that the downstream artifact is stale, and each artifact version remains inspectable.</w:t>
            </w:r>
          </w:p>
          <w:p w14:paraId="743F36DB"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8.  Two repair loops (sandbox and live post-deployment failures).</w:t>
            </w:r>
            <w:r w:rsidRPr="002D4FBA">
              <w:rPr>
                <w:rFonts w:ascii="Times New Roman" w:eastAsia="Times New Roman" w:hAnsi="Times New Roman" w:cs="Times New Roman"/>
                <w:sz w:val="21"/>
              </w:rPr>
              <w:t xml:space="preserve"> The live-URL results are normalized to the in-sandbox record shape, so that they can be repaired by the same bounded controller.</w:t>
            </w:r>
          </w:p>
          <w:p w14:paraId="09F47B86" w14:textId="24DF33FB" w:rsidR="002D4FBA" w:rsidRDefault="002D4FBA" w:rsidP="002D4FBA">
            <w:pPr>
              <w:spacing w:after="80"/>
              <w:ind w:left="432" w:hanging="432"/>
              <w:jc w:val="both"/>
            </w:pPr>
            <w:r>
              <w:rPr>
                <w:rFonts w:ascii="Times New Roman" w:eastAsia="Times New Roman" w:hAnsi="Times New Roman" w:cs="Times New Roman"/>
                <w:b/>
                <w:bCs/>
                <w:sz w:val="21"/>
              </w:rPr>
              <w:t>9</w:t>
            </w:r>
            <w:r w:rsidRPr="002D4FBA">
              <w:rPr>
                <w:rFonts w:ascii="Times New Roman" w:eastAsia="Times New Roman" w:hAnsi="Times New Roman" w:cs="Times New Roman"/>
                <w:b/>
                <w:bCs/>
                <w:sz w:val="21"/>
              </w:rPr>
              <w:t>.  Use a budget as a termination guard for the loop.</w:t>
            </w:r>
            <w:r w:rsidRPr="002D4FBA">
              <w:rPr>
                <w:rFonts w:ascii="Times New Roman" w:eastAsia="Times New Roman" w:hAnsi="Times New Roman" w:cs="Times New Roman"/>
                <w:sz w:val="21"/>
              </w:rPr>
              <w:t xml:space="preserve"> The cost is not just reported, it is one of the four guards, and the economy is involved directly in determining when automated repair ends.</w:t>
            </w:r>
          </w:p>
        </w:tc>
      </w:tr>
      <w:tr w:rsidR="000169C4" w14:paraId="420E2EE9" w14:textId="77777777" w:rsidTr="005B3D7E">
        <w:tc>
          <w:tcPr>
            <w:tcW w:w="9016" w:type="dxa"/>
            <w:gridSpan w:val="2"/>
            <w:shd w:val="clear" w:color="auto" w:fill="E5DFEC" w:themeFill="accent4" w:themeFillTint="33"/>
          </w:tcPr>
          <w:p w14:paraId="68E20607" w14:textId="77777777" w:rsidR="000169C4" w:rsidRPr="00507DA0" w:rsidRDefault="00061C5F" w:rsidP="000B76AC">
            <w:pPr>
              <w:jc w:val="center"/>
              <w:rPr>
                <w:rFonts w:ascii="Arial Black" w:hAnsi="Arial Black" w:cs="Times New Roman"/>
              </w:rPr>
            </w:pPr>
            <w:r w:rsidRPr="00061C5F">
              <w:rPr>
                <w:rFonts w:ascii="Arial Black" w:hAnsi="Arial Black" w:cs="Times New Roman"/>
              </w:rPr>
              <w:lastRenderedPageBreak/>
              <w:t>Usefulness/Any Advantages Of The Invention Over Currently Available Technology</w:t>
            </w:r>
          </w:p>
        </w:tc>
      </w:tr>
      <w:tr w:rsidR="000169C4" w14:paraId="1426CCC2" w14:textId="77777777" w:rsidTr="005B3D7E">
        <w:tc>
          <w:tcPr>
            <w:tcW w:w="9016" w:type="dxa"/>
            <w:gridSpan w:val="2"/>
          </w:tcPr>
          <w:p w14:paraId="6B6FDF0D"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Predictable, provable termination.</w:t>
            </w:r>
            <w:r w:rsidRPr="00581D07">
              <w:rPr>
                <w:rFonts w:ascii="Times New Roman" w:eastAsia="Times New Roman" w:hAnsi="Times New Roman" w:cs="Times New Roman"/>
                <w:sz w:val="21"/>
              </w:rPr>
              <w:t xml:space="preserve"> The cost and latency are bounded a priori, whereas published work demonstrates that successive fix-it loops can degrade the security of the code.</w:t>
            </w:r>
          </w:p>
          <w:p w14:paraId="3DCCDEB3" w14:textId="17A07E88"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Reduce the cost of the token per repair.</w:t>
            </w:r>
            <w:r w:rsidRPr="00581D07">
              <w:rPr>
                <w:rFonts w:ascii="Times New Roman" w:eastAsia="Times New Roman" w:hAnsi="Times New Roman" w:cs="Times New Roman"/>
                <w:sz w:val="21"/>
              </w:rPr>
              <w:t xml:space="preserve"> Whole-repository context is replaced by failing tests and import-reachable sources and by a since-last-green difference; copying a fixed skeleton removes scaffolding tokens altogether.</w:t>
            </w:r>
          </w:p>
          <w:p w14:paraId="77883EEF"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Higher repair relevance.</w:t>
            </w:r>
            <w:r w:rsidRPr="00581D07">
              <w:rPr>
                <w:rFonts w:ascii="Times New Roman" w:eastAsia="Times New Roman" w:hAnsi="Times New Roman" w:cs="Times New Roman"/>
                <w:sz w:val="21"/>
              </w:rPr>
              <w:t xml:space="preserve"> The patch addresses the stated requirement, and is a countermeasure for the reported models' tendency to attend to remembered code.</w:t>
            </w:r>
          </w:p>
          <w:p w14:paraId="40E342B9"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Not attempted deployment, but verified.</w:t>
            </w:r>
            <w:r w:rsidRPr="00581D07">
              <w:rPr>
                <w:rFonts w:ascii="Times New Roman" w:eastAsia="Times New Roman" w:hAnsi="Times New Roman" w:cs="Times New Roman"/>
                <w:sz w:val="21"/>
              </w:rPr>
              <w:t xml:space="preserve"> The classification of infrastructure, ordering and deployment of the infrastructure with health checks and a live re-run of the suite provide evidence of the artefact the user will use in practice.</w:t>
            </w:r>
          </w:p>
          <w:p w14:paraId="69837C43"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Auditability.</w:t>
            </w:r>
            <w:r w:rsidRPr="00581D07">
              <w:rPr>
                <w:rFonts w:ascii="Times New Roman" w:eastAsia="Times New Roman" w:hAnsi="Times New Roman" w:cs="Times New Roman"/>
                <w:sz w:val="21"/>
              </w:rPr>
              <w:t xml:space="preserve"> Every automated decision is subject to a review after the fact because of versioned artifacts, per-iteration repair records and per-run cost.</w:t>
            </w:r>
          </w:p>
          <w:p w14:paraId="7442F3FF"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Genuine user control.</w:t>
            </w:r>
            <w:r w:rsidRPr="00581D07">
              <w:rPr>
                <w:rFonts w:ascii="Times New Roman" w:eastAsia="Times New Roman" w:hAnsi="Times New Roman" w:cs="Times New Roman"/>
                <w:sz w:val="21"/>
              </w:rPr>
              <w:t xml:space="preserve"> Since there is no requirement for any stage, the platform can be used by a non-programmer starting with screenshots and an engineer arriving with an existing workspace.</w:t>
            </w:r>
          </w:p>
          <w:p w14:paraId="47977FC9"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Security by construction.</w:t>
            </w:r>
            <w:r w:rsidRPr="00581D07">
              <w:rPr>
                <w:rFonts w:ascii="Times New Roman" w:eastAsia="Times New Roman" w:hAnsi="Times New Roman" w:cs="Times New Roman"/>
                <w:sz w:val="21"/>
              </w:rPr>
              <w:t xml:space="preserve"> Untrusted code executes only in a network-isolated, capability-dropped container and credentials are encrypted at rest and never returned to the client; it's the boundary that's the control, not the good behaviour of the model.</w:t>
            </w:r>
          </w:p>
          <w:p w14:paraId="026C69E3" w14:textId="1A0E2F7E" w:rsidR="00581D07" w:rsidRDefault="00581D07" w:rsidP="00581D07">
            <w:pPr>
              <w:spacing w:after="60"/>
              <w:ind w:left="461" w:hanging="288"/>
              <w:jc w:val="both"/>
            </w:pPr>
            <w:r w:rsidRPr="00581D07">
              <w:rPr>
                <w:rFonts w:ascii="Times New Roman" w:eastAsia="Times New Roman" w:hAnsi="Times New Roman" w:cs="Times New Roman"/>
                <w:b/>
                <w:bCs/>
                <w:sz w:val="21"/>
              </w:rPr>
              <w:t>•  Vendor neutrality.</w:t>
            </w:r>
            <w:r w:rsidRPr="00581D07">
              <w:rPr>
                <w:rFonts w:ascii="Times New Roman" w:eastAsia="Times New Roman" w:hAnsi="Times New Roman" w:cs="Times New Roman"/>
                <w:sz w:val="21"/>
              </w:rPr>
              <w:t xml:space="preserve"> Model identifiers are configuration and a transport seam supports vendor-native and OpenAI-compatible endpoints, avoiding lock-in to a vendor or cloud.</w:t>
            </w:r>
          </w:p>
        </w:tc>
      </w:tr>
      <w:tr w:rsidR="00FF01F4" w14:paraId="5ADBB1B7" w14:textId="77777777" w:rsidTr="005B3D7E">
        <w:tc>
          <w:tcPr>
            <w:tcW w:w="9016" w:type="dxa"/>
            <w:gridSpan w:val="2"/>
            <w:shd w:val="clear" w:color="auto" w:fill="E5DFEC" w:themeFill="accent4" w:themeFillTint="33"/>
          </w:tcPr>
          <w:p w14:paraId="2F89F729" w14:textId="77777777" w:rsidR="00FF01F4" w:rsidRPr="00507DA0" w:rsidRDefault="00061C5F" w:rsidP="00061C5F">
            <w:pPr>
              <w:ind w:left="360"/>
              <w:jc w:val="center"/>
              <w:rPr>
                <w:rFonts w:ascii="Arial Black" w:hAnsi="Arial Black"/>
                <w:b/>
              </w:rPr>
            </w:pPr>
            <w:r w:rsidRPr="00061C5F">
              <w:rPr>
                <w:rFonts w:ascii="Arial Black" w:hAnsi="Arial Black"/>
                <w:b/>
              </w:rPr>
              <w:t xml:space="preserve">Any other additional description/ </w:t>
            </w:r>
            <w:r>
              <w:rPr>
                <w:rFonts w:ascii="Arial Black" w:hAnsi="Arial Black"/>
                <w:b/>
              </w:rPr>
              <w:t xml:space="preserve"> Attachments /Manuscript disclosing the current invention  </w:t>
            </w:r>
          </w:p>
        </w:tc>
      </w:tr>
      <w:tr w:rsidR="004024EF" w14:paraId="0C4EEB30" w14:textId="77777777" w:rsidTr="005B3D7E">
        <w:tc>
          <w:tcPr>
            <w:tcW w:w="9016" w:type="dxa"/>
            <w:gridSpan w:val="2"/>
          </w:tcPr>
          <w:p w14:paraId="393DA0CF" w14:textId="77777777" w:rsidR="00F30271" w:rsidRDefault="00000000">
            <w:pPr>
              <w:spacing w:before="120" w:after="120"/>
              <w:jc w:val="center"/>
            </w:pPr>
            <w:r>
              <w:rPr>
                <w:rFonts w:ascii="Times New Roman" w:eastAsia="Times New Roman" w:hAnsi="Times New Roman" w:cs="Times New Roman"/>
                <w:b/>
              </w:rPr>
              <w:t>No.</w:t>
            </w:r>
          </w:p>
        </w:tc>
      </w:tr>
      <w:tr w:rsidR="004024EF" w14:paraId="25B790B4" w14:textId="77777777" w:rsidTr="005B3D7E">
        <w:tc>
          <w:tcPr>
            <w:tcW w:w="9016" w:type="dxa"/>
            <w:gridSpan w:val="2"/>
            <w:shd w:val="clear" w:color="auto" w:fill="E5DFEC" w:themeFill="accent4" w:themeFillTint="33"/>
          </w:tcPr>
          <w:p w14:paraId="4AA13693" w14:textId="77777777" w:rsidR="004024EF" w:rsidRPr="004024EF" w:rsidRDefault="00061C5F" w:rsidP="000B76AC">
            <w:pPr>
              <w:jc w:val="center"/>
              <w:rPr>
                <w:rFonts w:ascii="Arial Black" w:hAnsi="Arial Black"/>
              </w:rPr>
            </w:pPr>
            <w:r w:rsidRPr="00061C5F">
              <w:rPr>
                <w:rFonts w:ascii="Arial Black" w:hAnsi="Arial Black"/>
              </w:rPr>
              <w:t>(Optional) Labelled sketches/figures to detail the invention</w:t>
            </w:r>
          </w:p>
        </w:tc>
      </w:tr>
      <w:tr w:rsidR="004024EF" w14:paraId="1DBD7118" w14:textId="77777777" w:rsidTr="005B3D7E">
        <w:tc>
          <w:tcPr>
            <w:tcW w:w="9016" w:type="dxa"/>
            <w:gridSpan w:val="2"/>
          </w:tcPr>
          <w:p w14:paraId="0E370111" w14:textId="77777777" w:rsidR="00F30271" w:rsidRDefault="00000000">
            <w:pPr>
              <w:spacing w:before="80" w:after="160"/>
              <w:jc w:val="both"/>
            </w:pPr>
            <w:r>
              <w:rPr>
                <w:rFonts w:ascii="Times New Roman" w:eastAsia="Times New Roman" w:hAnsi="Times New Roman" w:cs="Times New Roman"/>
                <w:sz w:val="21"/>
              </w:rPr>
              <w:t>Six labelled figures follow; numerals match the Description above.</w:t>
            </w:r>
          </w:p>
          <w:p w14:paraId="6F309B13" w14:textId="77777777" w:rsidR="00F30271" w:rsidRDefault="00000000">
            <w:pPr>
              <w:spacing w:before="120" w:after="40"/>
              <w:jc w:val="center"/>
            </w:pPr>
            <w:r>
              <w:rPr>
                <w:noProof/>
              </w:rPr>
              <w:lastRenderedPageBreak/>
              <w:drawing>
                <wp:inline distT="0" distB="0" distL="0" distR="0" wp14:anchorId="61FD79A4" wp14:editId="5430687C">
                  <wp:extent cx="5532120" cy="3870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fig1-system-architecture.png"/>
                          <pic:cNvPicPr/>
                        </pic:nvPicPr>
                        <pic:blipFill>
                          <a:blip r:embed="rId7"/>
                          <a:stretch>
                            <a:fillRect/>
                          </a:stretch>
                        </pic:blipFill>
                        <pic:spPr>
                          <a:xfrm>
                            <a:off x="0" y="0"/>
                            <a:ext cx="5532120" cy="3870439"/>
                          </a:xfrm>
                          <a:prstGeom prst="rect">
                            <a:avLst/>
                          </a:prstGeom>
                        </pic:spPr>
                      </pic:pic>
                    </a:graphicData>
                  </a:graphic>
                </wp:inline>
              </w:drawing>
            </w:r>
          </w:p>
          <w:p w14:paraId="36BA270E" w14:textId="03B8B624" w:rsidR="00F30271" w:rsidRDefault="00000000">
            <w:pPr>
              <w:spacing w:after="200"/>
              <w:jc w:val="center"/>
            </w:pPr>
            <w:r>
              <w:rPr>
                <w:rFonts w:ascii="Times New Roman" w:eastAsia="Times New Roman" w:hAnsi="Times New Roman" w:cs="Times New Roman"/>
                <w:i/>
                <w:sz w:val="19"/>
              </w:rPr>
              <w:t xml:space="preserve">Fig. 1:  System </w:t>
            </w:r>
            <w:r w:rsidR="00571444" w:rsidRPr="00571444">
              <w:rPr>
                <w:rFonts w:ascii="Geist Fallback" w:hAnsi="Geist Fallback"/>
                <w:sz w:val="23"/>
                <w:szCs w:val="23"/>
              </w:rPr>
              <w:t xml:space="preserve"> </w:t>
            </w:r>
            <w:r w:rsidR="00571444" w:rsidRPr="00571444">
              <w:rPr>
                <w:rFonts w:ascii="Times New Roman" w:eastAsia="Times New Roman" w:hAnsi="Times New Roman" w:cs="Times New Roman"/>
                <w:i/>
                <w:sz w:val="19"/>
              </w:rPr>
              <w:t>architecture with presentation, control and execution planes and external provider boundary. Untrusted code runs only in the per-project sandbox.</w:t>
            </w:r>
          </w:p>
          <w:p w14:paraId="1E79275E" w14:textId="77777777" w:rsidR="00F30271" w:rsidRDefault="00000000">
            <w:pPr>
              <w:spacing w:before="120" w:after="40"/>
              <w:jc w:val="center"/>
            </w:pPr>
            <w:r>
              <w:rPr>
                <w:noProof/>
              </w:rPr>
              <w:drawing>
                <wp:inline distT="0" distB="0" distL="0" distR="0" wp14:anchorId="60254A11" wp14:editId="11975308">
                  <wp:extent cx="5532120" cy="33866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nonlinear-stage-model.png"/>
                          <pic:cNvPicPr/>
                        </pic:nvPicPr>
                        <pic:blipFill>
                          <a:blip r:embed="rId8"/>
                          <a:stretch>
                            <a:fillRect/>
                          </a:stretch>
                        </pic:blipFill>
                        <pic:spPr>
                          <a:xfrm>
                            <a:off x="0" y="0"/>
                            <a:ext cx="5532120" cy="3386602"/>
                          </a:xfrm>
                          <a:prstGeom prst="rect">
                            <a:avLst/>
                          </a:prstGeom>
                        </pic:spPr>
                      </pic:pic>
                    </a:graphicData>
                  </a:graphic>
                </wp:inline>
              </w:drawing>
            </w:r>
          </w:p>
          <w:p w14:paraId="28E80E7A" w14:textId="56B18170" w:rsidR="00F30271" w:rsidRDefault="00000000">
            <w:pPr>
              <w:spacing w:after="200"/>
              <w:jc w:val="center"/>
            </w:pPr>
            <w:r>
              <w:rPr>
                <w:rFonts w:ascii="Times New Roman" w:eastAsia="Times New Roman" w:hAnsi="Times New Roman" w:cs="Times New Roman"/>
                <w:i/>
                <w:sz w:val="19"/>
              </w:rPr>
              <w:t xml:space="preserve">Fig. 2:  The non-linear stage model </w:t>
            </w:r>
            <w:r w:rsidR="00B92DE2" w:rsidRPr="00B92DE2">
              <w:rPr>
                <w:rFonts w:ascii="Geist Fallback" w:hAnsi="Geist Fallback"/>
                <w:sz w:val="23"/>
                <w:szCs w:val="23"/>
              </w:rPr>
              <w:t xml:space="preserve"> </w:t>
            </w:r>
            <w:r w:rsidR="00B92DE2">
              <w:rPr>
                <w:rFonts w:ascii="Times New Roman" w:eastAsia="Times New Roman" w:hAnsi="Times New Roman" w:cs="Times New Roman"/>
                <w:i/>
                <w:sz w:val="19"/>
              </w:rPr>
              <w:t>Dashed edges are optional</w:t>
            </w:r>
            <w:r w:rsidR="00B92DE2" w:rsidRPr="00B92DE2">
              <w:rPr>
                <w:rFonts w:ascii="Times New Roman" w:eastAsia="Times New Roman" w:hAnsi="Times New Roman" w:cs="Times New Roman"/>
                <w:i/>
                <w:sz w:val="19"/>
              </w:rPr>
              <w:t xml:space="preserve"> (enter-anywhere, skip); the two bold edges are the only ones that must be ordered; refinement propagates a staleness cascade.</w:t>
            </w:r>
          </w:p>
          <w:p w14:paraId="6980232D" w14:textId="77777777" w:rsidR="00F30271" w:rsidRDefault="00000000">
            <w:pPr>
              <w:spacing w:before="120" w:after="40"/>
              <w:jc w:val="center"/>
            </w:pPr>
            <w:r>
              <w:rPr>
                <w:noProof/>
              </w:rPr>
              <w:lastRenderedPageBreak/>
              <w:drawing>
                <wp:inline distT="0" distB="0" distL="0" distR="0" wp14:anchorId="7559201C" wp14:editId="7731D9F0">
                  <wp:extent cx="5532120" cy="47253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ounded-repair-loop.png"/>
                          <pic:cNvPicPr/>
                        </pic:nvPicPr>
                        <pic:blipFill>
                          <a:blip r:embed="rId9"/>
                          <a:stretch>
                            <a:fillRect/>
                          </a:stretch>
                        </pic:blipFill>
                        <pic:spPr>
                          <a:xfrm>
                            <a:off x="0" y="0"/>
                            <a:ext cx="5532120" cy="4725352"/>
                          </a:xfrm>
                          <a:prstGeom prst="rect">
                            <a:avLst/>
                          </a:prstGeom>
                        </pic:spPr>
                      </pic:pic>
                    </a:graphicData>
                  </a:graphic>
                </wp:inline>
              </w:drawing>
            </w:r>
          </w:p>
          <w:p w14:paraId="73D272C6" w14:textId="77777777" w:rsidR="00F30271" w:rsidRDefault="00000000">
            <w:pPr>
              <w:spacing w:after="200"/>
              <w:jc w:val="center"/>
            </w:pPr>
            <w:r>
              <w:rPr>
                <w:rFonts w:ascii="Times New Roman" w:eastAsia="Times New Roman" w:hAnsi="Times New Roman" w:cs="Times New Roman"/>
                <w:i/>
                <w:sz w:val="19"/>
              </w:rPr>
              <w:t>Fig. 3:  The bounded, diff-aware repair loop: minimal context assembly, targeted patch, re-execution, four termination guards in precedence order, escalation as a terminal state.</w:t>
            </w:r>
          </w:p>
          <w:p w14:paraId="6B8A18AD" w14:textId="77777777" w:rsidR="00F30271" w:rsidRDefault="00000000">
            <w:pPr>
              <w:spacing w:before="120" w:after="40"/>
              <w:jc w:val="center"/>
            </w:pPr>
            <w:r>
              <w:rPr>
                <w:noProof/>
              </w:rPr>
              <w:drawing>
                <wp:inline distT="0" distB="0" distL="0" distR="0" wp14:anchorId="4E82D17C" wp14:editId="0BAB6149">
                  <wp:extent cx="5532120" cy="36227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requirements-test-repair-traceability.png"/>
                          <pic:cNvPicPr/>
                        </pic:nvPicPr>
                        <pic:blipFill>
                          <a:blip r:embed="rId10"/>
                          <a:stretch>
                            <a:fillRect/>
                          </a:stretch>
                        </pic:blipFill>
                        <pic:spPr>
                          <a:xfrm>
                            <a:off x="0" y="0"/>
                            <a:ext cx="5532120" cy="3622713"/>
                          </a:xfrm>
                          <a:prstGeom prst="rect">
                            <a:avLst/>
                          </a:prstGeom>
                        </pic:spPr>
                      </pic:pic>
                    </a:graphicData>
                  </a:graphic>
                </wp:inline>
              </w:drawing>
            </w:r>
          </w:p>
          <w:p w14:paraId="2BE1A3B4" w14:textId="55799AE0" w:rsidR="00F30271" w:rsidRDefault="00000000">
            <w:pPr>
              <w:spacing w:after="200"/>
              <w:jc w:val="center"/>
            </w:pPr>
            <w:r>
              <w:rPr>
                <w:rFonts w:ascii="Times New Roman" w:eastAsia="Times New Roman" w:hAnsi="Times New Roman" w:cs="Times New Roman"/>
                <w:i/>
                <w:sz w:val="19"/>
              </w:rPr>
              <w:lastRenderedPageBreak/>
              <w:t>Fig. 4:  The traceability chain:</w:t>
            </w:r>
            <w:r w:rsidR="00B92DE2" w:rsidRPr="00B92DE2">
              <w:rPr>
                <w:rFonts w:ascii="Geist Fallback" w:hAnsi="Geist Fallback"/>
                <w:sz w:val="23"/>
                <w:szCs w:val="23"/>
              </w:rPr>
              <w:t xml:space="preserve"> </w:t>
            </w:r>
            <w:r w:rsidR="00B92DE2" w:rsidRPr="00B92DE2">
              <w:rPr>
                <w:rFonts w:ascii="Times New Roman" w:eastAsia="Times New Roman" w:hAnsi="Times New Roman" w:cs="Times New Roman"/>
                <w:i/>
                <w:sz w:val="19"/>
              </w:rPr>
              <w:t>One criterion identifier carries an acceptance criterion from test generation to test execution, failure analysis and back to the repair context.</w:t>
            </w:r>
          </w:p>
          <w:p w14:paraId="0A51F7CD" w14:textId="77777777" w:rsidR="00F30271" w:rsidRDefault="00000000">
            <w:pPr>
              <w:spacing w:before="120" w:after="40"/>
              <w:jc w:val="center"/>
            </w:pPr>
            <w:r>
              <w:rPr>
                <w:noProof/>
              </w:rPr>
              <w:drawing>
                <wp:inline distT="0" distB="0" distL="0" distR="0" wp14:anchorId="48BFDBD3" wp14:editId="0361113C">
                  <wp:extent cx="5532120" cy="3378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ployment-topology-live-validation.png"/>
                          <pic:cNvPicPr/>
                        </pic:nvPicPr>
                        <pic:blipFill>
                          <a:blip r:embed="rId11"/>
                          <a:stretch>
                            <a:fillRect/>
                          </a:stretch>
                        </pic:blipFill>
                        <pic:spPr>
                          <a:xfrm>
                            <a:off x="0" y="0"/>
                            <a:ext cx="5532120" cy="3378871"/>
                          </a:xfrm>
                          <a:prstGeom prst="rect">
                            <a:avLst/>
                          </a:prstGeom>
                        </pic:spPr>
                      </pic:pic>
                    </a:graphicData>
                  </a:graphic>
                </wp:inline>
              </w:drawing>
            </w:r>
          </w:p>
          <w:p w14:paraId="059C2AEC" w14:textId="77777777" w:rsidR="00F30271" w:rsidRDefault="00000000">
            <w:pPr>
              <w:spacing w:after="200"/>
              <w:jc w:val="center"/>
            </w:pPr>
            <w:r>
              <w:rPr>
                <w:rFonts w:ascii="Times New Roman" w:eastAsia="Times New Roman" w:hAnsi="Times New Roman" w:cs="Times New Roman"/>
                <w:i/>
                <w:sz w:val="19"/>
              </w:rPr>
              <w:t>Fig. 5:  Infrastructure analysis, dual-mode credentials, the deployment topology, and the post-deployment live-validation and live-failure repair path.</w:t>
            </w:r>
          </w:p>
          <w:p w14:paraId="53276318" w14:textId="77777777" w:rsidR="00F30271" w:rsidRDefault="00000000">
            <w:pPr>
              <w:spacing w:before="120" w:after="40"/>
              <w:jc w:val="center"/>
            </w:pPr>
            <w:r>
              <w:rPr>
                <w:noProof/>
              </w:rPr>
              <w:lastRenderedPageBreak/>
              <w:drawing>
                <wp:inline distT="0" distB="0" distL="0" distR="0" wp14:anchorId="3DDEEDA2" wp14:editId="2C4F3A97">
                  <wp:extent cx="5532120" cy="51399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hero-path-sequence.png"/>
                          <pic:cNvPicPr/>
                        </pic:nvPicPr>
                        <pic:blipFill>
                          <a:blip r:embed="rId12"/>
                          <a:stretch>
                            <a:fillRect/>
                          </a:stretch>
                        </pic:blipFill>
                        <pic:spPr>
                          <a:xfrm>
                            <a:off x="0" y="0"/>
                            <a:ext cx="5532120" cy="5139917"/>
                          </a:xfrm>
                          <a:prstGeom prst="rect">
                            <a:avLst/>
                          </a:prstGeom>
                        </pic:spPr>
                      </pic:pic>
                    </a:graphicData>
                  </a:graphic>
                </wp:inline>
              </w:drawing>
            </w:r>
          </w:p>
          <w:p w14:paraId="291174E0" w14:textId="3021F56B" w:rsidR="00F30271" w:rsidRDefault="00000000">
            <w:pPr>
              <w:spacing w:after="200"/>
              <w:jc w:val="center"/>
            </w:pPr>
            <w:r>
              <w:rPr>
                <w:rFonts w:ascii="Times New Roman" w:eastAsia="Times New Roman" w:hAnsi="Times New Roman" w:cs="Times New Roman"/>
                <w:i/>
                <w:sz w:val="19"/>
              </w:rPr>
              <w:t>Fig. 6:  End-to-end</w:t>
            </w:r>
            <w:r w:rsidR="000C2D27" w:rsidRPr="000C2D27">
              <w:rPr>
                <w:rFonts w:ascii="Geist Fallback" w:hAnsi="Geist Fallback"/>
                <w:sz w:val="23"/>
                <w:szCs w:val="23"/>
              </w:rPr>
              <w:t xml:space="preserve"> </w:t>
            </w:r>
            <w:r w:rsidR="000C2D27" w:rsidRPr="000C2D27">
              <w:rPr>
                <w:rFonts w:ascii="Times New Roman" w:eastAsia="Times New Roman" w:hAnsi="Times New Roman" w:cs="Times New Roman"/>
                <w:i/>
                <w:sz w:val="19"/>
              </w:rPr>
              <w:t>sequence from intake to a live URL, validated against production, each step is refinable, skippable and re-enterable.</w:t>
            </w:r>
          </w:p>
        </w:tc>
      </w:tr>
      <w:tr w:rsidR="004024EF" w14:paraId="64DC5202" w14:textId="77777777" w:rsidTr="005B3D7E">
        <w:tc>
          <w:tcPr>
            <w:tcW w:w="9016" w:type="dxa"/>
            <w:gridSpan w:val="2"/>
            <w:shd w:val="clear" w:color="auto" w:fill="E5DFEC" w:themeFill="accent4" w:themeFillTint="33"/>
          </w:tcPr>
          <w:p w14:paraId="07A876A5" w14:textId="77777777" w:rsidR="004024EF" w:rsidRPr="00EC1525" w:rsidRDefault="0024717F" w:rsidP="00F07C4B">
            <w:pPr>
              <w:jc w:val="center"/>
              <w:rPr>
                <w:rFonts w:ascii="Arial Black" w:hAnsi="Arial Black"/>
              </w:rPr>
            </w:pPr>
            <w:r w:rsidRPr="00EC1525">
              <w:rPr>
                <w:rFonts w:ascii="Arial Black" w:hAnsi="Arial Black" w:cs="Times New Roman"/>
                <w:shd w:val="clear" w:color="auto" w:fill="E5DFEC" w:themeFill="accent4" w:themeFillTint="33"/>
              </w:rPr>
              <w:lastRenderedPageBreak/>
              <w:t xml:space="preserve">(Optional) </w:t>
            </w:r>
            <w:r w:rsidRPr="00B66245">
              <w:rPr>
                <w:rFonts w:ascii="Arial Black" w:hAnsi="Arial Black" w:cs="Times New Roman"/>
                <w:shd w:val="clear" w:color="auto" w:fill="E5DFEC" w:themeFill="accent4" w:themeFillTint="33"/>
              </w:rPr>
              <w:t xml:space="preserve">Please list </w:t>
            </w:r>
            <w:r w:rsidR="00EC736F" w:rsidRPr="00B66245">
              <w:rPr>
                <w:rFonts w:ascii="Arial Black" w:hAnsi="Arial Black" w:cs="Times New Roman"/>
                <w:shd w:val="clear" w:color="auto" w:fill="E5DFEC" w:themeFill="accent4" w:themeFillTint="33"/>
              </w:rPr>
              <w:t xml:space="preserve">relevant literature </w:t>
            </w:r>
            <w:r w:rsidRPr="00B66245">
              <w:rPr>
                <w:rFonts w:ascii="Arial Black" w:hAnsi="Arial Black" w:cs="Times New Roman"/>
                <w:shd w:val="clear" w:color="auto" w:fill="E5DFEC" w:themeFill="accent4" w:themeFillTint="33"/>
              </w:rPr>
              <w:t>(</w:t>
            </w:r>
            <w:r w:rsidR="00F07C4B" w:rsidRPr="00B66245">
              <w:rPr>
                <w:rFonts w:ascii="Arial Black" w:hAnsi="Arial Black" w:cs="Times New Roman"/>
                <w:shd w:val="clear" w:color="auto" w:fill="E5DFEC" w:themeFill="accent4" w:themeFillTint="33"/>
              </w:rPr>
              <w:t>patent/non-patent</w:t>
            </w:r>
            <w:r w:rsidRPr="00B66245">
              <w:rPr>
                <w:rFonts w:ascii="Arial Black" w:hAnsi="Arial Black" w:cs="Times New Roman"/>
                <w:shd w:val="clear" w:color="auto" w:fill="E5DFEC" w:themeFill="accent4" w:themeFillTint="33"/>
              </w:rPr>
              <w:t>) or provide as attachments</w:t>
            </w:r>
            <w:r w:rsidR="0001332D">
              <w:rPr>
                <w:rFonts w:ascii="Arial Black" w:hAnsi="Arial Black" w:cs="Times New Roman"/>
                <w:shd w:val="clear" w:color="auto" w:fill="E5DFEC" w:themeFill="accent4" w:themeFillTint="33"/>
              </w:rPr>
              <w:t xml:space="preserve"> </w:t>
            </w:r>
            <w:r w:rsidR="00EC736F" w:rsidRPr="00B66245">
              <w:rPr>
                <w:rFonts w:ascii="Arial Black" w:hAnsi="Arial Black" w:cs="Times New Roman"/>
                <w:shd w:val="clear" w:color="auto" w:fill="E5DFEC" w:themeFill="accent4" w:themeFillTint="33"/>
              </w:rPr>
              <w:t xml:space="preserve">that help to </w:t>
            </w:r>
            <w:r w:rsidR="00F07C4B" w:rsidRPr="00B66245">
              <w:rPr>
                <w:rFonts w:ascii="Arial Black" w:hAnsi="Arial Black" w:cs="Times New Roman"/>
                <w:shd w:val="clear" w:color="auto" w:fill="E5DFEC" w:themeFill="accent4" w:themeFillTint="33"/>
              </w:rPr>
              <w:t>distinguish the prior art from the invention disclosure</w:t>
            </w:r>
          </w:p>
        </w:tc>
      </w:tr>
      <w:tr w:rsidR="004024EF" w14:paraId="387175CB" w14:textId="77777777" w:rsidTr="005B3D7E">
        <w:tc>
          <w:tcPr>
            <w:tcW w:w="9016" w:type="dxa"/>
            <w:gridSpan w:val="2"/>
          </w:tcPr>
          <w:p w14:paraId="70B34AA2" w14:textId="77777777" w:rsidR="004225AE" w:rsidRPr="006246D0" w:rsidRDefault="004225AE" w:rsidP="004225AE">
            <w:pPr>
              <w:spacing w:after="80"/>
              <w:ind w:left="605" w:hanging="605"/>
              <w:jc w:val="both"/>
              <w:rPr>
                <w:rFonts w:ascii="Times New Roman" w:eastAsia="Times New Roman" w:hAnsi="Times New Roman" w:cs="Times New Roman"/>
                <w:b/>
                <w:bCs/>
                <w:sz w:val="21"/>
                <w:szCs w:val="21"/>
              </w:rPr>
            </w:pPr>
            <w:r w:rsidRPr="006246D0">
              <w:rPr>
                <w:rFonts w:ascii="Times New Roman" w:eastAsia="Times New Roman" w:hAnsi="Times New Roman" w:cs="Times New Roman"/>
                <w:b/>
                <w:bCs/>
                <w:sz w:val="21"/>
                <w:szCs w:val="21"/>
              </w:rPr>
              <w:t>A.  Patent literature</w:t>
            </w:r>
          </w:p>
          <w:p w14:paraId="29430DDB" w14:textId="77777777" w:rsidR="004225AE" w:rsidRPr="004225AE" w:rsidRDefault="004225AE" w:rsidP="00AF5C47">
            <w:pPr>
              <w:spacing w:after="80"/>
              <w:ind w:left="-18"/>
              <w:jc w:val="both"/>
              <w:rPr>
                <w:rFonts w:ascii="Times New Roman" w:eastAsia="Times New Roman" w:hAnsi="Times New Roman" w:cs="Times New Roman"/>
                <w:sz w:val="20"/>
              </w:rPr>
            </w:pPr>
            <w:r w:rsidRPr="004225AE">
              <w:rPr>
                <w:rFonts w:ascii="Times New Roman" w:eastAsia="Times New Roman" w:hAnsi="Times New Roman" w:cs="Times New Roman"/>
                <w:sz w:val="20"/>
              </w:rPr>
              <w:t>Each item is the closest located art for one facet of the invention. None shows a guard terminated, diff aware repair loop with requirement keyed context, and does not couple one to post deployment live validation.</w:t>
            </w:r>
          </w:p>
          <w:p w14:paraId="0C775EB5"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AF5C47">
              <w:rPr>
                <w:rFonts w:ascii="Times New Roman" w:eastAsia="Times New Roman" w:hAnsi="Times New Roman" w:cs="Times New Roman"/>
                <w:b/>
                <w:bCs/>
                <w:sz w:val="20"/>
              </w:rPr>
              <w:t>[P1] US 12,423,062 B1</w:t>
            </w:r>
            <w:r w:rsidRPr="004225AE">
              <w:rPr>
                <w:rFonts w:ascii="Times New Roman" w:eastAsia="Times New Roman" w:hAnsi="Times New Roman" w:cs="Times New Roman"/>
                <w:sz w:val="20"/>
              </w:rPr>
              <w:t xml:space="preserve"> “AI-based application build and deployment support system and method,” Inswave Systems (2025); closest overall, an LLM assistant that covers project creation, build and deployment. </w:t>
            </w:r>
            <w:r w:rsidRPr="00AF5C47">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Finds suggestions from a database or the web, no iteration-capped controller, no diff-scoped context, no guards, no re-validation of the deployed artefact.</w:t>
            </w:r>
          </w:p>
          <w:p w14:paraId="5A78F88E" w14:textId="44DD4C95"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[P2]  US 10,956,681 B2</w:t>
            </w:r>
            <w:r>
              <w:rPr>
                <w:rFonts w:ascii="Times New Roman" w:eastAsia="Times New Roman" w:hAnsi="Times New Roman" w:cs="Times New Roman"/>
                <w:sz w:val="20"/>
              </w:rPr>
              <w:t xml:space="preserve"> “Creating apps from natural language descriptions,” Google LLC (2021).</w:t>
            </w:r>
            <w:r w:rsidR="004225AE" w:rsidRPr="004225AE">
              <w:rPr>
                <w:rFonts w:ascii="Times New Roman" w:eastAsia="Times New Roman" w:hAnsi="Times New Roman" w:cs="Times New Roman"/>
                <w:sz w:val="20"/>
              </w:rPr>
              <w:t xml:space="preserve">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generation and publication only, no test compilation, no repair loop, no non-linear stage model.</w:t>
            </w:r>
          </w:p>
          <w:p w14:paraId="6DE43F44"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[P3] US 2024/0345904 A1</w:t>
            </w:r>
            <w:r w:rsidRPr="004225AE">
              <w:rPr>
                <w:rFonts w:ascii="Times New Roman" w:eastAsia="Times New Roman" w:hAnsi="Times New Roman" w:cs="Times New Roman"/>
                <w:sz w:val="20"/>
              </w:rPr>
              <w:t xml:space="preserve"> “Automated Error Resolution in a Software Deployment Pipeline,” Dell Products L.P. (2024); NLP matches CI/CD errors to remediation scripts stored in a repository.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it doesn't select a pre-authored script for a pipeline error, it doesn't define a bounded iteration, it is a synthesised patch from failing application tests.</w:t>
            </w:r>
          </w:p>
          <w:p w14:paraId="685C122E"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[P4]  US 2017/0228220 A1</w:t>
            </w:r>
            <w:r w:rsidRPr="004225AE">
              <w:rPr>
                <w:rFonts w:ascii="Times New Roman" w:eastAsia="Times New Roman" w:hAnsi="Times New Roman" w:cs="Times New Roman"/>
                <w:sz w:val="20"/>
              </w:rPr>
              <w:t xml:space="preserve"> “Self-healing automated script-testing tool,” IBM (2016).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it repairs the application to satisfy the requirement, under a bounded controller, the test is healed to match the application.</w:t>
            </w:r>
          </w:p>
          <w:p w14:paraId="2F325FEE"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lastRenderedPageBreak/>
              <w:t>[P5]  US 11,899,566 B1</w:t>
            </w:r>
            <w:r w:rsidRPr="004225AE">
              <w:rPr>
                <w:rFonts w:ascii="Times New Roman" w:eastAsia="Times New Roman" w:hAnsi="Times New Roman" w:cs="Times New Roman"/>
                <w:sz w:val="20"/>
              </w:rPr>
              <w:t xml:space="preserve"> (Google LLC, 2024) and </w:t>
            </w:r>
            <w:r w:rsidRPr="005538C0">
              <w:rPr>
                <w:rFonts w:ascii="Times New Roman" w:eastAsia="Times New Roman" w:hAnsi="Times New Roman" w:cs="Times New Roman"/>
                <w:b/>
                <w:bCs/>
                <w:sz w:val="20"/>
              </w:rPr>
              <w:t>US 11,829,282 B2</w:t>
            </w:r>
            <w:r w:rsidRPr="004225AE">
              <w:rPr>
                <w:rFonts w:ascii="Times New Roman" w:eastAsia="Times New Roman" w:hAnsi="Times New Roman" w:cs="Times New Roman"/>
                <w:sz w:val="20"/>
              </w:rPr>
              <w:t xml:space="preserve"> (Microsoft, 2023), on ML generation of test cases and assertions.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both get tests from code, but here the tests are compiled from user written acceptance criteria whose identifier remains in the repair context.</w:t>
            </w:r>
          </w:p>
          <w:p w14:paraId="3A96F28C"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[P6]  US 9,940,222 B2</w:t>
            </w:r>
            <w:r w:rsidRPr="004225AE">
              <w:rPr>
                <w:rFonts w:ascii="Times New Roman" w:eastAsia="Times New Roman" w:hAnsi="Times New Roman" w:cs="Times New Roman"/>
                <w:sz w:val="20"/>
              </w:rPr>
              <w:t xml:space="preserve"> “Safety-critical software automated requirements-based test case generation,” General Electric (2018).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model-based and coverage-driven; neither generate nor repair the application and provides no traceability key for a repair context.</w:t>
            </w:r>
          </w:p>
          <w:p w14:paraId="4BE3AA78" w14:textId="76273DF1"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[P7]  US 11,645,548 B1</w:t>
            </w:r>
            <w:r>
              <w:rPr>
                <w:rFonts w:ascii="Times New Roman" w:eastAsia="Times New Roman" w:hAnsi="Times New Roman" w:cs="Times New Roman"/>
                <w:sz w:val="20"/>
              </w:rPr>
              <w:t xml:space="preserve"> / US 2023/0123077 A1 “Automated cloud data and technology solution delivery using ML and AI </w:t>
            </w:r>
            <w:proofErr w:type="spellStart"/>
            <w:r>
              <w:rPr>
                <w:rFonts w:ascii="Times New Roman" w:eastAsia="Times New Roman" w:hAnsi="Times New Roman" w:cs="Times New Roman"/>
                <w:sz w:val="20"/>
              </w:rPr>
              <w:t>modeling</w:t>
            </w:r>
            <w:proofErr w:type="spellEnd"/>
            <w:r>
              <w:rPr>
                <w:rFonts w:ascii="Times New Roman" w:eastAsia="Times New Roman" w:hAnsi="Times New Roman" w:cs="Times New Roman"/>
                <w:sz w:val="20"/>
              </w:rPr>
              <w:t xml:space="preserve">,” McKinsey &amp; Co.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infrastructure-as-code generation without application generation, test-driven repair or post-deployment re-validation.</w:t>
            </w:r>
          </w:p>
          <w:p w14:paraId="780F8D9D"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[P8]  US 10,489,126 B2</w:t>
            </w:r>
            <w:r w:rsidRPr="004225AE">
              <w:rPr>
                <w:rFonts w:ascii="Times New Roman" w:eastAsia="Times New Roman" w:hAnsi="Times New Roman" w:cs="Times New Roman"/>
                <w:sz w:val="20"/>
              </w:rPr>
              <w:t xml:space="preserve"> “Automated code generation,” Oracle (2019) and </w:t>
            </w:r>
            <w:r w:rsidRPr="005538C0">
              <w:rPr>
                <w:rFonts w:ascii="Times New Roman" w:eastAsia="Times New Roman" w:hAnsi="Times New Roman" w:cs="Times New Roman"/>
                <w:b/>
                <w:bCs/>
                <w:sz w:val="20"/>
              </w:rPr>
              <w:t>US 10,360,473 B2</w:t>
            </w:r>
            <w:r w:rsidRPr="004225AE">
              <w:rPr>
                <w:rFonts w:ascii="Times New Roman" w:eastAsia="Times New Roman" w:hAnsi="Times New Roman" w:cs="Times New Roman"/>
                <w:sz w:val="20"/>
              </w:rPr>
              <w:t xml:space="preserve"> “User interface creation from screenshots.” Distinction: screen shot to UI conversion only – here one pluggable, human-refinable, versioned and skippable stage, not the pipeline.</w:t>
            </w:r>
          </w:p>
          <w:p w14:paraId="7353ECAD" w14:textId="4013C43E"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[P9]  US 2024/0020096 A1</w:t>
            </w:r>
            <w:r>
              <w:rPr>
                <w:rFonts w:ascii="Times New Roman" w:eastAsia="Times New Roman" w:hAnsi="Times New Roman" w:cs="Times New Roman"/>
                <w:sz w:val="20"/>
              </w:rPr>
              <w:t xml:space="preserve"> “Generating code using language models trained on computer code,” OpenAI </w:t>
            </w:r>
            <w:proofErr w:type="spellStart"/>
            <w:r>
              <w:rPr>
                <w:rFonts w:ascii="Times New Roman" w:eastAsia="Times New Roman" w:hAnsi="Times New Roman" w:cs="Times New Roman"/>
                <w:sz w:val="20"/>
              </w:rPr>
              <w:t>OpCo</w:t>
            </w:r>
            <w:proofErr w:type="spellEnd"/>
            <w:r>
              <w:rPr>
                <w:rFonts w:ascii="Times New Roman" w:eastAsia="Times New Roman" w:hAnsi="Times New Roman" w:cs="Times New Roman"/>
                <w:sz w:val="20"/>
              </w:rPr>
              <w:t xml:space="preserve"> LLC.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Correctness filtering at function scale, independent sample; no repair controller over an evolving workspace; no termination guards.</w:t>
            </w:r>
          </w:p>
          <w:p w14:paraId="52762C71" w14:textId="77777777" w:rsidR="004225AE" w:rsidRDefault="004225AE">
            <w:pPr>
              <w:spacing w:after="80"/>
              <w:ind w:left="605" w:hanging="605"/>
              <w:jc w:val="both"/>
            </w:pPr>
          </w:p>
          <w:p w14:paraId="01E615C7" w14:textId="77777777" w:rsidR="00F30271" w:rsidRDefault="00000000">
            <w:pPr>
              <w:spacing w:before="180" w:after="80"/>
            </w:pPr>
            <w:r>
              <w:rPr>
                <w:rFonts w:ascii="Times New Roman" w:eastAsia="Times New Roman" w:hAnsi="Times New Roman" w:cs="Times New Roman"/>
                <w:b/>
                <w:sz w:val="21"/>
              </w:rPr>
              <w:t>B.  Non-patent literature</w:t>
            </w:r>
          </w:p>
          <w:p w14:paraId="609C78C4" w14:textId="77777777" w:rsidR="00A63C1B" w:rsidRPr="001B24B2" w:rsidRDefault="00A63C1B" w:rsidP="00A63C1B">
            <w:pPr>
              <w:spacing w:after="80"/>
              <w:ind w:left="605" w:hanging="605"/>
              <w:jc w:val="both"/>
              <w:rPr>
                <w:rFonts w:ascii="Times New Roman" w:eastAsia="Times New Roman" w:hAnsi="Times New Roman" w:cs="Times New Roman"/>
                <w:sz w:val="20"/>
              </w:rPr>
            </w:pPr>
            <w:r w:rsidRPr="001B24B2">
              <w:rPr>
                <w:rFonts w:ascii="Times New Roman" w:eastAsia="Times New Roman" w:hAnsi="Times New Roman" w:cs="Times New Roman"/>
                <w:sz w:val="20"/>
              </w:rPr>
              <w:t>There are five negative empirical results from the literature that motivate claimed elements:</w:t>
            </w:r>
          </w:p>
          <w:p w14:paraId="4E5172F3" w14:textId="77777777" w:rsidR="00F30271" w:rsidRDefault="00000000">
            <w:pPr>
              <w:spacing w:after="80"/>
              <w:ind w:left="605" w:hanging="605"/>
              <w:jc w:val="both"/>
            </w:pPr>
            <w:r>
              <w:rPr>
                <w:rFonts w:ascii="Times New Roman" w:eastAsia="Times New Roman" w:hAnsi="Times New Roman" w:cs="Times New Roman"/>
                <w:b/>
                <w:sz w:val="20"/>
              </w:rPr>
              <w:t xml:space="preserve">[N1]  </w:t>
            </w:r>
            <w:r>
              <w:rPr>
                <w:rFonts w:ascii="Times New Roman" w:eastAsia="Times New Roman" w:hAnsi="Times New Roman" w:cs="Times New Roman"/>
                <w:sz w:val="20"/>
              </w:rPr>
              <w:t>S. Shukla, H. Joshi, R. Syed, “Security degradation in iterative AI code generation,” Proc. IEEE ISTAS 2025, doi:10.1109/ISTAS65609.2025.11269659: repeated self-refinement can weaken security monotonically. Motivates the iteration cap.</w:t>
            </w:r>
          </w:p>
          <w:p w14:paraId="25B3AD38" w14:textId="77777777" w:rsidR="00F30271" w:rsidRDefault="00000000">
            <w:pPr>
              <w:spacing w:after="80"/>
              <w:ind w:left="605" w:hanging="605"/>
              <w:jc w:val="both"/>
            </w:pPr>
            <w:r>
              <w:rPr>
                <w:rFonts w:ascii="Times New Roman" w:eastAsia="Times New Roman" w:hAnsi="Times New Roman" w:cs="Times New Roman"/>
                <w:b/>
                <w:sz w:val="20"/>
              </w:rPr>
              <w:t xml:space="preserve">[N2]  </w:t>
            </w:r>
            <w:r>
              <w:rPr>
                <w:rFonts w:ascii="Times New Roman" w:eastAsia="Times New Roman" w:hAnsi="Times New Roman" w:cs="Times New Roman"/>
                <w:sz w:val="20"/>
              </w:rPr>
              <w:t>T. Kiecker et al., “Is three the magic number?” arXiv:2607.05197 (2026); J. J. Arimbur, arXiv:2604.10508 (2026): most attainable gain arrives within one to three iterations. Motivates the cap and stall guard.</w:t>
            </w:r>
          </w:p>
          <w:p w14:paraId="7909081E" w14:textId="77777777" w:rsidR="00F30271" w:rsidRDefault="00000000">
            <w:pPr>
              <w:spacing w:after="80"/>
              <w:ind w:left="605" w:hanging="605"/>
              <w:jc w:val="both"/>
            </w:pPr>
            <w:r>
              <w:rPr>
                <w:rFonts w:ascii="Times New Roman" w:eastAsia="Times New Roman" w:hAnsi="Times New Roman" w:cs="Times New Roman"/>
                <w:b/>
                <w:sz w:val="20"/>
              </w:rPr>
              <w:t xml:space="preserve">[N3]  </w:t>
            </w:r>
            <w:r>
              <w:rPr>
                <w:rFonts w:ascii="Times New Roman" w:eastAsia="Times New Roman" w:hAnsi="Times New Roman" w:cs="Times New Roman"/>
                <w:sz w:val="20"/>
              </w:rPr>
              <w:t>S. Haroon, M. T. Khan, M. A. Gulzar, “Evaluating LLM-based test generation under software evolution,” arXiv:2603.23443 (2026): suites lose validity as code changes because models attend to remembered code. Its recommended highlighted diff is the basis of the moving last-passing reference.</w:t>
            </w:r>
          </w:p>
          <w:p w14:paraId="6A8971BD" w14:textId="77777777" w:rsidR="00F30271" w:rsidRDefault="00000000">
            <w:pPr>
              <w:spacing w:after="80"/>
              <w:ind w:left="605" w:hanging="605"/>
              <w:jc w:val="both"/>
            </w:pPr>
            <w:r>
              <w:rPr>
                <w:rFonts w:ascii="Times New Roman" w:eastAsia="Times New Roman" w:hAnsi="Times New Roman" w:cs="Times New Roman"/>
                <w:b/>
                <w:sz w:val="20"/>
              </w:rPr>
              <w:t xml:space="preserve">[N4]  </w:t>
            </w:r>
            <w:r>
              <w:rPr>
                <w:rFonts w:ascii="Times New Roman" w:eastAsia="Times New Roman" w:hAnsi="Times New Roman" w:cs="Times New Roman"/>
                <w:sz w:val="20"/>
              </w:rPr>
              <w:t>T. Zhang et al., “Deployability-centric infrastructure-as-code generation,” arXiv:2506.05623 (2025): first-attempt deployment success of 30.2% and 26.8% for two frontier models. Motivates infrastructure classification and live validation.</w:t>
            </w:r>
          </w:p>
          <w:p w14:paraId="35DD4FD4" w14:textId="77777777" w:rsidR="00F30271" w:rsidRDefault="00000000">
            <w:pPr>
              <w:spacing w:after="80"/>
              <w:ind w:left="605" w:hanging="605"/>
              <w:jc w:val="both"/>
            </w:pPr>
            <w:r>
              <w:rPr>
                <w:rFonts w:ascii="Times New Roman" w:eastAsia="Times New Roman" w:hAnsi="Times New Roman" w:cs="Times New Roman"/>
                <w:b/>
                <w:sz w:val="20"/>
              </w:rPr>
              <w:t xml:space="preserve">[N5]  </w:t>
            </w:r>
            <w:r>
              <w:rPr>
                <w:rFonts w:ascii="Times New Roman" w:eastAsia="Times New Roman" w:hAnsi="Times New Roman" w:cs="Times New Roman"/>
                <w:sz w:val="20"/>
              </w:rPr>
              <w:t>N. Tang et al., arXiv:2605.29442 (2026); R. Huang et al., arXiv:2512.14012 (2025); W. Takerngsaksiri et al., “Human-in-the-loop software development agents,” Proc. ICSE-SEIP 2025, doi:10.1109/ICSE-SEIP66354.2025.00036: developer-agent misalignment and deliberate practitioner control. Motivate the non-linear stage model and escalation.</w:t>
            </w:r>
          </w:p>
          <w:p w14:paraId="064C4EA3" w14:textId="472C92AB" w:rsidR="001B24B2" w:rsidRPr="00571444" w:rsidRDefault="00000000" w:rsidP="00571444">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 xml:space="preserve">[N6]  </w:t>
            </w:r>
            <w:r>
              <w:rPr>
                <w:rFonts w:ascii="Times New Roman" w:eastAsia="Times New Roman" w:hAnsi="Times New Roman" w:cs="Times New Roman"/>
                <w:sz w:val="20"/>
              </w:rPr>
              <w:t>C. S. Xia et al., “Agentless,” Proc. ACM Softw. Eng. 2(FSE) 2025, doi:10.1145/3715754; I. Bouzenia et al., “RepairAgent,” Proc. ICSE 2025; C. Si et al., “Design2Code,” Proc. NAACL 2025; R. Rabin et al., “SandboxEval,” arXiv:2504.00018 (2025): motivating respectively the deterministic pipeline and copied skeleton, the contrast with unbounded autonomous repair, and the sandbox threat model.</w:t>
            </w:r>
          </w:p>
        </w:tc>
      </w:tr>
      <w:tr w:rsidR="005663DA" w14:paraId="434D7429" w14:textId="77777777" w:rsidTr="005663DA">
        <w:tc>
          <w:tcPr>
            <w:tcW w:w="9016" w:type="dxa"/>
            <w:gridSpan w:val="2"/>
            <w:shd w:val="clear" w:color="auto" w:fill="E5DFEC" w:themeFill="accent4" w:themeFillTint="33"/>
          </w:tcPr>
          <w:p w14:paraId="73C0B786" w14:textId="77777777" w:rsidR="005663DA" w:rsidRDefault="005663DA" w:rsidP="004024EF">
            <w:pPr>
              <w:jc w:val="center"/>
              <w:rPr>
                <w:rFonts w:ascii="Arial Black" w:hAnsi="Arial Black" w:cs="Times New Roman"/>
                <w:sz w:val="24"/>
                <w:szCs w:val="24"/>
              </w:rPr>
            </w:pPr>
            <w:r>
              <w:rPr>
                <w:rFonts w:ascii="Arial Black" w:hAnsi="Arial Black" w:cs="Times New Roman"/>
                <w:sz w:val="24"/>
                <w:szCs w:val="24"/>
              </w:rPr>
              <w:lastRenderedPageBreak/>
              <w:t xml:space="preserve">Details of funding (MJRP/MRP or </w:t>
            </w:r>
            <w:r w:rsidR="00434F27" w:rsidRPr="00434F27">
              <w:rPr>
                <w:rFonts w:ascii="Arial Black" w:hAnsi="Arial Black" w:cs="Times New Roman"/>
                <w:sz w:val="24"/>
                <w:szCs w:val="24"/>
              </w:rPr>
              <w:t>extramural</w:t>
            </w:r>
            <w:r w:rsidR="00434F27">
              <w:rPr>
                <w:rFonts w:ascii="Arial Black" w:hAnsi="Arial Black" w:cs="Times New Roman"/>
                <w:sz w:val="24"/>
                <w:szCs w:val="24"/>
              </w:rPr>
              <w:t xml:space="preserve"> Grant such as CSIR/DST/DBT/ICMR)</w:t>
            </w:r>
            <w:r w:rsidR="00367794">
              <w:rPr>
                <w:rFonts w:ascii="Arial Black" w:hAnsi="Arial Black" w:cs="Times New Roman"/>
                <w:sz w:val="24"/>
                <w:szCs w:val="24"/>
              </w:rPr>
              <w:t xml:space="preserve"> OR Industry Involvement</w:t>
            </w:r>
          </w:p>
        </w:tc>
      </w:tr>
      <w:tr w:rsidR="00367794" w14:paraId="52D033A5" w14:textId="77777777" w:rsidTr="00DD7E51">
        <w:trPr>
          <w:trHeight w:val="1114"/>
        </w:trPr>
        <w:tc>
          <w:tcPr>
            <w:tcW w:w="9016" w:type="dxa"/>
            <w:gridSpan w:val="2"/>
          </w:tcPr>
          <w:p w14:paraId="0D6E12B4" w14:textId="77777777" w:rsidR="00F30271" w:rsidRDefault="00000000">
            <w:pPr>
              <w:spacing w:before="80" w:after="60"/>
              <w:jc w:val="both"/>
            </w:pPr>
            <w:r>
              <w:rPr>
                <w:rFonts w:ascii="Times New Roman" w:eastAsia="Times New Roman" w:hAnsi="Times New Roman" w:cs="Times New Roman"/>
                <w:b/>
                <w:sz w:val="21"/>
              </w:rPr>
              <w:t xml:space="preserve">Nil. </w:t>
            </w:r>
            <w:r>
              <w:rPr>
                <w:rFonts w:ascii="Times New Roman" w:eastAsia="Times New Roman" w:hAnsi="Times New Roman" w:cs="Times New Roman"/>
                <w:sz w:val="21"/>
              </w:rPr>
              <w:t>The invention arose from an unfunded B.Tech (CSE) project at Symbiosis Institute of Technology under the guidance of Dr. Payal Kadam. No MJRP, MRP or extramural grant (CSIR / DST / DBT / ICMR or other) supported it, and there is no industry sponsorship, collaboration or consultancy. Model API and cloud costs were borne personally by the inventors, so no third party has any ownership claim.</w:t>
            </w:r>
          </w:p>
        </w:tc>
      </w:tr>
      <w:tr w:rsidR="00061C5F" w14:paraId="539FBDE1" w14:textId="77777777" w:rsidTr="005B3D7E">
        <w:tc>
          <w:tcPr>
            <w:tcW w:w="9016" w:type="dxa"/>
            <w:gridSpan w:val="2"/>
            <w:shd w:val="clear" w:color="auto" w:fill="E5DFEC" w:themeFill="accent4" w:themeFillTint="33"/>
          </w:tcPr>
          <w:p w14:paraId="185A19E2" w14:textId="77777777" w:rsidR="00061C5F" w:rsidRPr="00061C5F" w:rsidRDefault="00061C5F" w:rsidP="00061C5F">
            <w:pPr>
              <w:jc w:val="center"/>
              <w:rPr>
                <w:rFonts w:ascii="Arial Black" w:hAnsi="Arial Black"/>
              </w:rPr>
            </w:pPr>
            <w:r w:rsidRPr="00061C5F">
              <w:rPr>
                <w:rFonts w:ascii="Arial Black" w:hAnsi="Arial Black"/>
              </w:rPr>
              <w:t>Any additional notes or comments?</w:t>
            </w:r>
          </w:p>
        </w:tc>
      </w:tr>
      <w:tr w:rsidR="00061C5F" w14:paraId="00203F14" w14:textId="77777777" w:rsidTr="005B3D7E">
        <w:tc>
          <w:tcPr>
            <w:tcW w:w="9016" w:type="dxa"/>
            <w:gridSpan w:val="2"/>
          </w:tcPr>
          <w:p w14:paraId="32444538" w14:textId="5F527BDA" w:rsidR="00F30271" w:rsidRPr="00ED243C" w:rsidRDefault="00ED243C">
            <w:pPr>
              <w:spacing w:before="80" w:after="60"/>
              <w:jc w:val="both"/>
              <w:rPr>
                <w:b/>
                <w:bCs/>
              </w:rPr>
            </w:pPr>
            <w:r w:rsidRPr="00ED243C">
              <w:rPr>
                <w:rFonts w:ascii="Times New Roman" w:eastAsia="Times New Roman" w:hAnsi="Times New Roman" w:cs="Times New Roman"/>
                <w:b/>
                <w:bCs/>
                <w:sz w:val="21"/>
              </w:rPr>
              <w:t>Nil</w:t>
            </w:r>
            <w:r>
              <w:rPr>
                <w:rFonts w:ascii="Times New Roman" w:eastAsia="Times New Roman" w:hAnsi="Times New Roman" w:cs="Times New Roman"/>
                <w:b/>
                <w:bCs/>
                <w:sz w:val="21"/>
              </w:rPr>
              <w:t>.</w:t>
            </w:r>
          </w:p>
        </w:tc>
      </w:tr>
    </w:tbl>
    <w:p w14:paraId="70208B8C" w14:textId="77777777" w:rsidR="00A07AFE" w:rsidRDefault="00A07AFE" w:rsidP="00FF01F4">
      <w:pPr>
        <w:jc w:val="center"/>
      </w:pPr>
    </w:p>
    <w:p w14:paraId="2B967D49" w14:textId="77777777" w:rsidR="00A07AFE" w:rsidRPr="00382C10" w:rsidRDefault="00A07AFE" w:rsidP="00A07AFE">
      <w:pPr>
        <w:rPr>
          <w:rFonts w:ascii="Arial Black" w:hAnsi="Arial Black"/>
        </w:rPr>
      </w:pPr>
      <w:r w:rsidRPr="00382C10">
        <w:rPr>
          <w:rFonts w:ascii="Arial Black" w:hAnsi="Arial Black"/>
        </w:rPr>
        <w:t>Date:  05 / 09 / 2026</w:t>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t>Endorsement by the Director</w:t>
      </w:r>
    </w:p>
    <w:p w14:paraId="4751324F" w14:textId="77777777" w:rsidR="00A07AFE" w:rsidRDefault="00A07AFE" w:rsidP="00A07AFE">
      <w:pPr>
        <w:rPr>
          <w:b/>
        </w:rPr>
      </w:pPr>
      <w:r w:rsidRPr="00382C10">
        <w:rPr>
          <w:rFonts w:ascii="Arial Black" w:hAnsi="Arial Black"/>
        </w:rPr>
        <w:lastRenderedPageBreak/>
        <w:t>Place:  Pune, Maharashtra, India</w:t>
      </w:r>
      <w:r w:rsidRPr="00382C10">
        <w:rPr>
          <w:rFonts w:ascii="Arial Black" w:hAnsi="Arial Black"/>
        </w:rPr>
        <w:tab/>
      </w:r>
      <w:r>
        <w:rPr>
          <w:b/>
        </w:rPr>
        <w:tab/>
      </w:r>
      <w:r>
        <w:rPr>
          <w:b/>
        </w:rPr>
        <w:tab/>
      </w:r>
      <w:r>
        <w:rPr>
          <w:b/>
        </w:rPr>
        <w:tab/>
      </w:r>
      <w:r>
        <w:rPr>
          <w:b/>
        </w:rPr>
        <w:tab/>
      </w:r>
      <w:r>
        <w:rPr>
          <w:b/>
        </w:rPr>
        <w:tab/>
      </w:r>
      <w:r>
        <w:rPr>
          <w:b/>
        </w:rPr>
        <w:tab/>
      </w:r>
      <w:r>
        <w:rPr>
          <w:b/>
        </w:rPr>
        <w:tab/>
      </w:r>
      <w:r>
        <w:rPr>
          <w:b/>
        </w:rPr>
        <w:tab/>
      </w:r>
    </w:p>
    <w:p w14:paraId="1103E3E8" w14:textId="77777777" w:rsidR="00A07AFE" w:rsidRDefault="00A07AFE" w:rsidP="00A07AFE">
      <w:pPr>
        <w:rPr>
          <w:b/>
        </w:rPr>
      </w:pPr>
    </w:p>
    <w:p w14:paraId="5D4B01A3" w14:textId="77777777" w:rsidR="00A07AFE" w:rsidRPr="00A07AFE" w:rsidRDefault="00A07AFE" w:rsidP="00A07AFE">
      <w:pPr>
        <w:rPr>
          <w:b/>
        </w:rPr>
      </w:pPr>
      <w:r>
        <w:rPr>
          <w:b/>
        </w:rPr>
        <w:t xml:space="preserve">                                                                                                                                         </w:t>
      </w:r>
    </w:p>
    <w:p w14:paraId="218AB98F" w14:textId="77777777" w:rsidR="00A07AFE" w:rsidRPr="00A07AFE" w:rsidRDefault="00A07AFE" w:rsidP="00A07AFE">
      <w:pPr>
        <w:ind w:left="6480"/>
        <w:rPr>
          <w:b/>
        </w:rPr>
      </w:pPr>
    </w:p>
    <w:sectPr w:rsidR="00A07AFE" w:rsidRPr="00A07AFE" w:rsidSect="00DC3432">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87F30" w14:textId="77777777" w:rsidR="00D752A1" w:rsidRDefault="00D752A1" w:rsidP="00FC09DA">
      <w:pPr>
        <w:spacing w:after="0" w:line="240" w:lineRule="auto"/>
      </w:pPr>
      <w:r>
        <w:separator/>
      </w:r>
    </w:p>
  </w:endnote>
  <w:endnote w:type="continuationSeparator" w:id="0">
    <w:p w14:paraId="14996EB8" w14:textId="77777777" w:rsidR="00D752A1" w:rsidRDefault="00D752A1" w:rsidP="00FC0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Geist Fallback">
    <w:altName w:val="Cambria"/>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7A2327" w14:textId="77777777" w:rsidR="00507A45" w:rsidRDefault="00507A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76F7A6" w14:textId="77777777" w:rsidR="00507A45" w:rsidRDefault="00507A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C0DA8" w14:textId="77777777" w:rsidR="00507A45" w:rsidRDefault="00507A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BE9BD7" w14:textId="77777777" w:rsidR="00D752A1" w:rsidRDefault="00D752A1" w:rsidP="00FC09DA">
      <w:pPr>
        <w:spacing w:after="0" w:line="240" w:lineRule="auto"/>
      </w:pPr>
      <w:r>
        <w:separator/>
      </w:r>
    </w:p>
  </w:footnote>
  <w:footnote w:type="continuationSeparator" w:id="0">
    <w:p w14:paraId="5E1E963B" w14:textId="77777777" w:rsidR="00D752A1" w:rsidRDefault="00D752A1" w:rsidP="00FC0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4D06F" w14:textId="77777777" w:rsidR="00507A45" w:rsidRDefault="00507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16528" w14:textId="77777777" w:rsidR="00EC2AC9" w:rsidRPr="00EC2AC9" w:rsidRDefault="00507A45" w:rsidP="00EC2AC9">
    <w:pPr>
      <w:pStyle w:val="Header"/>
      <w:jc w:val="center"/>
      <w:rPr>
        <w:b/>
        <w:sz w:val="32"/>
        <w:szCs w:val="32"/>
        <w:u w:val="single"/>
      </w:rPr>
    </w:pPr>
    <w:r>
      <w:rPr>
        <w:b/>
        <w:sz w:val="32"/>
        <w:szCs w:val="32"/>
        <w:u w:val="single"/>
      </w:rPr>
      <w:t>ANNEXURE-I</w:t>
    </w:r>
    <w:r w:rsidR="00743B79">
      <w:rPr>
        <w:b/>
        <w:sz w:val="32"/>
        <w:szCs w:val="32"/>
        <w:u w:val="single"/>
      </w:rPr>
      <w:t>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9F46B9" w14:textId="77777777" w:rsidR="00507A45" w:rsidRDefault="00507A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4C2FB0"/>
    <w:multiLevelType w:val="singleLevel"/>
    <w:tmpl w:val="6F020B96"/>
    <w:lvl w:ilvl="0">
      <w:start w:val="3"/>
      <w:numFmt w:val="decimal"/>
      <w:lvlText w:val="%1."/>
      <w:lvlJc w:val="left"/>
      <w:pPr>
        <w:tabs>
          <w:tab w:val="num" w:pos="720"/>
        </w:tabs>
        <w:ind w:left="720" w:hanging="720"/>
      </w:pPr>
      <w:rPr>
        <w:rFonts w:hint="default"/>
      </w:rPr>
    </w:lvl>
  </w:abstractNum>
  <w:abstractNum w:abstractNumId="1" w15:restartNumberingAfterBreak="0">
    <w:nsid w:val="4AB545B6"/>
    <w:multiLevelType w:val="hybridMultilevel"/>
    <w:tmpl w:val="27902D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9836724">
    <w:abstractNumId w:val="0"/>
  </w:num>
  <w:num w:numId="2" w16cid:durableId="100724486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I3NTcxNjQ2NzM3NTZW0lEKTi0uzszPAykwrAUADKx0ziwAAAA="/>
  </w:docVars>
  <w:rsids>
    <w:rsidRoot w:val="008F5787"/>
    <w:rsid w:val="00010BFD"/>
    <w:rsid w:val="00011268"/>
    <w:rsid w:val="0001332D"/>
    <w:rsid w:val="000169C4"/>
    <w:rsid w:val="0004055A"/>
    <w:rsid w:val="00061C5F"/>
    <w:rsid w:val="00064A5C"/>
    <w:rsid w:val="00091234"/>
    <w:rsid w:val="000B76AC"/>
    <w:rsid w:val="000C2D27"/>
    <w:rsid w:val="00140A8E"/>
    <w:rsid w:val="00141BDF"/>
    <w:rsid w:val="001653C2"/>
    <w:rsid w:val="001B24B2"/>
    <w:rsid w:val="0024717F"/>
    <w:rsid w:val="00290A7C"/>
    <w:rsid w:val="002967B9"/>
    <w:rsid w:val="002A5D89"/>
    <w:rsid w:val="002D4FBA"/>
    <w:rsid w:val="00360CE5"/>
    <w:rsid w:val="00367794"/>
    <w:rsid w:val="00382C10"/>
    <w:rsid w:val="003D7757"/>
    <w:rsid w:val="004024EF"/>
    <w:rsid w:val="004225AE"/>
    <w:rsid w:val="00434F27"/>
    <w:rsid w:val="00507A45"/>
    <w:rsid w:val="00507DA0"/>
    <w:rsid w:val="005538C0"/>
    <w:rsid w:val="005663DA"/>
    <w:rsid w:val="00571444"/>
    <w:rsid w:val="00581D07"/>
    <w:rsid w:val="00583DC1"/>
    <w:rsid w:val="005B3D7E"/>
    <w:rsid w:val="006246D0"/>
    <w:rsid w:val="0063725B"/>
    <w:rsid w:val="0066493D"/>
    <w:rsid w:val="006702E0"/>
    <w:rsid w:val="006876FE"/>
    <w:rsid w:val="006B627D"/>
    <w:rsid w:val="00743B79"/>
    <w:rsid w:val="0075584B"/>
    <w:rsid w:val="00783738"/>
    <w:rsid w:val="00790502"/>
    <w:rsid w:val="007B7DAF"/>
    <w:rsid w:val="007E5D27"/>
    <w:rsid w:val="008663E3"/>
    <w:rsid w:val="008E0A54"/>
    <w:rsid w:val="008F5787"/>
    <w:rsid w:val="009060CB"/>
    <w:rsid w:val="009360B8"/>
    <w:rsid w:val="00974509"/>
    <w:rsid w:val="009E667B"/>
    <w:rsid w:val="00A07AFE"/>
    <w:rsid w:val="00A63C1B"/>
    <w:rsid w:val="00AF5C47"/>
    <w:rsid w:val="00B40F27"/>
    <w:rsid w:val="00B66245"/>
    <w:rsid w:val="00B92DE2"/>
    <w:rsid w:val="00C22614"/>
    <w:rsid w:val="00CC5C0F"/>
    <w:rsid w:val="00D04C2B"/>
    <w:rsid w:val="00D752A1"/>
    <w:rsid w:val="00D76227"/>
    <w:rsid w:val="00DC3432"/>
    <w:rsid w:val="00E33874"/>
    <w:rsid w:val="00EC1525"/>
    <w:rsid w:val="00EC2AC9"/>
    <w:rsid w:val="00EC736F"/>
    <w:rsid w:val="00ED243C"/>
    <w:rsid w:val="00F07C4B"/>
    <w:rsid w:val="00F12B0F"/>
    <w:rsid w:val="00F30271"/>
    <w:rsid w:val="00F65E89"/>
    <w:rsid w:val="00F94312"/>
    <w:rsid w:val="00FC09DA"/>
    <w:rsid w:val="00FF01F4"/>
  </w:rsids>
  <m:mathPr>
    <m:mathFont m:val="Cambria Math"/>
    <m:brkBin m:val="before"/>
    <m:brkBinSub m:val="--"/>
    <m:smallFrac/>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BAFD"/>
  <w15:docId w15:val="{0C3C0347-C82F-40F9-B4E9-5CED1648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3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5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09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09DA"/>
  </w:style>
  <w:style w:type="paragraph" w:styleId="Footer">
    <w:name w:val="footer"/>
    <w:basedOn w:val="Normal"/>
    <w:link w:val="FooterChar"/>
    <w:uiPriority w:val="99"/>
    <w:unhideWhenUsed/>
    <w:rsid w:val="00FC09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9DA"/>
  </w:style>
  <w:style w:type="paragraph" w:styleId="BalloonText">
    <w:name w:val="Balloon Text"/>
    <w:basedOn w:val="Normal"/>
    <w:link w:val="BalloonTextChar"/>
    <w:uiPriority w:val="99"/>
    <w:semiHidden/>
    <w:unhideWhenUsed/>
    <w:rsid w:val="00FC0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09DA"/>
    <w:rPr>
      <w:rFonts w:ascii="Tahoma" w:hAnsi="Tahoma" w:cs="Tahoma"/>
      <w:sz w:val="16"/>
      <w:szCs w:val="16"/>
    </w:rPr>
  </w:style>
  <w:style w:type="paragraph" w:styleId="ListParagraph">
    <w:name w:val="List Paragraph"/>
    <w:basedOn w:val="Normal"/>
    <w:uiPriority w:val="34"/>
    <w:qFormat/>
    <w:rsid w:val="007558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71323656">
      <w:bodyDiv w:val="1"/>
      <w:marLeft w:val="0"/>
      <w:marRight w:val="0"/>
      <w:marTop w:val="0"/>
      <w:marBottom w:val="0"/>
      <w:divBdr>
        <w:top w:val="none" w:sz="0" w:space="0" w:color="auto"/>
        <w:left w:val="none" w:sz="0" w:space="0" w:color="auto"/>
        <w:bottom w:val="none" w:sz="0" w:space="0" w:color="auto"/>
        <w:right w:val="none" w:sz="0" w:space="0" w:color="auto"/>
      </w:divBdr>
      <w:divsChild>
        <w:div w:id="480736489">
          <w:marLeft w:val="0"/>
          <w:marRight w:val="240"/>
          <w:marTop w:val="0"/>
          <w:marBottom w:val="0"/>
          <w:divBdr>
            <w:top w:val="none" w:sz="0" w:space="0" w:color="auto"/>
            <w:left w:val="none" w:sz="0" w:space="0" w:color="auto"/>
            <w:bottom w:val="none" w:sz="0" w:space="0" w:color="auto"/>
            <w:right w:val="none" w:sz="0" w:space="0" w:color="auto"/>
          </w:divBdr>
          <w:divsChild>
            <w:div w:id="1815677239">
              <w:marLeft w:val="0"/>
              <w:marRight w:val="0"/>
              <w:marTop w:val="0"/>
              <w:marBottom w:val="0"/>
              <w:divBdr>
                <w:top w:val="none" w:sz="0" w:space="0" w:color="auto"/>
                <w:left w:val="none" w:sz="0" w:space="0" w:color="auto"/>
                <w:bottom w:val="none" w:sz="0" w:space="0" w:color="auto"/>
                <w:right w:val="none" w:sz="0" w:space="0" w:color="auto"/>
              </w:divBdr>
              <w:divsChild>
                <w:div w:id="1120342677">
                  <w:marLeft w:val="0"/>
                  <w:marRight w:val="0"/>
                  <w:marTop w:val="0"/>
                  <w:marBottom w:val="0"/>
                  <w:divBdr>
                    <w:top w:val="none" w:sz="0" w:space="0" w:color="auto"/>
                    <w:left w:val="none" w:sz="0" w:space="0" w:color="auto"/>
                    <w:bottom w:val="none" w:sz="0" w:space="0" w:color="auto"/>
                    <w:right w:val="none" w:sz="0" w:space="0" w:color="auto"/>
                  </w:divBdr>
                  <w:divsChild>
                    <w:div w:id="1019354639">
                      <w:marLeft w:val="0"/>
                      <w:marRight w:val="0"/>
                      <w:marTop w:val="0"/>
                      <w:marBottom w:val="0"/>
                      <w:divBdr>
                        <w:top w:val="none" w:sz="0" w:space="0" w:color="auto"/>
                        <w:left w:val="none" w:sz="0" w:space="0" w:color="auto"/>
                        <w:bottom w:val="none" w:sz="0" w:space="0" w:color="auto"/>
                        <w:right w:val="none" w:sz="0" w:space="0" w:color="auto"/>
                      </w:divBdr>
                      <w:divsChild>
                        <w:div w:id="1880821479">
                          <w:marLeft w:val="0"/>
                          <w:marRight w:val="0"/>
                          <w:marTop w:val="0"/>
                          <w:marBottom w:val="0"/>
                          <w:divBdr>
                            <w:top w:val="none" w:sz="0" w:space="0" w:color="auto"/>
                            <w:left w:val="none" w:sz="0" w:space="0" w:color="auto"/>
                            <w:bottom w:val="none" w:sz="0" w:space="0" w:color="auto"/>
                            <w:right w:val="none" w:sz="0" w:space="0" w:color="auto"/>
                          </w:divBdr>
                          <w:divsChild>
                            <w:div w:id="1337927942">
                              <w:marLeft w:val="0"/>
                              <w:marRight w:val="0"/>
                              <w:marTop w:val="0"/>
                              <w:marBottom w:val="0"/>
                              <w:divBdr>
                                <w:top w:val="none" w:sz="0" w:space="0" w:color="auto"/>
                                <w:left w:val="none" w:sz="0" w:space="0" w:color="auto"/>
                                <w:bottom w:val="none" w:sz="0" w:space="0" w:color="auto"/>
                                <w:right w:val="none" w:sz="0" w:space="0" w:color="auto"/>
                              </w:divBdr>
                              <w:divsChild>
                                <w:div w:id="60314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1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10</Pages>
  <Words>3139</Words>
  <Characters>17898</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Beena</dc:creator>
  <cp:lastModifiedBy>Faheemuddin Sayyed</cp:lastModifiedBy>
  <cp:revision>19</cp:revision>
  <cp:lastPrinted>2022-10-28T08:41:00Z</cp:lastPrinted>
  <dcterms:created xsi:type="dcterms:W3CDTF">2026-01-13T05:58:00Z</dcterms:created>
  <dcterms:modified xsi:type="dcterms:W3CDTF">2026-09-05T13:12:00Z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4b54b222306e25ad4e55867772e6fbe5907b764e0bdb335f96792eb8eece75fb</vt:lpwstr>
  </property>
</Properties>
</file>