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79166">
      <w:pPr>
        <w:rPr>
          <w:rFonts w:hint="default" w:ascii="Times New Roman" w:hAnsi="Times New Roman" w:cs="Times New Roman"/>
          <w:sz w:val="24"/>
          <w:szCs w:val="24"/>
        </w:rPr>
      </w:pPr>
      <w:r>
        <w:rPr>
          <w:rFonts w:hint="default" w:ascii="Times New Roman" w:hAnsi="Times New Roman" w:cs="Times New Roman"/>
          <w:sz w:val="24"/>
          <w:szCs w:val="24"/>
        </w:rPr>
        <w:t>Section 2 outlines the review process, provides a summary of the literature for the year 2025-2026, and introduces the themes and concepts.</w:t>
      </w:r>
      <w:r>
        <w:rPr>
          <w:rFonts w:hint="default" w:ascii="Times New Roman" w:hAnsi="Times New Roman" w:cs="Times New Roman"/>
          <w:sz w:val="24"/>
          <w:szCs w:val="24"/>
        </w:rPr>
        <w:t xml:space="preserve"> Five threads and identification of research gap. The non-linear stage is described in section 3. The requirements-driven verification is introduced in Section 5, and the model and the architecture are introduced in Section 6. the repair loop and Section 6 deployment and live validation. Section 7 reports the implementation. Section 8 outlines the evaluation design, validation of the metrics and results, Latency and Failure Analysis.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The gap is summarised in Table 1. Research systems don’t deploy and don’t validate the No one validates, and deployed artifact; commercial builders deploy but don't validate; no one escalates for non-convergence. The capabilities as described in Table 1 are compared. It's not a performance comparison, but rather the cited work. The quantitative comparison in Section 8 has the same model and grader, but is against a no-repair baseline.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P1: Verification over generation. Knowing when to make a defensible contribution is the defense's most valuable asset. the system is finished, not how quickly it emits code. P2: A fixed stack of generated apps. Each application created is React. PostgreSQL on the database, with Docker for containerization.Frontend: (Vite + TypeScript), Backend: (Node/Express (TypeScript)), Database: PostgreSQL, Docker: for containerization. MongoDB with Mongoose, with the help of Vitest, Jest + supertest and Playwright. Aiming for a constrained target increases the first-pass generation success, and decreases the number of repairs. time frame, by using a small number of iterations. budget. It also allows for a handwritten 53-file skeleton to be copied instead of generated, which eliminates scaffolding tokens completely—the deterministic-scaffolding lesson from [13]. P3: Cost discipline as an architectural issue.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Artifacts—designs, code changes, requirements, test suites, test runs, repair attempts, deployments, infrastructure plans—are never replaced, versioned—safe “revisit and refine”. P5: Untrusted code is only executed in a sandbox. The control plane never runs the following code: generated code. A Docker container is used for each project and it is run as a non-root user. with no host network, dropped capabilities, and CPU, memory and PID limits, reaped when idle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The four guards end the loop, as they are evaluated in a deliberate precedence order (defaults (All Admin tunable): • Regression guard (2). Trips on the second attempt that breaks a previously passing test. It is assessed first because “my patches keep breaking working code” is A better and more specific diagnosis than the one of “no progress”; a single regression; is allowed because it is a valid patch that will temporarily fail one test. An attempt that if broke something and fixed nothing is reverted, then the loop will never return an The application was not as bad as it found. • Stall guard (2). Failure tests that have not been reduced in the failing-test set. A set that remains the same size is not considered as an iteration; any set with fewer than the previous size is not considered as an iteration. The counter will be reset when shrink is called. • Iteration cap (5). Checked prior to every model call. The default is just above the range of one to three iterations where literature shows the most successful results. In this case, they do not gain anything after the 9th iteration, and the 10th iteration is likely to compromise security. This choice is tested in Section 8.3. Attempts to cancel and block a budget. The loop is also closed when the When the user cancel or budget cap is exhausted, the agent reports that nothing in its If context is safe to patch, then no file is written in two consecutive attempts. A failure classified as a fault escalates in a sandbox environment before any model call at zero token cost. All such ends are escalations, not crashes. Per attempt, RepairAttempt.outcome ∈ {fixed, no progress, regressed} with regression dominating: an attempt that sets one test and fails another is treated as an attempt; as dangerous.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49% of total problem time was used in 19 of the first-attempt failures (3.3% of problems) and the six unrepaired ones alone 29%: Failures, not successes dominate wall-clock The practical case in which you want to stop early is time. Reasoning tokens made up 85% of The tail and most of the cost is due to output tokens. With eight problems in flight per suite (twelve for BFCL), the four benchmarks took 110 min, 1 853 model calls and INR 64.58 (list price upper bound)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For the four AST categories, the mean accuracy on BFCL (Table 5) was 92.7%, and a median latency of 21.5 s per case (p95 29.6 s). All 141 failures have a checker assigned. There are 75 (53%) cases for which no offered function is applicable, and 45 are structural errors. in multi call cases (23 with the wrong number of calls, 22 with a call that matches the number of calls) no expected answer); 15 are argument values out of the range of allowed values; and 6 are type, Errors of unknown function/missing call.</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Practical meaning of the metrics. The base model at function level is almost at its limit. The absolute pass rates are more of an indicator of the model than of ForgeFlow, because they will be more representative of the model if the average is high. What the evaluation identifies is the policy, which got two-thirds of the first-attempt Ended unproductive calls before the cap for 5.7% more calls. At application level the meaningful unit is the acceptance criterion, not the test: both applications exceeded 87–89% of their tests but only achieved 71–78% of their criteria Passing unit tests do not count towards the criterion metric, in is used to indicate a failure in end-to-end behaviour. Making that gap visible, instead of reporting a high test pass rate, is the purpose of the criterion id chain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Construct. Generated-test pass rates compare code generated to the agreement of the test. and made tests, not the user's intention; the criterion metric, and counting an Does not meet the criterion – does not reduce this risk, but does reduce it. Function-level benchmarks exercise the bounded controller, not the diff-aware context. Internal. Each One model was used in the configuration. The temperature 0 decreases but does not become zero. Remove the non-determinism, so that the intervals are sampled over problems, not runs. Concurrently applications were built on one machine, which could have led to some end-to-end failures. HumanEval and MBPP are public and might show up in the model's pass@1 is not accurate because of training data; this has more impact on absolute levels than the repair delta; and HumanEval-TS and BFCL partially address it. External. Results are specific to: one model, one generated-app stack and small CRUD-style applications, and should not be applied to other stacks, to large codebases or to the maintenance of a repository [12, 14]. Conclusion. After 19 failures, and two applications, The effect sizes are not precise, and only the pooled function-level repair effect is statistically significant. significant. The literature review is focused and not comprehensive (Section 2).</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The evaluation is partial: two of the ten applications were executed (one each and with one) The application-level no-repair and context-ablated arms, repeated runs and a The value of the diff-aware context is not tested for second model, not run. The whole application repair and and repair are unproven. The repair loop is not yet able to handle end-to-end failures. The generated-app stack is hardcoded; thus, its applicability is limited. Design The stage is a copy of the visual-fidelity limits reported in [23] that are inherited by intake. human-refinable. Generated tests may meet the letter of a criterion but not its spirit. The control plane is a single node and the escalation summaries are not evaluated with users. and multi-user collaboration are all clearly defined and well understood.There is a clear understanding of mobile, desktop and native targets and multi-user collaboration. Not covered is payments in generated applications and enterprise compliance.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The generation is not the constraint in delivering AI-powered software anymore, verification is. There are five independent lines of evidence that all point in the same direction: evidence generated by AI. iterative self-improvement can be used to correct systematic defects in artifacts; artifacts have systematic quality and security defects; Make code worse; infrastructure generation often fails to deploy; test generation is lost. This is valid when code changes; and developers don't want to lose control. ForgeFlow is a working, human-in-the-loop, non-linear platform that takes an idea from screenshots or a specification to a live, validated URL, with a bounded, diff-aware, escalating A repair loop is located in the center. Its distinguishing commitment is a negative one: the system knows when to stop, and it returns the problem with an auditable account of what it tried. The evaluation backs up this at function level, where bounded repair converted 13 of 19 failures in two attempts and halts itself on the remaining 16, and it reveals the current limit at application level, where the end-to-end failures in the browser are out of bounds. the repair context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is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9A0547"/>
    <w:rsid w:val="069A0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2026-10-16T14:08:00Z</dcterms:created>
  <dc:creator>raghav sonchhatra</dc:creator>
  <cp:lastModifiedBy>raghav sonchhatra</cp:lastModifiedBy>
  <dcterms:modified xsi:type="dcterms:W3CDTF">2026-10-16T14:14:17Z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F47788D57BC2436ABE5AE621DC4CC6BF_11</vt:lpwstr>
  </property>
  <property fmtid="{D5CDD505-2E9C-101B-9397-08002B2CF9AE}" pid="4" name="KSOTemplateDocerSaveRecord">
    <vt:lpwstr>eyJoZGlkIjoiZjJmZTYxNzFkM2Q1MDA2YWViNzA2ZGRmOWUwNmRhOTkiLCJ1c2VySWQiOiI1NjczOTkwMjc4NTMifQ==</vt:lpwstr>
  </property>
</Properties>
</file>