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vertAnchor="text" w:horzAnchor="page" w:tblpX="3994" w:tblpY="63"/>
        <w:tblW w:w="0" w:type="auto"/>
        <w:tblLook w:val="04A0" w:firstRow="1" w:lastRow="0" w:firstColumn="1" w:lastColumn="0" w:noHBand="0" w:noVBand="1"/>
      </w:tblPr>
      <w:tblGrid>
        <w:gridCol w:w="4691"/>
      </w:tblGrid>
      <w:tr w:rsidR="00FF01F4" w14:paraId="7400BE6E" w14:textId="77777777" w:rsidTr="00507A45">
        <w:trPr>
          <w:trHeight w:val="270"/>
        </w:trPr>
        <w:tc>
          <w:tcPr>
            <w:tcW w:w="4691" w:type="dxa"/>
            <w:shd w:val="clear" w:color="auto" w:fill="E5DFEC" w:themeFill="accent4" w:themeFillTint="33"/>
          </w:tcPr>
          <w:p w14:paraId="16090B3C" w14:textId="77777777" w:rsidR="00FF01F4" w:rsidRPr="00FF01F4" w:rsidRDefault="00FF01F4" w:rsidP="00FF01F4">
            <w:pPr>
              <w:jc w:val="center"/>
              <w:rPr>
                <w:rFonts w:ascii="Algerian" w:hAnsi="Algerian" w:cs="Times New Roman"/>
                <w:b/>
                <w:sz w:val="24"/>
                <w:szCs w:val="24"/>
              </w:rPr>
            </w:pPr>
            <w:r w:rsidRPr="00FF01F4">
              <w:rPr>
                <w:rFonts w:ascii="Algerian" w:hAnsi="Algerian" w:cs="Times New Roman"/>
                <w:b/>
                <w:sz w:val="24"/>
                <w:szCs w:val="24"/>
              </w:rPr>
              <w:t xml:space="preserve">INVENTION DISCLOSURE FORM </w:t>
            </w:r>
          </w:p>
        </w:tc>
      </w:tr>
    </w:tbl>
    <w:tbl>
      <w:tblPr>
        <w:tblStyle w:val="TableGrid"/>
        <w:tblpPr w:leftFromText="180" w:rightFromText="180" w:vertAnchor="page" w:horzAnchor="margin" w:tblpY="2431"/>
        <w:tblW w:w="0" w:type="auto"/>
        <w:tblLook w:val="04A0" w:firstRow="1" w:lastRow="0" w:firstColumn="1" w:lastColumn="0" w:noHBand="0" w:noVBand="1"/>
      </w:tblPr>
      <w:tblGrid>
        <w:gridCol w:w="4505"/>
        <w:gridCol w:w="4511"/>
      </w:tblGrid>
      <w:tr w:rsidR="00EC1525" w14:paraId="24F3732A" w14:textId="77777777" w:rsidTr="005B3D7E">
        <w:tc>
          <w:tcPr>
            <w:tcW w:w="4505" w:type="dxa"/>
            <w:shd w:val="clear" w:color="auto" w:fill="E5DFEC" w:themeFill="accent4" w:themeFillTint="33"/>
          </w:tcPr>
          <w:p w14:paraId="5B9686A8" w14:textId="77777777" w:rsidR="00EC1525" w:rsidRPr="00507DA0" w:rsidRDefault="00EC1525" w:rsidP="00FF01F4">
            <w:pPr>
              <w:jc w:val="center"/>
              <w:rPr>
                <w:rFonts w:ascii="Arial Black" w:hAnsi="Arial Black" w:cs="Times New Roman"/>
              </w:rPr>
            </w:pPr>
            <w:r>
              <w:rPr>
                <w:rFonts w:ascii="Arial Black" w:hAnsi="Arial Black" w:cs="Times New Roman"/>
              </w:rPr>
              <w:t xml:space="preserve">Invention disclosure No. </w:t>
            </w:r>
          </w:p>
        </w:tc>
        <w:tc>
          <w:tcPr>
            <w:tcW w:w="4511" w:type="dxa"/>
            <w:shd w:val="clear" w:color="auto" w:fill="E5DFEC" w:themeFill="accent4" w:themeFillTint="33"/>
          </w:tcPr>
          <w:p w14:paraId="38B8CF3F" w14:textId="77777777" w:rsidR="00EC1525" w:rsidRDefault="00B66245" w:rsidP="00FF01F4">
            <w:pPr>
              <w:jc w:val="center"/>
              <w:rPr>
                <w:rFonts w:ascii="Arial Black" w:hAnsi="Arial Black"/>
              </w:rPr>
            </w:pPr>
            <w:r w:rsidRPr="00507DA0">
              <w:rPr>
                <w:rFonts w:ascii="Arial Black" w:hAnsi="Arial Black" w:cs="Times New Roman"/>
              </w:rPr>
              <w:t>Title of the invention</w:t>
            </w:r>
          </w:p>
        </w:tc>
      </w:tr>
      <w:tr w:rsidR="00EC1525" w14:paraId="205D2A86" w14:textId="77777777" w:rsidTr="005B3D7E">
        <w:tc>
          <w:tcPr>
            <w:tcW w:w="4505" w:type="dxa"/>
          </w:tcPr>
          <w:p w14:paraId="2A95CC7B" w14:textId="152197EC" w:rsidR="00F30271" w:rsidRDefault="00F30271">
            <w:pPr>
              <w:spacing w:before="120" w:after="80"/>
              <w:jc w:val="center"/>
            </w:pPr>
          </w:p>
        </w:tc>
        <w:tc>
          <w:tcPr>
            <w:tcW w:w="4511" w:type="dxa"/>
          </w:tcPr>
          <w:p w14:paraId="4FD24354" w14:textId="77777777" w:rsidR="00F30271" w:rsidRDefault="00000000">
            <w:pPr>
              <w:spacing w:before="80" w:after="80"/>
              <w:jc w:val="center"/>
            </w:pPr>
            <w:r>
              <w:rPr>
                <w:rFonts w:ascii="Times New Roman" w:eastAsia="Times New Roman" w:hAnsi="Times New Roman" w:cs="Times New Roman"/>
                <w:b/>
              </w:rPr>
              <w:t>A System and Method for Human-in-the-Loop, Non-Linear Automated Web-Application Delivery Employing a Bounded, Diff-Aware Self-Healing Code-Repair Loop with Requirement-to-Test Traceability and Post-Deployment Live Validation</w:t>
            </w:r>
          </w:p>
          <w:p w14:paraId="506DD3A4" w14:textId="77777777" w:rsidR="00F30271" w:rsidRDefault="00000000">
            <w:pPr>
              <w:spacing w:after="80"/>
              <w:jc w:val="center"/>
            </w:pPr>
            <w:r>
              <w:rPr>
                <w:rFonts w:ascii="Times New Roman" w:eastAsia="Times New Roman" w:hAnsi="Times New Roman" w:cs="Times New Roman"/>
                <w:i/>
                <w:sz w:val="19"/>
              </w:rPr>
              <w:t>(Working title of the prototype: “ForgeFlow”)</w:t>
            </w:r>
          </w:p>
        </w:tc>
      </w:tr>
      <w:tr w:rsidR="005B3D7E" w14:paraId="5513A581" w14:textId="77777777" w:rsidTr="005B3D7E">
        <w:tc>
          <w:tcPr>
            <w:tcW w:w="4505" w:type="dxa"/>
            <w:shd w:val="clear" w:color="auto" w:fill="E5DFEC" w:themeFill="accent4" w:themeFillTint="33"/>
          </w:tcPr>
          <w:p w14:paraId="31351865" w14:textId="77777777" w:rsidR="005B3D7E" w:rsidRDefault="005B3D7E" w:rsidP="00FF01F4">
            <w:pPr>
              <w:jc w:val="center"/>
              <w:rPr>
                <w:rFonts w:ascii="Arial Black" w:hAnsi="Arial Black" w:cs="Times New Roman"/>
              </w:rPr>
            </w:pPr>
            <w:r>
              <w:rPr>
                <w:rFonts w:ascii="Arial Black" w:hAnsi="Arial Black" w:cs="Times New Roman"/>
              </w:rPr>
              <w:t>Applicant Name</w:t>
            </w:r>
          </w:p>
        </w:tc>
        <w:tc>
          <w:tcPr>
            <w:tcW w:w="4511" w:type="dxa"/>
          </w:tcPr>
          <w:p w14:paraId="5CF599A1" w14:textId="77777777" w:rsidR="005B3D7E" w:rsidRPr="007B7DAF" w:rsidRDefault="005B3D7E" w:rsidP="00FF01F4">
            <w:pPr>
              <w:jc w:val="center"/>
              <w:rPr>
                <w:rFonts w:ascii="Arial Black" w:hAnsi="Arial Black"/>
              </w:rPr>
            </w:pPr>
            <w:r w:rsidRPr="007B7DAF">
              <w:rPr>
                <w:rFonts w:ascii="Arial Black" w:hAnsi="Arial Black"/>
              </w:rPr>
              <w:t>Symbiosis International (Deemed University)</w:t>
            </w:r>
          </w:p>
        </w:tc>
      </w:tr>
      <w:tr w:rsidR="005B3D7E" w14:paraId="2A016456" w14:textId="77777777" w:rsidTr="005B3D7E">
        <w:tc>
          <w:tcPr>
            <w:tcW w:w="4505" w:type="dxa"/>
            <w:shd w:val="clear" w:color="auto" w:fill="E5DFEC" w:themeFill="accent4" w:themeFillTint="33"/>
          </w:tcPr>
          <w:p w14:paraId="6DC134E8" w14:textId="77777777" w:rsidR="005B3D7E" w:rsidRDefault="005B3D7E" w:rsidP="00FF01F4">
            <w:pPr>
              <w:jc w:val="center"/>
              <w:rPr>
                <w:rFonts w:ascii="Arial Black" w:hAnsi="Arial Black" w:cs="Times New Roman"/>
              </w:rPr>
            </w:pPr>
            <w:r>
              <w:rPr>
                <w:rFonts w:ascii="Arial Black" w:hAnsi="Arial Black" w:cs="Times New Roman"/>
              </w:rPr>
              <w:t>I</w:t>
            </w:r>
            <w:r w:rsidR="00583DC1">
              <w:rPr>
                <w:rFonts w:ascii="Arial Black" w:hAnsi="Arial Black" w:cs="Times New Roman"/>
              </w:rPr>
              <w:t xml:space="preserve">f </w:t>
            </w:r>
            <w:r>
              <w:rPr>
                <w:rFonts w:ascii="Arial Black" w:hAnsi="Arial Black" w:cs="Times New Roman"/>
              </w:rPr>
              <w:t xml:space="preserve">Joint Applicant collaboration with </w:t>
            </w:r>
            <w:r w:rsidRPr="005B3D7E">
              <w:rPr>
                <w:rFonts w:ascii="Arial Black" w:hAnsi="Arial Black" w:cs="Times New Roman"/>
              </w:rPr>
              <w:t>(</w:t>
            </w:r>
            <w:r w:rsidRPr="005B3D7E">
              <w:rPr>
                <w:rFonts w:ascii="Arial Rounded MT Bold" w:hAnsi="Arial Rounded MT Bold" w:cs="Times New Roman"/>
              </w:rPr>
              <w:t>Joint Applicant Name</w:t>
            </w:r>
            <w:r w:rsidRPr="005B3D7E">
              <w:rPr>
                <w:rFonts w:ascii="Arial Black" w:hAnsi="Arial Black" w:cs="Times New Roman"/>
              </w:rPr>
              <w:t xml:space="preserve">) </w:t>
            </w:r>
          </w:p>
        </w:tc>
        <w:tc>
          <w:tcPr>
            <w:tcW w:w="4511" w:type="dxa"/>
          </w:tcPr>
          <w:p w14:paraId="28178977" w14:textId="77777777" w:rsidR="00F30271" w:rsidRDefault="00000000">
            <w:pPr>
              <w:spacing w:before="80" w:after="80"/>
              <w:jc w:val="center"/>
            </w:pPr>
            <w:r>
              <w:rPr>
                <w:rFonts w:ascii="Times New Roman" w:eastAsia="Times New Roman" w:hAnsi="Times New Roman" w:cs="Times New Roman"/>
              </w:rPr>
              <w:t>Not applicable; no joint applicant.</w:t>
            </w:r>
          </w:p>
        </w:tc>
      </w:tr>
      <w:tr w:rsidR="000169C4" w14:paraId="191EC560" w14:textId="77777777" w:rsidTr="005B3D7E">
        <w:tc>
          <w:tcPr>
            <w:tcW w:w="4505" w:type="dxa"/>
            <w:shd w:val="clear" w:color="auto" w:fill="E5DFEC" w:themeFill="accent4" w:themeFillTint="33"/>
          </w:tcPr>
          <w:p w14:paraId="1273035F" w14:textId="77777777" w:rsidR="000169C4" w:rsidRPr="00507DA0" w:rsidRDefault="000169C4" w:rsidP="00FF01F4">
            <w:pPr>
              <w:jc w:val="center"/>
              <w:rPr>
                <w:rFonts w:ascii="Arial Black" w:hAnsi="Arial Black"/>
              </w:rPr>
            </w:pPr>
            <w:r w:rsidRPr="00507DA0">
              <w:rPr>
                <w:rFonts w:ascii="Arial Black" w:hAnsi="Arial Black" w:cs="Times New Roman"/>
              </w:rPr>
              <w:t>Name of the inventor (s)</w:t>
            </w:r>
          </w:p>
        </w:tc>
        <w:tc>
          <w:tcPr>
            <w:tcW w:w="4511" w:type="dxa"/>
            <w:shd w:val="clear" w:color="auto" w:fill="E5DFEC" w:themeFill="accent4" w:themeFillTint="33"/>
          </w:tcPr>
          <w:p w14:paraId="61551BF7" w14:textId="77777777" w:rsidR="000169C4" w:rsidRPr="00FF01F4" w:rsidRDefault="005B3D7E" w:rsidP="00FF01F4">
            <w:pPr>
              <w:jc w:val="center"/>
              <w:rPr>
                <w:rFonts w:ascii="Arial Black" w:hAnsi="Arial Black"/>
              </w:rPr>
            </w:pPr>
            <w:r w:rsidRPr="007E5D27">
              <w:rPr>
                <w:rFonts w:ascii="Arial Black" w:hAnsi="Arial Black" w:cs="Times New Roman"/>
              </w:rPr>
              <w:t>Inventor(s) Institute &amp; Department Name</w:t>
            </w:r>
            <w:r>
              <w:rPr>
                <w:rFonts w:ascii="Arial Black" w:hAnsi="Arial Black"/>
              </w:rPr>
              <w:t xml:space="preserve"> </w:t>
            </w:r>
          </w:p>
        </w:tc>
      </w:tr>
      <w:tr w:rsidR="000169C4" w14:paraId="587CCE81" w14:textId="77777777" w:rsidTr="005B3D7E">
        <w:tc>
          <w:tcPr>
            <w:tcW w:w="4505" w:type="dxa"/>
          </w:tcPr>
          <w:p w14:paraId="4C86A3E7" w14:textId="77777777" w:rsidR="00F30271" w:rsidRDefault="00F30271">
            <w:pPr>
              <w:spacing w:after="80"/>
            </w:pPr>
          </w:p>
          <w:p w14:paraId="644ABF50" w14:textId="77777777" w:rsidR="00F30271" w:rsidRDefault="00000000">
            <w:pPr>
              <w:spacing w:after="120"/>
              <w:ind w:left="216"/>
            </w:pPr>
            <w:r>
              <w:rPr>
                <w:rFonts w:ascii="Times New Roman" w:eastAsia="Times New Roman" w:hAnsi="Times New Roman" w:cs="Times New Roman"/>
              </w:rPr>
              <w:t>1.  Mr. Faheemuddin Sayyed</w:t>
            </w:r>
          </w:p>
          <w:p w14:paraId="229A5D92" w14:textId="77777777" w:rsidR="00F30271" w:rsidRDefault="00000000">
            <w:pPr>
              <w:spacing w:after="120"/>
              <w:ind w:left="216"/>
            </w:pPr>
            <w:r>
              <w:rPr>
                <w:rFonts w:ascii="Times New Roman" w:eastAsia="Times New Roman" w:hAnsi="Times New Roman" w:cs="Times New Roman"/>
              </w:rPr>
              <w:t>2.  Mr. Sanidhya Awasthi</w:t>
            </w:r>
          </w:p>
          <w:p w14:paraId="17046709" w14:textId="77777777" w:rsidR="00F30271" w:rsidRDefault="00000000">
            <w:pPr>
              <w:spacing w:after="120"/>
              <w:ind w:left="216"/>
            </w:pPr>
            <w:r>
              <w:rPr>
                <w:rFonts w:ascii="Times New Roman" w:eastAsia="Times New Roman" w:hAnsi="Times New Roman" w:cs="Times New Roman"/>
              </w:rPr>
              <w:t>3.  Mr. Raghav Sonchhatra</w:t>
            </w:r>
          </w:p>
          <w:p w14:paraId="1EF17234" w14:textId="77777777" w:rsidR="00F30271" w:rsidRDefault="00000000">
            <w:pPr>
              <w:spacing w:after="120"/>
              <w:ind w:left="216"/>
            </w:pPr>
            <w:r>
              <w:rPr>
                <w:rFonts w:ascii="Times New Roman" w:eastAsia="Times New Roman" w:hAnsi="Times New Roman" w:cs="Times New Roman"/>
              </w:rPr>
              <w:t>4.  Dr. Payal Kadam</w:t>
            </w:r>
          </w:p>
          <w:p w14:paraId="2FB6F5A1" w14:textId="44CDEEE8" w:rsidR="00F30271" w:rsidRDefault="00F30271">
            <w:pPr>
              <w:spacing w:before="80" w:after="80"/>
              <w:ind w:left="216"/>
            </w:pPr>
          </w:p>
        </w:tc>
        <w:tc>
          <w:tcPr>
            <w:tcW w:w="4511" w:type="dxa"/>
          </w:tcPr>
          <w:p w14:paraId="18F9F8EF" w14:textId="77777777" w:rsidR="00F30271" w:rsidRDefault="00F30271">
            <w:pPr>
              <w:spacing w:after="80"/>
            </w:pPr>
          </w:p>
          <w:p w14:paraId="48CF9B53" w14:textId="77777777" w:rsidR="00F30271" w:rsidRDefault="00000000">
            <w:pPr>
              <w:spacing w:after="80"/>
              <w:ind w:left="144"/>
            </w:pPr>
            <w:r>
              <w:rPr>
                <w:rFonts w:ascii="Times New Roman" w:eastAsia="Times New Roman" w:hAnsi="Times New Roman" w:cs="Times New Roman"/>
                <w:b/>
                <w:sz w:val="21"/>
              </w:rPr>
              <w:t>All four inventors:</w:t>
            </w:r>
          </w:p>
          <w:p w14:paraId="5F86A953" w14:textId="77777777" w:rsidR="00F30271" w:rsidRDefault="00000000">
            <w:pPr>
              <w:spacing w:after="40"/>
              <w:ind w:left="144"/>
            </w:pPr>
            <w:r>
              <w:rPr>
                <w:rFonts w:ascii="Times New Roman" w:eastAsia="Times New Roman" w:hAnsi="Times New Roman" w:cs="Times New Roman"/>
                <w:sz w:val="21"/>
              </w:rPr>
              <w:t>B.Tech (CSE), Dept. of Computer Science &amp; Engineering,</w:t>
            </w:r>
          </w:p>
          <w:p w14:paraId="4C1ABDC0" w14:textId="77777777" w:rsidR="00F30271" w:rsidRDefault="00000000">
            <w:pPr>
              <w:spacing w:after="40"/>
              <w:ind w:left="144"/>
            </w:pPr>
            <w:r>
              <w:rPr>
                <w:rFonts w:ascii="Times New Roman" w:eastAsia="Times New Roman" w:hAnsi="Times New Roman" w:cs="Times New Roman"/>
                <w:sz w:val="21"/>
              </w:rPr>
              <w:t>Symbiosis Institute of Technology (SIT),</w:t>
            </w:r>
          </w:p>
          <w:p w14:paraId="38EE5E78" w14:textId="77777777" w:rsidR="00F30271" w:rsidRDefault="00000000">
            <w:pPr>
              <w:spacing w:after="40"/>
              <w:ind w:left="144"/>
            </w:pPr>
            <w:r>
              <w:rPr>
                <w:rFonts w:ascii="Times New Roman" w:eastAsia="Times New Roman" w:hAnsi="Times New Roman" w:cs="Times New Roman"/>
                <w:sz w:val="21"/>
              </w:rPr>
              <w:t>Symbiosis International (Deemed University),</w:t>
            </w:r>
          </w:p>
          <w:p w14:paraId="2BAAF4C4" w14:textId="77777777" w:rsidR="00F30271" w:rsidRDefault="00000000">
            <w:pPr>
              <w:spacing w:after="40"/>
              <w:ind w:left="144"/>
            </w:pPr>
            <w:r>
              <w:rPr>
                <w:rFonts w:ascii="Times New Roman" w:eastAsia="Times New Roman" w:hAnsi="Times New Roman" w:cs="Times New Roman"/>
                <w:sz w:val="21"/>
              </w:rPr>
              <w:t>Lavale, Pune 412115, Maharashtra, India.</w:t>
            </w:r>
          </w:p>
        </w:tc>
      </w:tr>
      <w:tr w:rsidR="007E5D27" w14:paraId="267FEB91" w14:textId="77777777" w:rsidTr="005B3D7E">
        <w:tc>
          <w:tcPr>
            <w:tcW w:w="4505" w:type="dxa"/>
            <w:shd w:val="clear" w:color="auto" w:fill="E5DFEC" w:themeFill="accent4" w:themeFillTint="33"/>
          </w:tcPr>
          <w:p w14:paraId="470B19C2" w14:textId="77777777" w:rsidR="007E5D27" w:rsidRPr="007E5D27" w:rsidRDefault="005B3D7E" w:rsidP="00FF01F4">
            <w:pPr>
              <w:jc w:val="center"/>
              <w:rPr>
                <w:rFonts w:ascii="Arial Black" w:hAnsi="Arial Black" w:cs="Times New Roman"/>
              </w:rPr>
            </w:pPr>
            <w:r w:rsidRPr="005B3D7E">
              <w:rPr>
                <w:rFonts w:ascii="Arial Black" w:hAnsi="Arial Black"/>
                <w:color w:val="000000" w:themeColor="text1"/>
              </w:rPr>
              <w:t>Email address &amp;</w:t>
            </w:r>
            <w:r>
              <w:rPr>
                <w:rFonts w:ascii="Arial Black" w:hAnsi="Arial Black"/>
                <w:color w:val="000000" w:themeColor="text1"/>
              </w:rPr>
              <w:t xml:space="preserve"> </w:t>
            </w:r>
            <w:r w:rsidRPr="005B3D7E">
              <w:rPr>
                <w:rFonts w:ascii="Arial Black" w:hAnsi="Arial Black"/>
                <w:color w:val="000000" w:themeColor="text1"/>
              </w:rPr>
              <w:t xml:space="preserve">Phone number </w:t>
            </w:r>
            <w:r w:rsidRPr="005B3D7E">
              <w:rPr>
                <w:rFonts w:ascii="Arial Black" w:hAnsi="Arial Black" w:cs="Times New Roman"/>
                <w:color w:val="000000" w:themeColor="text1"/>
              </w:rPr>
              <w:t>of the inventor (s)</w:t>
            </w:r>
          </w:p>
        </w:tc>
        <w:tc>
          <w:tcPr>
            <w:tcW w:w="4511" w:type="dxa"/>
          </w:tcPr>
          <w:p w14:paraId="518A5D7A" w14:textId="4A614B93" w:rsidR="00F30271" w:rsidRDefault="00000000">
            <w:pPr>
              <w:spacing w:after="60"/>
              <w:ind w:left="144"/>
            </w:pPr>
            <w:r>
              <w:rPr>
                <w:rFonts w:ascii="Times New Roman" w:eastAsia="Times New Roman" w:hAnsi="Times New Roman" w:cs="Times New Roman"/>
                <w:b/>
                <w:sz w:val="21"/>
              </w:rPr>
              <w:t xml:space="preserve">Faheemuddin Sayyed:  </w:t>
            </w:r>
            <w:r>
              <w:rPr>
                <w:rFonts w:ascii="Times New Roman" w:eastAsia="Times New Roman" w:hAnsi="Times New Roman" w:cs="Times New Roman"/>
                <w:sz w:val="21"/>
              </w:rPr>
              <w:t>faheemuddinsayyed789@gmail.com</w:t>
            </w:r>
            <w:r>
              <w:rPr>
                <w:rFonts w:ascii="Times New Roman" w:eastAsia="Times New Roman" w:hAnsi="Times New Roman" w:cs="Times New Roman"/>
                <w:i/>
                <w:sz w:val="21"/>
              </w:rPr>
              <w:t xml:space="preserve">   |   Phone: +91 </w:t>
            </w:r>
            <w:r w:rsidR="00360CE5">
              <w:rPr>
                <w:rFonts w:ascii="Times New Roman" w:eastAsia="Times New Roman" w:hAnsi="Times New Roman" w:cs="Times New Roman"/>
                <w:i/>
                <w:sz w:val="21"/>
              </w:rPr>
              <w:t>9356763651</w:t>
            </w:r>
          </w:p>
          <w:p w14:paraId="4430FC18" w14:textId="08EE8167" w:rsidR="00F30271" w:rsidRDefault="00000000">
            <w:pPr>
              <w:spacing w:after="60"/>
              <w:ind w:left="144"/>
            </w:pPr>
            <w:r>
              <w:rPr>
                <w:rFonts w:ascii="Times New Roman" w:eastAsia="Times New Roman" w:hAnsi="Times New Roman" w:cs="Times New Roman"/>
                <w:b/>
                <w:sz w:val="21"/>
              </w:rPr>
              <w:t xml:space="preserve">Sanidhya Awasthi:  </w:t>
            </w:r>
            <w:r>
              <w:rPr>
                <w:rFonts w:ascii="Times New Roman" w:eastAsia="Times New Roman" w:hAnsi="Times New Roman" w:cs="Times New Roman"/>
                <w:sz w:val="21"/>
              </w:rPr>
              <w:t>sanidhya.awasthi19@gmail.com</w:t>
            </w:r>
            <w:r>
              <w:rPr>
                <w:rFonts w:ascii="Times New Roman" w:eastAsia="Times New Roman" w:hAnsi="Times New Roman" w:cs="Times New Roman"/>
                <w:i/>
                <w:sz w:val="21"/>
              </w:rPr>
              <w:t xml:space="preserve">   |   Phone: +91 </w:t>
            </w:r>
            <w:r w:rsidR="00360CE5">
              <w:rPr>
                <w:rFonts w:ascii="Times New Roman" w:eastAsia="Times New Roman" w:hAnsi="Times New Roman" w:cs="Times New Roman"/>
                <w:i/>
                <w:sz w:val="21"/>
              </w:rPr>
              <w:t>9023982865</w:t>
            </w:r>
          </w:p>
          <w:p w14:paraId="2643F857" w14:textId="4524580B" w:rsidR="00F30271" w:rsidRDefault="00000000">
            <w:pPr>
              <w:spacing w:after="60"/>
              <w:ind w:left="144"/>
            </w:pPr>
            <w:r>
              <w:rPr>
                <w:rFonts w:ascii="Times New Roman" w:eastAsia="Times New Roman" w:hAnsi="Times New Roman" w:cs="Times New Roman"/>
                <w:b/>
                <w:sz w:val="21"/>
              </w:rPr>
              <w:t xml:space="preserve">Raghav Sonchhatra:  </w:t>
            </w:r>
            <w:r>
              <w:rPr>
                <w:rFonts w:ascii="Times New Roman" w:eastAsia="Times New Roman" w:hAnsi="Times New Roman" w:cs="Times New Roman"/>
                <w:sz w:val="21"/>
              </w:rPr>
              <w:t>rsonchhatra49@gmail.com</w:t>
            </w:r>
            <w:r>
              <w:rPr>
                <w:rFonts w:ascii="Times New Roman" w:eastAsia="Times New Roman" w:hAnsi="Times New Roman" w:cs="Times New Roman"/>
                <w:i/>
                <w:sz w:val="21"/>
              </w:rPr>
              <w:t xml:space="preserve">   |   Phone: +91 </w:t>
            </w:r>
            <w:r w:rsidR="00360CE5">
              <w:rPr>
                <w:rFonts w:ascii="Times New Roman" w:eastAsia="Times New Roman" w:hAnsi="Times New Roman" w:cs="Times New Roman"/>
                <w:i/>
                <w:sz w:val="21"/>
              </w:rPr>
              <w:t>7420936303</w:t>
            </w:r>
          </w:p>
          <w:p w14:paraId="0B03A93B" w14:textId="462FD6C6" w:rsidR="00F30271" w:rsidRDefault="00000000" w:rsidP="00360CE5">
            <w:pPr>
              <w:spacing w:after="60"/>
              <w:ind w:left="144"/>
            </w:pPr>
            <w:r>
              <w:rPr>
                <w:rFonts w:ascii="Times New Roman" w:eastAsia="Times New Roman" w:hAnsi="Times New Roman" w:cs="Times New Roman"/>
                <w:b/>
                <w:sz w:val="21"/>
              </w:rPr>
              <w:t xml:space="preserve">Dr. Payal Kadam:  </w:t>
            </w:r>
            <w:r>
              <w:rPr>
                <w:rFonts w:ascii="Times New Roman" w:eastAsia="Times New Roman" w:hAnsi="Times New Roman" w:cs="Times New Roman"/>
                <w:sz w:val="21"/>
              </w:rPr>
              <w:t>payal.kadam@sitpune.edu.in</w:t>
            </w:r>
            <w:r>
              <w:rPr>
                <w:rFonts w:ascii="Times New Roman" w:eastAsia="Times New Roman" w:hAnsi="Times New Roman" w:cs="Times New Roman"/>
                <w:i/>
                <w:sz w:val="21"/>
              </w:rPr>
              <w:t xml:space="preserve">   |   Phone: +91 </w:t>
            </w:r>
            <w:r w:rsidR="00360CE5">
              <w:rPr>
                <w:rFonts w:ascii="Times New Roman" w:eastAsia="Times New Roman" w:hAnsi="Times New Roman" w:cs="Times New Roman"/>
                <w:i/>
                <w:sz w:val="21"/>
              </w:rPr>
              <w:t>9423524715</w:t>
            </w:r>
          </w:p>
        </w:tc>
      </w:tr>
      <w:tr w:rsidR="00FF01F4" w14:paraId="1449F229" w14:textId="77777777" w:rsidTr="005B3D7E">
        <w:tc>
          <w:tcPr>
            <w:tcW w:w="9016" w:type="dxa"/>
            <w:gridSpan w:val="2"/>
            <w:shd w:val="clear" w:color="auto" w:fill="E5DFEC" w:themeFill="accent4" w:themeFillTint="33"/>
          </w:tcPr>
          <w:p w14:paraId="147CD6D2" w14:textId="77777777" w:rsidR="00FF01F4" w:rsidRPr="00507DA0" w:rsidRDefault="00B66245" w:rsidP="00FF01F4">
            <w:pPr>
              <w:jc w:val="center"/>
              <w:rPr>
                <w:rFonts w:ascii="Arial Black" w:hAnsi="Arial Black"/>
              </w:rPr>
            </w:pPr>
            <w:r>
              <w:rPr>
                <w:rFonts w:ascii="Arial Black" w:hAnsi="Arial Black" w:cs="Times New Roman"/>
              </w:rPr>
              <w:t>Description o</w:t>
            </w:r>
            <w:r w:rsidR="00FF01F4" w:rsidRPr="00507DA0">
              <w:rPr>
                <w:rFonts w:ascii="Arial Black" w:hAnsi="Arial Black" w:cs="Times New Roman"/>
              </w:rPr>
              <w:t>f The Invention</w:t>
            </w:r>
          </w:p>
        </w:tc>
      </w:tr>
      <w:tr w:rsidR="00FF01F4" w14:paraId="06BDEBF9" w14:textId="77777777" w:rsidTr="005B3D7E">
        <w:tc>
          <w:tcPr>
            <w:tcW w:w="9016" w:type="dxa"/>
            <w:gridSpan w:val="2"/>
          </w:tcPr>
          <w:p w14:paraId="73DBC763" w14:textId="77777777" w:rsidR="00F30271" w:rsidRDefault="00000000">
            <w:pPr>
              <w:spacing w:before="80" w:after="60"/>
            </w:pPr>
            <w:r>
              <w:rPr>
                <w:rFonts w:ascii="Times New Roman" w:eastAsia="Times New Roman" w:hAnsi="Times New Roman" w:cs="Times New Roman"/>
                <w:b/>
              </w:rPr>
              <w:t>1.  Field</w:t>
            </w:r>
          </w:p>
          <w:p w14:paraId="517D1F85" w14:textId="77777777" w:rsidR="00F30271" w:rsidRDefault="00000000">
            <w:pPr>
              <w:spacing w:after="100"/>
              <w:jc w:val="both"/>
            </w:pPr>
            <w:r>
              <w:rPr>
                <w:rFonts w:ascii="Times New Roman" w:eastAsia="Times New Roman" w:hAnsi="Times New Roman" w:cs="Times New Roman"/>
                <w:sz w:val="21"/>
              </w:rPr>
              <w:t>Computer-implemented software-engineering automation: systems using generative language models to produce, verify, repair and deploy complete web applications under continuous human supervision.</w:t>
            </w:r>
          </w:p>
          <w:p w14:paraId="482F0336" w14:textId="77777777" w:rsidR="00F30271" w:rsidRDefault="00000000">
            <w:pPr>
              <w:spacing w:before="160" w:after="60"/>
            </w:pPr>
            <w:r>
              <w:rPr>
                <w:rFonts w:ascii="Times New Roman" w:eastAsia="Times New Roman" w:hAnsi="Times New Roman" w:cs="Times New Roman"/>
                <w:b/>
              </w:rPr>
              <w:t>2.  Problem Addressed</w:t>
            </w:r>
          </w:p>
          <w:p w14:paraId="4E9B1CE9" w14:textId="77777777" w:rsidR="00F30271" w:rsidRDefault="00000000">
            <w:pPr>
              <w:spacing w:after="100"/>
              <w:jc w:val="both"/>
            </w:pPr>
            <w:r>
              <w:rPr>
                <w:rFonts w:ascii="Times New Roman" w:eastAsia="Times New Roman" w:hAnsi="Times New Roman" w:cs="Times New Roman"/>
                <w:sz w:val="21"/>
              </w:rPr>
              <w:t>Prompt-to-app builders and coding agents generate code readily but verify it poorly. Four failure modes recur: on test failure the model is re-prompted in an open-ended loop that can consume unlimited budget and has been shown to degrade code security; it receives the whole repository, so it repairs code it remembers rather than code that changed; a green local suite is taken as proof, though reported first-attempt deployment success for model-generated infrastructure is under one-third; and the pipeline is rigid, forcing a fixed stage order.</w:t>
            </w:r>
          </w:p>
          <w:p w14:paraId="2FB0FEDF" w14:textId="77777777" w:rsidR="00F30271" w:rsidRDefault="00000000">
            <w:pPr>
              <w:spacing w:before="160" w:after="60"/>
            </w:pPr>
            <w:r>
              <w:rPr>
                <w:rFonts w:ascii="Times New Roman" w:eastAsia="Times New Roman" w:hAnsi="Times New Roman" w:cs="Times New Roman"/>
                <w:b/>
              </w:rPr>
              <w:lastRenderedPageBreak/>
              <w:t>3.  Summary</w:t>
            </w:r>
          </w:p>
          <w:p w14:paraId="342E7DE4" w14:textId="77777777" w:rsidR="00F30271" w:rsidRDefault="00000000">
            <w:pPr>
              <w:spacing w:after="100"/>
              <w:jc w:val="both"/>
            </w:pPr>
            <w:r>
              <w:rPr>
                <w:rFonts w:ascii="Times New Roman" w:eastAsia="Times New Roman" w:hAnsi="Times New Roman" w:cs="Times New Roman"/>
                <w:sz w:val="21"/>
              </w:rPr>
              <w:t>A computer-implemented platform (an installable Progressive Web App over a trusted control plane and per-project sandboxes) carries a web-application idea, given as screenshots or a structured specification, through six independently-stateful stages: requirements, design, build, test-and-repair, deploy and post-deployment live validation. Two mechanisms distinguish it:</w:t>
            </w:r>
          </w:p>
          <w:p w14:paraId="76A0553D"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b/>
                <w:sz w:val="21"/>
              </w:rPr>
              <w:t xml:space="preserve">A bounded, diff-aware self-healing repair loop </w:t>
            </w:r>
            <w:r>
              <w:rPr>
                <w:rFonts w:ascii="Times New Roman" w:eastAsia="Times New Roman" w:hAnsi="Times New Roman" w:cs="Times New Roman"/>
                <w:sz w:val="21"/>
              </w:rPr>
              <w:t>fed a deterministically-assembled minimal context, terminating on the first of four ordered guards and escalating to the human as a terminal state rather than looping or failing silently.</w:t>
            </w:r>
          </w:p>
          <w:p w14:paraId="7FF2F4F3"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b/>
                <w:sz w:val="21"/>
              </w:rPr>
              <w:t xml:space="preserve">Non-linearity as a system invariant. </w:t>
            </w:r>
            <w:r>
              <w:rPr>
                <w:rFonts w:ascii="Times New Roman" w:eastAsia="Times New Roman" w:hAnsi="Times New Roman" w:cs="Times New Roman"/>
                <w:sz w:val="21"/>
              </w:rPr>
              <w:t>Every stage holds its own state; any stage may be entered or skipped. Only two orderings are enforced: deploy requires a build, and validation requires a deployment.</w:t>
            </w:r>
          </w:p>
          <w:p w14:paraId="26AC0EC8" w14:textId="77777777" w:rsidR="00F30271" w:rsidRDefault="00000000">
            <w:pPr>
              <w:spacing w:before="160" w:after="60"/>
            </w:pPr>
            <w:r>
              <w:rPr>
                <w:rFonts w:ascii="Times New Roman" w:eastAsia="Times New Roman" w:hAnsi="Times New Roman" w:cs="Times New Roman"/>
                <w:b/>
              </w:rPr>
              <w:t>4.  Detailed Description</w:t>
            </w:r>
          </w:p>
          <w:p w14:paraId="31BFD5EA" w14:textId="77777777" w:rsidR="00F30271" w:rsidRDefault="00000000">
            <w:pPr>
              <w:spacing w:after="100"/>
              <w:jc w:val="both"/>
            </w:pPr>
            <w:r>
              <w:rPr>
                <w:rFonts w:ascii="Times New Roman" w:eastAsia="Times New Roman" w:hAnsi="Times New Roman" w:cs="Times New Roman"/>
                <w:sz w:val="21"/>
              </w:rPr>
              <w:t>4.1  Architecture and control (Figs. 1, 2). A trusted control plane hosts authentication, stage state, a conductor, six stage handlers, an agent layer with a model router, a sandbox manager, a deployment orchestrator, an encrypted credential vault and a sequence-numbered event hub streaming resumable events. Generated code never executes there: it runs only in a per-project container with no host network, dropped capabilities, a non-root user and resource limits. The conductor alone arbitrates transition legality, accepting an intent {message, target stage, action in refine | proceed | skip}. Each stage holds an independent state from {empty, in_progress, awaiting_user, complete, skipped, stale}; re-entering a completed stage yields new artifact versions and marks downstream stages stale without deleting them. Artifacts are versioned, not overwritten, which makes revisiting safe.</w:t>
            </w:r>
          </w:p>
          <w:p w14:paraId="277E41E2" w14:textId="77777777" w:rsidR="00F30271" w:rsidRDefault="00000000">
            <w:pPr>
              <w:spacing w:after="100"/>
              <w:jc w:val="both"/>
            </w:pPr>
            <w:r>
              <w:rPr>
                <w:rFonts w:ascii="Times New Roman" w:eastAsia="Times New Roman" w:hAnsi="Times New Roman" w:cs="Times New Roman"/>
                <w:sz w:val="21"/>
              </w:rPr>
              <w:t>4.2  Requirements compiled into traceable tests (Fig. 4). Requirements are captured as structured features with inputs, expected behaviours and acceptance criteria, via a guided form or a model-drafted list the user must approve before saving. Every criterion receives a stable identifier and compiles into one or more executable tests tagged with it. Suites run in the sandbox and reporter output is normalised to a per-test record of {status, assertion, stack, files referenced, criterion identifier}, so a criterion with no passing test is reported as unmet rather than absorbed into an aggregate pass count.</w:t>
            </w:r>
          </w:p>
          <w:p w14:paraId="31B246B5" w14:textId="77777777" w:rsidR="00F30271" w:rsidRDefault="00000000">
            <w:pPr>
              <w:spacing w:after="60"/>
              <w:jc w:val="both"/>
            </w:pPr>
            <w:r>
              <w:rPr>
                <w:rFonts w:ascii="Times New Roman" w:eastAsia="Times New Roman" w:hAnsi="Times New Roman" w:cs="Times New Roman"/>
                <w:sz w:val="21"/>
              </w:rPr>
              <w:t xml:space="preserve">4.3  Minimal repair context (Fig. 3). Given a run with at least one failure, a deterministic, model-free assembler admits exactly four classes of material: the failing tests only; the sources they exercise, found by walking the failing specification's import graph to a bounded depth; the version-control difference against a </w:t>
            </w:r>
          </w:p>
          <w:p w14:paraId="1F4F4BCC" w14:textId="77777777" w:rsidR="00F30271" w:rsidRDefault="00000000">
            <w:pPr>
              <w:spacing w:after="100"/>
              <w:jc w:val="both"/>
            </w:pPr>
            <w:r>
              <w:rPr>
                <w:rFonts w:ascii="Times New Roman" w:eastAsia="Times New Roman" w:hAnsi="Times New Roman" w:cs="Times New Roman"/>
                <w:b/>
                <w:sz w:val="21"/>
              </w:rPr>
              <w:t>moving last-passing reference</w:t>
            </w:r>
            <w:r>
              <w:rPr>
                <w:rFonts w:ascii="Times New Roman" w:eastAsia="Times New Roman" w:hAnsi="Times New Roman" w:cs="Times New Roman"/>
                <w:sz w:val="21"/>
              </w:rPr>
              <w:t xml:space="preserve"> advanced on every green run, so the difference means “what changed since it worked,” not “what changed in the last commit”; and the requirement text for the failing criteria, joined back by criterion identifier so the agent repairs against the acceptance text, not the assertion alone. Everything else (the rest of the repository, passing tests, untouched modules) is excluded by construction. The result is hard-capped (24,000 characters total, 8,000 per file, 8,000 of difference, all runtime-configurable) and every trim recorded, so an oversized context is never silently lossy.</w:t>
            </w:r>
          </w:p>
          <w:p w14:paraId="401B93DF" w14:textId="77777777" w:rsidR="00F30271" w:rsidRDefault="00000000">
            <w:pPr>
              <w:spacing w:after="100"/>
              <w:jc w:val="both"/>
            </w:pPr>
            <w:r>
              <w:rPr>
                <w:rFonts w:ascii="Times New Roman" w:eastAsia="Times New Roman" w:hAnsi="Times New Roman" w:cs="Times New Roman"/>
                <w:sz w:val="21"/>
              </w:rPr>
              <w:t>4.4  Guards and escalation. The patch is applied and committed, the affected suite re-run fast and the full suite thereafter to catch regressions. Four guards are then evaluated in precedence order: (G1) a regression guard, tripped when patches have broken previously-passing tests, ranked first because “my patches keep breaking working code” is a sharper diagnosis than “no progress”; (G2) a stall guard, tripped when the failing set does not shrink for a threshold number of iterations; (G3) an iteration cap, checked before every model call; (G4) budget, cancellation or nothing-safe-to-patch. Defaults are five iterations, stall threshold two, regression allowance two. Any non-green ending sets the stage to awaiting_user and emits a structured escalation carrying the tripped guard, a “here is where I am stuck” summary, the failing tests, patches attempted and a resume contract: a terminal state, not an error path.</w:t>
            </w:r>
          </w:p>
          <w:p w14:paraId="7D04A5C7" w14:textId="77777777" w:rsidR="00F30271" w:rsidRDefault="00000000">
            <w:pPr>
              <w:spacing w:after="100"/>
              <w:jc w:val="both"/>
            </w:pPr>
            <w:r>
              <w:rPr>
                <w:rFonts w:ascii="Times New Roman" w:eastAsia="Times New Roman" w:hAnsi="Times New Roman" w:cs="Times New Roman"/>
                <w:sz w:val="21"/>
              </w:rPr>
              <w:t xml:space="preserve">4.5  Deployment and live validation (Figs. 5, 6). A static analyser emits an infrastructure plan classifying the project as a static frontend, a frontend with a persistent backend, or a frontend with backend and database, naming the environment variables and secrets each needs. Credentials are platform-managed or the user's own, encrypted at rest and decrypted only in-process at call time. Deployment is strictly ordered: provision the database, deploy the backend with the database URI injected, deploy the frontend with the backend URL injected, then health-check every node; the result is rendered as an interactive topology graph. The suite is then re-pointed at the deployed URL; because the live run yields the same normalised </w:t>
            </w:r>
            <w:r>
              <w:rPr>
                <w:rFonts w:ascii="Times New Roman" w:eastAsia="Times New Roman" w:hAnsi="Times New Roman" w:cs="Times New Roman"/>
                <w:sz w:val="21"/>
              </w:rPr>
              <w:lastRenderedPageBreak/>
              <w:t>record shape, any live failure re-enters the identical bounded loop, closing the cycle on the deployed artefact rather than the local one.</w:t>
            </w:r>
          </w:p>
          <w:p w14:paraId="3658C658" w14:textId="77777777" w:rsidR="00F30271" w:rsidRDefault="00000000">
            <w:pPr>
              <w:spacing w:after="40"/>
              <w:jc w:val="both"/>
            </w:pPr>
            <w:r>
              <w:rPr>
                <w:rFonts w:ascii="Times New Roman" w:eastAsia="Times New Roman" w:hAnsi="Times New Roman" w:cs="Times New Roman"/>
                <w:sz w:val="21"/>
              </w:rPr>
              <w:t>4.6  Cost governance and reduction to practice. Model identifiers are configuration, not identity, routed by role: an expensive model only for code, test and repair synthesis; a cheap model for classification and summarisation. Every call records tokens against the project and budget caps halt work with an actionable message. A working prototype exists: roughly 48,500 lines of production code across 295 modules over 63 shippable phases, exercised by about 1,930 automated tests, plus a 49-file fixed-stack skeleton instantiated by deterministic copy rather than generated.</w:t>
            </w:r>
          </w:p>
        </w:tc>
      </w:tr>
      <w:tr w:rsidR="00B66245" w14:paraId="3FEB96AD" w14:textId="77777777" w:rsidTr="005B3D7E">
        <w:tc>
          <w:tcPr>
            <w:tcW w:w="9016" w:type="dxa"/>
            <w:gridSpan w:val="2"/>
            <w:shd w:val="clear" w:color="auto" w:fill="E5DFEC" w:themeFill="accent4" w:themeFillTint="33"/>
          </w:tcPr>
          <w:p w14:paraId="3F12664E" w14:textId="77777777" w:rsidR="00B66245" w:rsidRDefault="00B66245" w:rsidP="0024717F">
            <w:pPr>
              <w:jc w:val="center"/>
              <w:rPr>
                <w:rFonts w:ascii="Arial Black" w:hAnsi="Arial Black" w:cs="Times New Roman"/>
              </w:rPr>
            </w:pPr>
            <w:r w:rsidRPr="00B66245">
              <w:rPr>
                <w:rFonts w:ascii="Arial Black" w:hAnsi="Arial Black" w:cs="Times New Roman"/>
              </w:rPr>
              <w:lastRenderedPageBreak/>
              <w:t>Public Disclosure in seminars or exhibitions by the inventor OR any plans to disclose the invention in public by the inventor</w:t>
            </w:r>
          </w:p>
        </w:tc>
      </w:tr>
      <w:tr w:rsidR="00B66245" w14:paraId="6BCB186C" w14:textId="77777777" w:rsidTr="005B3D7E">
        <w:tc>
          <w:tcPr>
            <w:tcW w:w="9016" w:type="dxa"/>
            <w:gridSpan w:val="2"/>
          </w:tcPr>
          <w:p w14:paraId="4C004A9B" w14:textId="77777777" w:rsidR="00F30271" w:rsidRDefault="00000000">
            <w:pPr>
              <w:spacing w:before="80" w:after="100"/>
              <w:jc w:val="both"/>
            </w:pPr>
            <w:r>
              <w:rPr>
                <w:rFonts w:ascii="Times New Roman" w:eastAsia="Times New Roman" w:hAnsi="Times New Roman" w:cs="Times New Roman"/>
                <w:b/>
                <w:sz w:val="21"/>
              </w:rPr>
              <w:t xml:space="preserve">Status: no public disclosure has been made to date. </w:t>
            </w:r>
            <w:r>
              <w:rPr>
                <w:rFonts w:ascii="Times New Roman" w:eastAsia="Times New Roman" w:hAnsi="Times New Roman" w:cs="Times New Roman"/>
                <w:sz w:val="21"/>
              </w:rPr>
              <w:t>It has not been presented at any seminar, conference, exhibition or demonstration, nor published anywhere. No public repository, hosted demo, video or preprint has been released, and the prototype has run only on the inventors' own machines and private provider accounts. Disclosure so far has been confined to the project guide and internal academic review at SIT.</w:t>
            </w:r>
          </w:p>
          <w:p w14:paraId="423AFB65" w14:textId="77777777" w:rsidR="00F30271" w:rsidRDefault="00000000">
            <w:pPr>
              <w:spacing w:after="60"/>
              <w:jc w:val="both"/>
            </w:pPr>
            <w:r>
              <w:rPr>
                <w:rFonts w:ascii="Times New Roman" w:eastAsia="Times New Roman" w:hAnsi="Times New Roman" w:cs="Times New Roman"/>
                <w:b/>
                <w:sz w:val="21"/>
              </w:rPr>
              <w:t xml:space="preserve">Planned: </w:t>
            </w:r>
            <w:r>
              <w:rPr>
                <w:rFonts w:ascii="Times New Roman" w:eastAsia="Times New Roman" w:hAnsi="Times New Roman" w:cs="Times New Roman"/>
                <w:sz w:val="21"/>
              </w:rPr>
              <w:t>a conference manuscript has been drafted but not submitted, accepted or presented, and the prototype is expected to be demonstrated at the institute's B.Tech project evaluation. Both are being held pending the IPR Cell's advice on the timing of a priority filing; no date has been committed.</w:t>
            </w:r>
          </w:p>
        </w:tc>
      </w:tr>
      <w:tr w:rsidR="00B66245" w14:paraId="41D1A89C" w14:textId="77777777" w:rsidTr="005B3D7E">
        <w:tc>
          <w:tcPr>
            <w:tcW w:w="9016" w:type="dxa"/>
            <w:gridSpan w:val="2"/>
            <w:shd w:val="clear" w:color="auto" w:fill="E5DFEC" w:themeFill="accent4" w:themeFillTint="33"/>
          </w:tcPr>
          <w:p w14:paraId="6974D30E" w14:textId="77777777" w:rsidR="00B66245" w:rsidRPr="00B66245" w:rsidRDefault="00B66245" w:rsidP="0024717F">
            <w:pPr>
              <w:jc w:val="center"/>
              <w:rPr>
                <w:rFonts w:ascii="Arial Black" w:hAnsi="Arial Black" w:cs="Times New Roman"/>
              </w:rPr>
            </w:pPr>
            <w:r w:rsidRPr="00B66245">
              <w:rPr>
                <w:rFonts w:ascii="Arial Black" w:hAnsi="Arial Black" w:cs="Times New Roman"/>
              </w:rPr>
              <w:t>Prior Filings: Has the inventor filed a Disclosure Document or Provisional Patent Application on the current invention in US or elsewhere?</w:t>
            </w:r>
          </w:p>
        </w:tc>
      </w:tr>
      <w:tr w:rsidR="00B66245" w14:paraId="28C67387" w14:textId="77777777" w:rsidTr="005B3D7E">
        <w:tc>
          <w:tcPr>
            <w:tcW w:w="9016" w:type="dxa"/>
            <w:gridSpan w:val="2"/>
          </w:tcPr>
          <w:p w14:paraId="233E516C" w14:textId="77777777" w:rsidR="00F30271" w:rsidRDefault="00000000">
            <w:pPr>
              <w:spacing w:before="80" w:after="60"/>
              <w:jc w:val="both"/>
            </w:pPr>
            <w:r>
              <w:rPr>
                <w:rFonts w:ascii="Times New Roman" w:eastAsia="Times New Roman" w:hAnsi="Times New Roman" w:cs="Times New Roman"/>
                <w:b/>
                <w:sz w:val="21"/>
              </w:rPr>
              <w:t xml:space="preserve">No. </w:t>
            </w:r>
            <w:r>
              <w:rPr>
                <w:rFonts w:ascii="Times New Roman" w:eastAsia="Times New Roman" w:hAnsi="Times New Roman" w:cs="Times New Roman"/>
                <w:sz w:val="21"/>
              </w:rPr>
              <w:t>No inventor has filed a Disclosure Document, provisional or complete application, PCT application or equivalent on this invention in India, the United States or elsewhere. There is no assignment, licence or other encumbrance over it, and no part has been offered for sale or commercially exploited. This form is its first disclosure.</w:t>
            </w:r>
          </w:p>
        </w:tc>
      </w:tr>
      <w:tr w:rsidR="0024717F" w14:paraId="30A63883" w14:textId="77777777" w:rsidTr="005B3D7E">
        <w:tc>
          <w:tcPr>
            <w:tcW w:w="9016" w:type="dxa"/>
            <w:gridSpan w:val="2"/>
            <w:shd w:val="clear" w:color="auto" w:fill="E5DFEC" w:themeFill="accent4" w:themeFillTint="33"/>
          </w:tcPr>
          <w:p w14:paraId="604ACCF8" w14:textId="77777777" w:rsidR="0024717F" w:rsidRPr="00507DA0" w:rsidRDefault="0024717F" w:rsidP="0024717F">
            <w:pPr>
              <w:jc w:val="center"/>
              <w:rPr>
                <w:rFonts w:ascii="Arial Black" w:hAnsi="Arial Black" w:cs="Times New Roman"/>
              </w:rPr>
            </w:pPr>
            <w:r>
              <w:rPr>
                <w:rFonts w:ascii="Arial Black" w:hAnsi="Arial Black" w:cs="Times New Roman"/>
              </w:rPr>
              <w:t xml:space="preserve">How </w:t>
            </w:r>
            <w:r w:rsidR="00EC1525">
              <w:rPr>
                <w:rFonts w:ascii="Arial Black" w:hAnsi="Arial Black" w:cs="Times New Roman"/>
              </w:rPr>
              <w:t>are</w:t>
            </w:r>
            <w:r>
              <w:rPr>
                <w:rFonts w:ascii="Arial Black" w:hAnsi="Arial Black" w:cs="Times New Roman"/>
              </w:rPr>
              <w:t xml:space="preserve"> the </w:t>
            </w:r>
            <w:r w:rsidR="000B76AC">
              <w:rPr>
                <w:rFonts w:ascii="Arial Black" w:hAnsi="Arial Black" w:cs="Times New Roman"/>
              </w:rPr>
              <w:t>p</w:t>
            </w:r>
            <w:r>
              <w:rPr>
                <w:rFonts w:ascii="Arial Black" w:hAnsi="Arial Black" w:cs="Times New Roman"/>
              </w:rPr>
              <w:t>roblem</w:t>
            </w:r>
            <w:r w:rsidR="000B76AC">
              <w:rPr>
                <w:rFonts w:ascii="Arial Black" w:hAnsi="Arial Black" w:cs="Times New Roman"/>
              </w:rPr>
              <w:t>s</w:t>
            </w:r>
            <w:r w:rsidR="00C22614">
              <w:rPr>
                <w:rFonts w:ascii="Arial Black" w:hAnsi="Arial Black" w:cs="Times New Roman"/>
              </w:rPr>
              <w:t xml:space="preserve"> </w:t>
            </w:r>
            <w:r w:rsidR="000B76AC">
              <w:rPr>
                <w:rFonts w:ascii="Arial Black" w:hAnsi="Arial Black" w:cs="Times New Roman"/>
              </w:rPr>
              <w:t>solved/</w:t>
            </w:r>
            <w:r>
              <w:rPr>
                <w:rFonts w:ascii="Arial Black" w:hAnsi="Arial Black" w:cs="Times New Roman"/>
              </w:rPr>
              <w:t xml:space="preserve">outstanding need of the invention met? </w:t>
            </w:r>
          </w:p>
        </w:tc>
      </w:tr>
      <w:tr w:rsidR="0024717F" w14:paraId="53390828" w14:textId="77777777" w:rsidTr="005B3D7E">
        <w:tc>
          <w:tcPr>
            <w:tcW w:w="9016" w:type="dxa"/>
            <w:gridSpan w:val="2"/>
          </w:tcPr>
          <w:p w14:paraId="73D2BB13" w14:textId="77777777" w:rsidR="00F30271" w:rsidRDefault="00000000">
            <w:pPr>
              <w:spacing w:before="80" w:after="100"/>
              <w:jc w:val="both"/>
            </w:pPr>
            <w:r>
              <w:rPr>
                <w:rFonts w:ascii="Times New Roman" w:eastAsia="Times New Roman" w:hAnsi="Times New Roman" w:cs="Times New Roman"/>
                <w:sz w:val="21"/>
              </w:rPr>
              <w:t>Each failure mode in Section 2 is answered by a specific, auditable mechanism:</w:t>
            </w:r>
          </w:p>
          <w:p w14:paraId="765FBEA9"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i/>
                <w:sz w:val="21"/>
              </w:rPr>
              <w:t xml:space="preserve">Unbounded repair </w:t>
            </w:r>
            <w:r>
              <w:rPr>
                <w:rFonts w:ascii="Times New Roman" w:eastAsia="Times New Roman" w:hAnsi="Times New Roman" w:cs="Times New Roman"/>
                <w:sz w:val="21"/>
              </w:rPr>
              <w:t>→ a loop controller with four ordered guards (regression, stall, iteration cap, budget/cancel) evaluated before every model call, the tripped guard recorded. Termination is a property of the controller, not the model's cooperation.</w:t>
            </w:r>
          </w:p>
          <w:p w14:paraId="522255DA"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i/>
                <w:sz w:val="21"/>
              </w:rPr>
              <w:t xml:space="preserve">Silent failure </w:t>
            </w:r>
            <w:r>
              <w:rPr>
                <w:rFonts w:ascii="Times New Roman" w:eastAsia="Times New Roman" w:hAnsi="Times New Roman" w:cs="Times New Roman"/>
                <w:sz w:val="21"/>
              </w:rPr>
              <w:t>→ human escalation as a terminal state, delivering the tripped guard, a stuck-summary, the failing tests, every patch attempted and a resume contract.</w:t>
            </w:r>
          </w:p>
          <w:p w14:paraId="0A445ACC"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i/>
                <w:sz w:val="21"/>
              </w:rPr>
              <w:t xml:space="preserve">Repairing remembered code </w:t>
            </w:r>
            <w:r>
              <w:rPr>
                <w:rFonts w:ascii="Times New Roman" w:eastAsia="Times New Roman" w:hAnsi="Times New Roman" w:cs="Times New Roman"/>
                <w:sz w:val="21"/>
              </w:rPr>
              <w:t>→ a deterministic minimal-context assembler admitting only failing tests, import-reachable sources, the difference against a moving last-passing reference and the governing acceptance text, hard-capped and fully recorded.</w:t>
            </w:r>
          </w:p>
          <w:p w14:paraId="7B5C0C56"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i/>
                <w:sz w:val="21"/>
              </w:rPr>
              <w:t xml:space="preserve">Repairing the assertion, not the requirement </w:t>
            </w:r>
            <w:r>
              <w:rPr>
                <w:rFonts w:ascii="Times New Roman" w:eastAsia="Times New Roman" w:hAnsi="Times New Roman" w:cs="Times New Roman"/>
                <w:sz w:val="21"/>
              </w:rPr>
              <w:t>→ a criterion identifier threading the whole chain, so a red test names the user-level promise it broke and the agent is shown that promise verbatim.</w:t>
            </w:r>
          </w:p>
          <w:p w14:paraId="15524358"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i/>
                <w:sz w:val="21"/>
              </w:rPr>
              <w:t xml:space="preserve">Deployment as an afterthought </w:t>
            </w:r>
            <w:r>
              <w:rPr>
                <w:rFonts w:ascii="Times New Roman" w:eastAsia="Times New Roman" w:hAnsi="Times New Roman" w:cs="Times New Roman"/>
                <w:sz w:val="21"/>
              </w:rPr>
              <w:t>→ static infrastructure classification, ordered deployment with injected environment wiring, and health checks before the stage may complete.</w:t>
            </w:r>
          </w:p>
          <w:p w14:paraId="0FEE4370"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i/>
                <w:sz w:val="21"/>
              </w:rPr>
              <w:t xml:space="preserve">Green suite mistaken for a working product </w:t>
            </w:r>
            <w:r>
              <w:rPr>
                <w:rFonts w:ascii="Times New Roman" w:eastAsia="Times New Roman" w:hAnsi="Times New Roman" w:cs="Times New Roman"/>
                <w:sz w:val="21"/>
              </w:rPr>
              <w:t>→ the same end-to-end suite re-pointed at the deployed URL, with live failures routed back through the identical bounded loop.</w:t>
            </w:r>
          </w:p>
          <w:p w14:paraId="429DE991"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i/>
                <w:sz w:val="21"/>
              </w:rPr>
              <w:t xml:space="preserve">Loss of human control </w:t>
            </w:r>
            <w:r>
              <w:rPr>
                <w:rFonts w:ascii="Times New Roman" w:eastAsia="Times New Roman" w:hAnsi="Times New Roman" w:cs="Times New Roman"/>
                <w:sz w:val="21"/>
              </w:rPr>
              <w:t>→ independent per-stage state plus a conductor owning transition legality, so enter-anywhere, skip and revisit are system properties.</w:t>
            </w:r>
          </w:p>
          <w:p w14:paraId="3F163D43"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i/>
                <w:sz w:val="21"/>
              </w:rPr>
              <w:t xml:space="preserve">Unpredictable cost </w:t>
            </w:r>
            <w:r>
              <w:rPr>
                <w:rFonts w:ascii="Times New Roman" w:eastAsia="Times New Roman" w:hAnsi="Times New Roman" w:cs="Times New Roman"/>
                <w:sz w:val="21"/>
              </w:rPr>
              <w:t>→ role-based model routing with per-call token accounting and budget caps that halt work with an actionable message.</w:t>
            </w:r>
          </w:p>
        </w:tc>
      </w:tr>
      <w:tr w:rsidR="00FF01F4" w14:paraId="2B3F2551" w14:textId="77777777" w:rsidTr="005B3D7E">
        <w:tc>
          <w:tcPr>
            <w:tcW w:w="9016" w:type="dxa"/>
            <w:gridSpan w:val="2"/>
            <w:shd w:val="clear" w:color="auto" w:fill="E5DFEC" w:themeFill="accent4" w:themeFillTint="33"/>
          </w:tcPr>
          <w:p w14:paraId="4DFAD80C" w14:textId="77777777" w:rsidR="00FF01F4" w:rsidRPr="00507DA0" w:rsidRDefault="00FF01F4" w:rsidP="00061C5F">
            <w:pPr>
              <w:jc w:val="center"/>
              <w:rPr>
                <w:rFonts w:ascii="Arial Black" w:hAnsi="Arial Black"/>
              </w:rPr>
            </w:pPr>
            <w:r w:rsidRPr="00507DA0">
              <w:rPr>
                <w:rFonts w:ascii="Arial Black" w:hAnsi="Arial Black" w:cs="Times New Roman"/>
              </w:rPr>
              <w:t>Identify the elements that are considered novel</w:t>
            </w:r>
            <w:r w:rsidR="000B76AC">
              <w:rPr>
                <w:rFonts w:ascii="Arial Black" w:hAnsi="Arial Black" w:cs="Times New Roman"/>
              </w:rPr>
              <w:t>/non-obvious</w:t>
            </w:r>
          </w:p>
        </w:tc>
      </w:tr>
      <w:tr w:rsidR="00FF01F4" w14:paraId="03337A28" w14:textId="77777777" w:rsidTr="005B3D7E">
        <w:tc>
          <w:tcPr>
            <w:tcW w:w="9016" w:type="dxa"/>
            <w:gridSpan w:val="2"/>
          </w:tcPr>
          <w:p w14:paraId="30876FEA" w14:textId="77777777" w:rsidR="00F30271" w:rsidRDefault="00000000">
            <w:pPr>
              <w:spacing w:before="80" w:after="100"/>
              <w:jc w:val="both"/>
            </w:pPr>
            <w:r>
              <w:rPr>
                <w:rFonts w:ascii="Times New Roman" w:eastAsia="Times New Roman" w:hAnsi="Times New Roman" w:cs="Times New Roman"/>
                <w:sz w:val="21"/>
              </w:rPr>
              <w:t>Put forward as novel and non-obvious, individually and in combination:</w:t>
            </w:r>
          </w:p>
          <w:p w14:paraId="56DD3587" w14:textId="77777777" w:rsidR="00F30271" w:rsidRDefault="00000000">
            <w:pPr>
              <w:spacing w:after="80"/>
              <w:ind w:left="432" w:hanging="432"/>
              <w:jc w:val="both"/>
            </w:pPr>
            <w:r>
              <w:rPr>
                <w:rFonts w:ascii="Times New Roman" w:eastAsia="Times New Roman" w:hAnsi="Times New Roman" w:cs="Times New Roman"/>
                <w:b/>
                <w:sz w:val="21"/>
              </w:rPr>
              <w:t xml:space="preserve">1.  Ordered, multi-guard termination of an LLM repair loop. </w:t>
            </w:r>
            <w:r>
              <w:rPr>
                <w:rFonts w:ascii="Times New Roman" w:eastAsia="Times New Roman" w:hAnsi="Times New Roman" w:cs="Times New Roman"/>
                <w:sz w:val="21"/>
              </w:rPr>
              <w:t>Four guards in fixed precedence, the regression guard ranked above the stall guard so a patch that keeps breaking working code is diagnosed as such, not as mere lack of progress.</w:t>
            </w:r>
          </w:p>
          <w:p w14:paraId="7F5B6DDB" w14:textId="77777777" w:rsidR="00F30271" w:rsidRDefault="00000000">
            <w:pPr>
              <w:spacing w:after="80"/>
              <w:ind w:left="432" w:hanging="432"/>
              <w:jc w:val="both"/>
            </w:pPr>
            <w:r>
              <w:rPr>
                <w:rFonts w:ascii="Times New Roman" w:eastAsia="Times New Roman" w:hAnsi="Times New Roman" w:cs="Times New Roman"/>
                <w:b/>
                <w:sz w:val="21"/>
              </w:rPr>
              <w:lastRenderedPageBreak/>
              <w:t xml:space="preserve">2.  A moving last-passing reference as the diff basis. </w:t>
            </w:r>
            <w:r>
              <w:rPr>
                <w:rFonts w:ascii="Times New Roman" w:eastAsia="Times New Roman" w:hAnsi="Times New Roman" w:cs="Times New Roman"/>
                <w:sz w:val="21"/>
              </w:rPr>
              <w:t>The reference advances on every green run rather than tracking the last commit, so the difference answers “what changed since it worked,” which diffing against HEAD or a branch point does not give.</w:t>
            </w:r>
          </w:p>
          <w:p w14:paraId="71926763" w14:textId="77777777" w:rsidR="00F30271" w:rsidRDefault="00000000">
            <w:pPr>
              <w:spacing w:after="80"/>
              <w:ind w:left="432" w:hanging="432"/>
              <w:jc w:val="both"/>
            </w:pPr>
            <w:r>
              <w:rPr>
                <w:rFonts w:ascii="Times New Roman" w:eastAsia="Times New Roman" w:hAnsi="Times New Roman" w:cs="Times New Roman"/>
                <w:b/>
                <w:sz w:val="21"/>
              </w:rPr>
              <w:t xml:space="preserve">3.  Deterministic, model-free assembly of a hard-capped repair context. </w:t>
            </w:r>
            <w:r>
              <w:rPr>
                <w:rFonts w:ascii="Times New Roman" w:eastAsia="Times New Roman" w:hAnsi="Times New Roman" w:cs="Times New Roman"/>
                <w:sz w:val="21"/>
              </w:rPr>
              <w:t>Selection is computed by an import-graph walk under three independent character budgets, recording every trim, making the context exhaustively unit-testable and reproducible, unlike retrieval- or model-selected context.</w:t>
            </w:r>
          </w:p>
          <w:p w14:paraId="1895327C" w14:textId="77777777" w:rsidR="00F30271" w:rsidRDefault="00000000">
            <w:pPr>
              <w:spacing w:after="80"/>
              <w:ind w:left="432" w:hanging="432"/>
              <w:jc w:val="both"/>
            </w:pPr>
            <w:r>
              <w:rPr>
                <w:rFonts w:ascii="Times New Roman" w:eastAsia="Times New Roman" w:hAnsi="Times New Roman" w:cs="Times New Roman"/>
                <w:b/>
                <w:sz w:val="21"/>
              </w:rPr>
              <w:t xml:space="preserve">4.  A bounded, audited escape hatch for context under-reach. </w:t>
            </w:r>
            <w:r>
              <w:rPr>
                <w:rFonts w:ascii="Times New Roman" w:eastAsia="Times New Roman" w:hAnsi="Times New Roman" w:cs="Times New Roman"/>
                <w:sz w:val="21"/>
              </w:rPr>
              <w:t>The agent may request a capped number of additional non-test files when the fix lies outside the analyser's reach; each grant is recorded, preserving minimality while removing its failure mode.</w:t>
            </w:r>
          </w:p>
          <w:p w14:paraId="2EBE79B8" w14:textId="77777777" w:rsidR="00F30271" w:rsidRDefault="00000000">
            <w:pPr>
              <w:spacing w:after="80"/>
              <w:ind w:left="432" w:hanging="432"/>
              <w:jc w:val="both"/>
            </w:pPr>
            <w:r>
              <w:rPr>
                <w:rFonts w:ascii="Times New Roman" w:eastAsia="Times New Roman" w:hAnsi="Times New Roman" w:cs="Times New Roman"/>
                <w:b/>
                <w:sz w:val="21"/>
              </w:rPr>
              <w:t xml:space="preserve">5.  Human escalation as a first-class terminal state with a resume contract. </w:t>
            </w:r>
            <w:r>
              <w:rPr>
                <w:rFonts w:ascii="Times New Roman" w:eastAsia="Times New Roman" w:hAnsi="Times New Roman" w:cs="Times New Roman"/>
                <w:sz w:val="21"/>
              </w:rPr>
              <w:t>Non-convergence is a normal, recorded outcome carrying a stuck-summary, attempted patches, convergence metrics and the stage to resume at, not an exception or a timeout.</w:t>
            </w:r>
          </w:p>
          <w:p w14:paraId="5C5043EF" w14:textId="77777777" w:rsidR="00F30271" w:rsidRDefault="00000000">
            <w:pPr>
              <w:spacing w:after="80"/>
              <w:ind w:left="432" w:hanging="432"/>
              <w:jc w:val="both"/>
            </w:pPr>
            <w:r>
              <w:rPr>
                <w:rFonts w:ascii="Times New Roman" w:eastAsia="Times New Roman" w:hAnsi="Times New Roman" w:cs="Times New Roman"/>
                <w:b/>
                <w:sz w:val="21"/>
              </w:rPr>
              <w:t xml:space="preserve">6.  One criterion identifier threading requirement, test, result and repair. </w:t>
            </w:r>
            <w:r>
              <w:rPr>
                <w:rFonts w:ascii="Times New Roman" w:eastAsia="Times New Roman" w:hAnsi="Times New Roman" w:cs="Times New Roman"/>
                <w:sz w:val="21"/>
              </w:rPr>
              <w:t>Minted at capture and carried through generation, execution records, failure analysis and back into the repair context, giving forward coverage proof, backward failure attribution and requirement-grounded repair from a single key.</w:t>
            </w:r>
          </w:p>
          <w:p w14:paraId="0E4B1B97" w14:textId="77777777" w:rsidR="00F30271" w:rsidRDefault="00000000">
            <w:pPr>
              <w:spacing w:after="80"/>
              <w:ind w:left="432" w:hanging="432"/>
              <w:jc w:val="both"/>
            </w:pPr>
            <w:r>
              <w:rPr>
                <w:rFonts w:ascii="Times New Roman" w:eastAsia="Times New Roman" w:hAnsi="Times New Roman" w:cs="Times New Roman"/>
                <w:b/>
                <w:sz w:val="21"/>
              </w:rPr>
              <w:t xml:space="preserve">7.  Independent per-stage state with a non-destructive staleness cascade. </w:t>
            </w:r>
            <w:r>
              <w:rPr>
                <w:rFonts w:ascii="Times New Roman" w:eastAsia="Times New Roman" w:hAnsi="Times New Roman" w:cs="Times New Roman"/>
                <w:sz w:val="21"/>
              </w:rPr>
              <w:t>Six stages each hold their own state and only two orderings are enforced; refining upstream marks downstream stale while every artifact version stays inspectable.</w:t>
            </w:r>
          </w:p>
          <w:p w14:paraId="726E3BAE" w14:textId="77777777" w:rsidR="00F30271" w:rsidRDefault="00000000">
            <w:pPr>
              <w:spacing w:after="80"/>
              <w:ind w:left="432" w:hanging="432"/>
              <w:jc w:val="both"/>
            </w:pPr>
            <w:r>
              <w:rPr>
                <w:rFonts w:ascii="Times New Roman" w:eastAsia="Times New Roman" w:hAnsi="Times New Roman" w:cs="Times New Roman"/>
                <w:b/>
                <w:sz w:val="21"/>
              </w:rPr>
              <w:t xml:space="preserve">8.  One repair loop serving both sandbox and live post-deployment failures. </w:t>
            </w:r>
            <w:r>
              <w:rPr>
                <w:rFonts w:ascii="Times New Roman" w:eastAsia="Times New Roman" w:hAnsi="Times New Roman" w:cs="Times New Roman"/>
                <w:sz w:val="21"/>
              </w:rPr>
              <w:t>Normalising live-URL results into the in-sandbox record shape makes the deployed artefact repairable by the identical bounded controller.</w:t>
            </w:r>
          </w:p>
          <w:p w14:paraId="09F47B86" w14:textId="77777777" w:rsidR="00F30271" w:rsidRDefault="00000000">
            <w:pPr>
              <w:spacing w:after="80"/>
              <w:ind w:left="432" w:hanging="432"/>
              <w:jc w:val="both"/>
            </w:pPr>
            <w:r>
              <w:rPr>
                <w:rFonts w:ascii="Times New Roman" w:eastAsia="Times New Roman" w:hAnsi="Times New Roman" w:cs="Times New Roman"/>
                <w:b/>
                <w:sz w:val="21"/>
              </w:rPr>
              <w:t xml:space="preserve">9.  Budget as a loop-termination guard. </w:t>
            </w:r>
            <w:r>
              <w:rPr>
                <w:rFonts w:ascii="Times New Roman" w:eastAsia="Times New Roman" w:hAnsi="Times New Roman" w:cs="Times New Roman"/>
                <w:sz w:val="21"/>
              </w:rPr>
              <w:t>Cost is not merely reported: the budget cap is one of the four guards, so economics participate directly in deciding when automated repair stops.</w:t>
            </w:r>
          </w:p>
        </w:tc>
      </w:tr>
      <w:tr w:rsidR="000169C4" w14:paraId="420E2EE9" w14:textId="77777777" w:rsidTr="005B3D7E">
        <w:tc>
          <w:tcPr>
            <w:tcW w:w="9016" w:type="dxa"/>
            <w:gridSpan w:val="2"/>
            <w:shd w:val="clear" w:color="auto" w:fill="E5DFEC" w:themeFill="accent4" w:themeFillTint="33"/>
          </w:tcPr>
          <w:p w14:paraId="68E20607" w14:textId="77777777" w:rsidR="000169C4" w:rsidRPr="00507DA0" w:rsidRDefault="00061C5F" w:rsidP="000B76AC">
            <w:pPr>
              <w:jc w:val="center"/>
              <w:rPr>
                <w:rFonts w:ascii="Arial Black" w:hAnsi="Arial Black" w:cs="Times New Roman"/>
              </w:rPr>
            </w:pPr>
            <w:r w:rsidRPr="00061C5F">
              <w:rPr>
                <w:rFonts w:ascii="Arial Black" w:hAnsi="Arial Black" w:cs="Times New Roman"/>
              </w:rPr>
              <w:lastRenderedPageBreak/>
              <w:t>Usefulness/Any Advantages Of The Invention Over Currently Available Technology</w:t>
            </w:r>
          </w:p>
        </w:tc>
      </w:tr>
      <w:tr w:rsidR="000169C4" w14:paraId="1426CCC2" w14:textId="77777777" w:rsidTr="005B3D7E">
        <w:tc>
          <w:tcPr>
            <w:tcW w:w="9016" w:type="dxa"/>
            <w:gridSpan w:val="2"/>
          </w:tcPr>
          <w:p w14:paraId="352A6E7F"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b/>
                <w:sz w:val="21"/>
              </w:rPr>
              <w:t xml:space="preserve">Predictable, provable termination. </w:t>
            </w:r>
            <w:r>
              <w:rPr>
                <w:rFonts w:ascii="Times New Roman" w:eastAsia="Times New Roman" w:hAnsi="Times New Roman" w:cs="Times New Roman"/>
                <w:sz w:val="21"/>
              </w:rPr>
              <w:t>Cost and latency are bounded a priori, replacing open-ended fix-it loops that published work shows can degrade code security with successive rounds.</w:t>
            </w:r>
          </w:p>
          <w:p w14:paraId="37DDCD69"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b/>
                <w:sz w:val="21"/>
              </w:rPr>
              <w:t xml:space="preserve">Lower token cost per repair. </w:t>
            </w:r>
            <w:r>
              <w:rPr>
                <w:rFonts w:ascii="Times New Roman" w:eastAsia="Times New Roman" w:hAnsi="Times New Roman" w:cs="Times New Roman"/>
                <w:sz w:val="21"/>
              </w:rPr>
              <w:t>Failing tests, import-reachable sources and a since-last-green difference replace whole-repository context; copying a fixed skeleton rather than generating it removes scaffolding tokens entirely.</w:t>
            </w:r>
          </w:p>
          <w:p w14:paraId="531E15BA"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b/>
                <w:sz w:val="21"/>
              </w:rPr>
              <w:t xml:space="preserve">Higher repair relevance. </w:t>
            </w:r>
            <w:r>
              <w:rPr>
                <w:rFonts w:ascii="Times New Roman" w:eastAsia="Times New Roman" w:hAnsi="Times New Roman" w:cs="Times New Roman"/>
                <w:sz w:val="21"/>
              </w:rPr>
              <w:t>Supplying the acceptance text alongside the diff counters the reported tendency of models to attend to remembered code, so the patch answers the stated requirement.</w:t>
            </w:r>
          </w:p>
          <w:p w14:paraId="44345F94"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b/>
                <w:sz w:val="21"/>
              </w:rPr>
              <w:t xml:space="preserve">Verified rather than merely attempted deployment. </w:t>
            </w:r>
            <w:r>
              <w:rPr>
                <w:rFonts w:ascii="Times New Roman" w:eastAsia="Times New Roman" w:hAnsi="Times New Roman" w:cs="Times New Roman"/>
                <w:sz w:val="21"/>
              </w:rPr>
              <w:t>Infrastructure classification, ordered deployment with health checks and a live re-run of the suite yield evidence about the artefact the user will actually use.</w:t>
            </w:r>
          </w:p>
          <w:p w14:paraId="284396E5"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b/>
                <w:sz w:val="21"/>
              </w:rPr>
              <w:t xml:space="preserve">Auditability. </w:t>
            </w:r>
            <w:r>
              <w:rPr>
                <w:rFonts w:ascii="Times New Roman" w:eastAsia="Times New Roman" w:hAnsi="Times New Roman" w:cs="Times New Roman"/>
                <w:sz w:val="21"/>
              </w:rPr>
              <w:t>Versioned artifacts, per-iteration repair records and per-run cost make every automated decision reviewable after the fact.</w:t>
            </w:r>
          </w:p>
          <w:p w14:paraId="440098C5"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b/>
                <w:sz w:val="21"/>
              </w:rPr>
              <w:t xml:space="preserve">Genuine user control. </w:t>
            </w:r>
            <w:r>
              <w:rPr>
                <w:rFonts w:ascii="Times New Roman" w:eastAsia="Times New Roman" w:hAnsi="Times New Roman" w:cs="Times New Roman"/>
                <w:sz w:val="21"/>
              </w:rPr>
              <w:t>Because no stage is mandatory, the platform serves a non-programmer starting from screenshots and an engineer arriving with an existing workspace alike.</w:t>
            </w:r>
          </w:p>
          <w:p w14:paraId="65F1A5A4"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b/>
                <w:sz w:val="21"/>
              </w:rPr>
              <w:t xml:space="preserve">Security by construction. </w:t>
            </w:r>
            <w:r>
              <w:rPr>
                <w:rFonts w:ascii="Times New Roman" w:eastAsia="Times New Roman" w:hAnsi="Times New Roman" w:cs="Times New Roman"/>
                <w:sz w:val="21"/>
              </w:rPr>
              <w:t>Untrusted code runs only in a network-isolated, capability-dropped container, and credentials are encrypted at rest and never returned to the client; the boundary, not the model's good behaviour, is the control.</w:t>
            </w:r>
          </w:p>
          <w:p w14:paraId="026C69E3" w14:textId="77777777" w:rsidR="00F30271" w:rsidRDefault="00000000">
            <w:pPr>
              <w:spacing w:after="60"/>
              <w:ind w:left="461" w:hanging="288"/>
              <w:jc w:val="both"/>
            </w:pPr>
            <w:r>
              <w:rPr>
                <w:rFonts w:ascii="Times New Roman" w:eastAsia="Times New Roman" w:hAnsi="Times New Roman" w:cs="Times New Roman"/>
                <w:sz w:val="21"/>
              </w:rPr>
              <w:t xml:space="preserve">•  </w:t>
            </w:r>
            <w:r>
              <w:rPr>
                <w:rFonts w:ascii="Times New Roman" w:eastAsia="Times New Roman" w:hAnsi="Times New Roman" w:cs="Times New Roman"/>
                <w:b/>
                <w:sz w:val="21"/>
              </w:rPr>
              <w:t xml:space="preserve">Vendor neutrality. </w:t>
            </w:r>
            <w:r>
              <w:rPr>
                <w:rFonts w:ascii="Times New Roman" w:eastAsia="Times New Roman" w:hAnsi="Times New Roman" w:cs="Times New Roman"/>
                <w:sz w:val="21"/>
              </w:rPr>
              <w:t>Model identifiers are configuration and a transport seam supports vendor-native and OpenAI-compatible endpoints, so no lock-in to one supplier or cloud.</w:t>
            </w:r>
          </w:p>
        </w:tc>
      </w:tr>
      <w:tr w:rsidR="00FF01F4" w14:paraId="5ADBB1B7" w14:textId="77777777" w:rsidTr="005B3D7E">
        <w:tc>
          <w:tcPr>
            <w:tcW w:w="9016" w:type="dxa"/>
            <w:gridSpan w:val="2"/>
            <w:shd w:val="clear" w:color="auto" w:fill="E5DFEC" w:themeFill="accent4" w:themeFillTint="33"/>
          </w:tcPr>
          <w:p w14:paraId="2F89F729" w14:textId="77777777" w:rsidR="00FF01F4" w:rsidRPr="00507DA0" w:rsidRDefault="00061C5F" w:rsidP="00061C5F">
            <w:pPr>
              <w:ind w:left="360"/>
              <w:jc w:val="center"/>
              <w:rPr>
                <w:rFonts w:ascii="Arial Black" w:hAnsi="Arial Black"/>
                <w:b/>
              </w:rPr>
            </w:pPr>
            <w:r w:rsidRPr="00061C5F">
              <w:rPr>
                <w:rFonts w:ascii="Arial Black" w:hAnsi="Arial Black"/>
                <w:b/>
              </w:rPr>
              <w:t xml:space="preserve">Any other additional description/ </w:t>
            </w:r>
            <w:r>
              <w:rPr>
                <w:rFonts w:ascii="Arial Black" w:hAnsi="Arial Black"/>
                <w:b/>
              </w:rPr>
              <w:t xml:space="preserve"> Attachments /Manuscript disclosing the current invention  </w:t>
            </w:r>
          </w:p>
        </w:tc>
      </w:tr>
      <w:tr w:rsidR="004024EF" w14:paraId="0C4EEB30" w14:textId="77777777" w:rsidTr="005B3D7E">
        <w:tc>
          <w:tcPr>
            <w:tcW w:w="9016" w:type="dxa"/>
            <w:gridSpan w:val="2"/>
          </w:tcPr>
          <w:p w14:paraId="393DA0CF" w14:textId="77777777" w:rsidR="00F30271" w:rsidRDefault="00000000">
            <w:pPr>
              <w:spacing w:before="120" w:after="120"/>
              <w:jc w:val="center"/>
            </w:pPr>
            <w:r>
              <w:rPr>
                <w:rFonts w:ascii="Times New Roman" w:eastAsia="Times New Roman" w:hAnsi="Times New Roman" w:cs="Times New Roman"/>
                <w:b/>
              </w:rPr>
              <w:t>No.</w:t>
            </w:r>
          </w:p>
        </w:tc>
      </w:tr>
      <w:tr w:rsidR="004024EF" w14:paraId="25B790B4" w14:textId="77777777" w:rsidTr="005B3D7E">
        <w:tc>
          <w:tcPr>
            <w:tcW w:w="9016" w:type="dxa"/>
            <w:gridSpan w:val="2"/>
            <w:shd w:val="clear" w:color="auto" w:fill="E5DFEC" w:themeFill="accent4" w:themeFillTint="33"/>
          </w:tcPr>
          <w:p w14:paraId="4AA13693" w14:textId="77777777" w:rsidR="004024EF" w:rsidRPr="004024EF" w:rsidRDefault="00061C5F" w:rsidP="000B76AC">
            <w:pPr>
              <w:jc w:val="center"/>
              <w:rPr>
                <w:rFonts w:ascii="Arial Black" w:hAnsi="Arial Black"/>
              </w:rPr>
            </w:pPr>
            <w:r w:rsidRPr="00061C5F">
              <w:rPr>
                <w:rFonts w:ascii="Arial Black" w:hAnsi="Arial Black"/>
              </w:rPr>
              <w:t>(Optional) Labelled sketches/figures to detail the invention</w:t>
            </w:r>
          </w:p>
        </w:tc>
      </w:tr>
      <w:tr w:rsidR="004024EF" w14:paraId="1DBD7118" w14:textId="77777777" w:rsidTr="005B3D7E">
        <w:tc>
          <w:tcPr>
            <w:tcW w:w="9016" w:type="dxa"/>
            <w:gridSpan w:val="2"/>
          </w:tcPr>
          <w:p w14:paraId="0E370111" w14:textId="77777777" w:rsidR="00F30271" w:rsidRDefault="00000000">
            <w:pPr>
              <w:spacing w:before="80" w:after="160"/>
              <w:jc w:val="both"/>
            </w:pPr>
            <w:r>
              <w:rPr>
                <w:rFonts w:ascii="Times New Roman" w:eastAsia="Times New Roman" w:hAnsi="Times New Roman" w:cs="Times New Roman"/>
                <w:sz w:val="21"/>
              </w:rPr>
              <w:lastRenderedPageBreak/>
              <w:t>Six labelled figures follow; numerals match the Description above.</w:t>
            </w:r>
          </w:p>
          <w:p w14:paraId="6F309B13" w14:textId="77777777" w:rsidR="00F30271" w:rsidRDefault="00000000">
            <w:pPr>
              <w:spacing w:before="120" w:after="40"/>
              <w:jc w:val="center"/>
            </w:pPr>
            <w:r>
              <w:rPr>
                <w:noProof/>
              </w:rPr>
              <w:drawing>
                <wp:inline distT="0" distB="0" distL="0" distR="0" wp14:anchorId="61FD79A4" wp14:editId="5430687C">
                  <wp:extent cx="5532120" cy="387043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fig1-system-architecture.png"/>
                          <pic:cNvPicPr/>
                        </pic:nvPicPr>
                        <pic:blipFill>
                          <a:blip r:embed="rId7"/>
                          <a:stretch>
                            <a:fillRect/>
                          </a:stretch>
                        </pic:blipFill>
                        <pic:spPr>
                          <a:xfrm>
                            <a:off x="0" y="0"/>
                            <a:ext cx="5532120" cy="3870439"/>
                          </a:xfrm>
                          <a:prstGeom prst="rect">
                            <a:avLst/>
                          </a:prstGeom>
                        </pic:spPr>
                      </pic:pic>
                    </a:graphicData>
                  </a:graphic>
                </wp:inline>
              </w:drawing>
            </w:r>
          </w:p>
          <w:p w14:paraId="36BA270E" w14:textId="77777777" w:rsidR="00F30271" w:rsidRDefault="00000000">
            <w:pPr>
              <w:spacing w:after="200"/>
              <w:jc w:val="center"/>
            </w:pPr>
            <w:r>
              <w:rPr>
                <w:rFonts w:ascii="Times New Roman" w:eastAsia="Times New Roman" w:hAnsi="Times New Roman" w:cs="Times New Roman"/>
                <w:i/>
                <w:sz w:val="19"/>
              </w:rPr>
              <w:t>Fig. 1:  System architecture showing the presentation, control and execution planes and the external provider boundary. Untrusted code executes only in the per-project sandbox.</w:t>
            </w:r>
          </w:p>
          <w:p w14:paraId="1E79275E" w14:textId="77777777" w:rsidR="00F30271" w:rsidRDefault="00000000">
            <w:pPr>
              <w:spacing w:before="120" w:after="40"/>
              <w:jc w:val="center"/>
            </w:pPr>
            <w:r>
              <w:rPr>
                <w:noProof/>
              </w:rPr>
              <w:drawing>
                <wp:inline distT="0" distB="0" distL="0" distR="0" wp14:anchorId="60254A11" wp14:editId="11975308">
                  <wp:extent cx="5532120" cy="33866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nonlinear-stage-model.png"/>
                          <pic:cNvPicPr/>
                        </pic:nvPicPr>
                        <pic:blipFill>
                          <a:blip r:embed="rId8"/>
                          <a:stretch>
                            <a:fillRect/>
                          </a:stretch>
                        </pic:blipFill>
                        <pic:spPr>
                          <a:xfrm>
                            <a:off x="0" y="0"/>
                            <a:ext cx="5532120" cy="3386602"/>
                          </a:xfrm>
                          <a:prstGeom prst="rect">
                            <a:avLst/>
                          </a:prstGeom>
                        </pic:spPr>
                      </pic:pic>
                    </a:graphicData>
                  </a:graphic>
                </wp:inline>
              </w:drawing>
            </w:r>
          </w:p>
          <w:p w14:paraId="28E80E7A" w14:textId="77777777" w:rsidR="00F30271" w:rsidRDefault="00000000">
            <w:pPr>
              <w:spacing w:after="200"/>
              <w:jc w:val="center"/>
            </w:pPr>
            <w:r>
              <w:rPr>
                <w:rFonts w:ascii="Times New Roman" w:eastAsia="Times New Roman" w:hAnsi="Times New Roman" w:cs="Times New Roman"/>
                <w:i/>
                <w:sz w:val="19"/>
              </w:rPr>
              <w:t>Fig. 2:  The non-linear stage model. Dashed edges are optional (enter-anywhere, skip); the two bold edges are the only enforced orderings; refinement propagates a staleness cascade.</w:t>
            </w:r>
          </w:p>
          <w:p w14:paraId="6980232D" w14:textId="77777777" w:rsidR="00F30271" w:rsidRDefault="00000000">
            <w:pPr>
              <w:spacing w:before="120" w:after="40"/>
              <w:jc w:val="center"/>
            </w:pPr>
            <w:r>
              <w:rPr>
                <w:noProof/>
              </w:rPr>
              <w:lastRenderedPageBreak/>
              <w:drawing>
                <wp:inline distT="0" distB="0" distL="0" distR="0" wp14:anchorId="7559201C" wp14:editId="7731D9F0">
                  <wp:extent cx="5532120" cy="472535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bounded-repair-loop.png"/>
                          <pic:cNvPicPr/>
                        </pic:nvPicPr>
                        <pic:blipFill>
                          <a:blip r:embed="rId9"/>
                          <a:stretch>
                            <a:fillRect/>
                          </a:stretch>
                        </pic:blipFill>
                        <pic:spPr>
                          <a:xfrm>
                            <a:off x="0" y="0"/>
                            <a:ext cx="5532120" cy="4725352"/>
                          </a:xfrm>
                          <a:prstGeom prst="rect">
                            <a:avLst/>
                          </a:prstGeom>
                        </pic:spPr>
                      </pic:pic>
                    </a:graphicData>
                  </a:graphic>
                </wp:inline>
              </w:drawing>
            </w:r>
          </w:p>
          <w:p w14:paraId="73D272C6" w14:textId="77777777" w:rsidR="00F30271" w:rsidRDefault="00000000">
            <w:pPr>
              <w:spacing w:after="200"/>
              <w:jc w:val="center"/>
            </w:pPr>
            <w:r>
              <w:rPr>
                <w:rFonts w:ascii="Times New Roman" w:eastAsia="Times New Roman" w:hAnsi="Times New Roman" w:cs="Times New Roman"/>
                <w:i/>
                <w:sz w:val="19"/>
              </w:rPr>
              <w:t>Fig. 3:  The bounded, diff-aware repair loop: minimal context assembly, targeted patch, re-execution, four termination guards in precedence order, escalation as a terminal state.</w:t>
            </w:r>
          </w:p>
          <w:p w14:paraId="6B8A18AD" w14:textId="77777777" w:rsidR="00F30271" w:rsidRDefault="00000000">
            <w:pPr>
              <w:spacing w:before="120" w:after="40"/>
              <w:jc w:val="center"/>
            </w:pPr>
            <w:r>
              <w:rPr>
                <w:noProof/>
              </w:rPr>
              <w:drawing>
                <wp:inline distT="0" distB="0" distL="0" distR="0" wp14:anchorId="4E82D17C" wp14:editId="0BAB6149">
                  <wp:extent cx="5532120" cy="362271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requirements-test-repair-traceability.png"/>
                          <pic:cNvPicPr/>
                        </pic:nvPicPr>
                        <pic:blipFill>
                          <a:blip r:embed="rId10"/>
                          <a:stretch>
                            <a:fillRect/>
                          </a:stretch>
                        </pic:blipFill>
                        <pic:spPr>
                          <a:xfrm>
                            <a:off x="0" y="0"/>
                            <a:ext cx="5532120" cy="3622713"/>
                          </a:xfrm>
                          <a:prstGeom prst="rect">
                            <a:avLst/>
                          </a:prstGeom>
                        </pic:spPr>
                      </pic:pic>
                    </a:graphicData>
                  </a:graphic>
                </wp:inline>
              </w:drawing>
            </w:r>
          </w:p>
          <w:p w14:paraId="2BE1A3B4" w14:textId="77777777" w:rsidR="00F30271" w:rsidRDefault="00000000">
            <w:pPr>
              <w:spacing w:after="200"/>
              <w:jc w:val="center"/>
            </w:pPr>
            <w:r>
              <w:rPr>
                <w:rFonts w:ascii="Times New Roman" w:eastAsia="Times New Roman" w:hAnsi="Times New Roman" w:cs="Times New Roman"/>
                <w:i/>
                <w:sz w:val="19"/>
              </w:rPr>
              <w:lastRenderedPageBreak/>
              <w:t>Fig. 4:  The traceability chain: one criterion identifier threads an acceptance criterion through test generation, execution, failure analysis and back into the repair context.</w:t>
            </w:r>
          </w:p>
          <w:p w14:paraId="0A51F7CD" w14:textId="77777777" w:rsidR="00F30271" w:rsidRDefault="00000000">
            <w:pPr>
              <w:spacing w:before="120" w:after="40"/>
              <w:jc w:val="center"/>
            </w:pPr>
            <w:r>
              <w:rPr>
                <w:noProof/>
              </w:rPr>
              <w:drawing>
                <wp:inline distT="0" distB="0" distL="0" distR="0" wp14:anchorId="48BFDBD3" wp14:editId="0361113C">
                  <wp:extent cx="5532120" cy="33788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deployment-topology-live-validation.png"/>
                          <pic:cNvPicPr/>
                        </pic:nvPicPr>
                        <pic:blipFill>
                          <a:blip r:embed="rId11"/>
                          <a:stretch>
                            <a:fillRect/>
                          </a:stretch>
                        </pic:blipFill>
                        <pic:spPr>
                          <a:xfrm>
                            <a:off x="0" y="0"/>
                            <a:ext cx="5532120" cy="3378871"/>
                          </a:xfrm>
                          <a:prstGeom prst="rect">
                            <a:avLst/>
                          </a:prstGeom>
                        </pic:spPr>
                      </pic:pic>
                    </a:graphicData>
                  </a:graphic>
                </wp:inline>
              </w:drawing>
            </w:r>
          </w:p>
          <w:p w14:paraId="059C2AEC" w14:textId="77777777" w:rsidR="00F30271" w:rsidRDefault="00000000">
            <w:pPr>
              <w:spacing w:after="200"/>
              <w:jc w:val="center"/>
            </w:pPr>
            <w:r>
              <w:rPr>
                <w:rFonts w:ascii="Times New Roman" w:eastAsia="Times New Roman" w:hAnsi="Times New Roman" w:cs="Times New Roman"/>
                <w:i/>
                <w:sz w:val="19"/>
              </w:rPr>
              <w:t>Fig. 5:  Infrastructure analysis, dual-mode credentials, the deployment topology, and the post-deployment live-validation and live-failure repair path.</w:t>
            </w:r>
          </w:p>
          <w:p w14:paraId="53276318" w14:textId="77777777" w:rsidR="00F30271" w:rsidRDefault="00000000">
            <w:pPr>
              <w:spacing w:before="120" w:after="40"/>
              <w:jc w:val="center"/>
            </w:pPr>
            <w:r>
              <w:rPr>
                <w:noProof/>
              </w:rPr>
              <w:lastRenderedPageBreak/>
              <w:drawing>
                <wp:inline distT="0" distB="0" distL="0" distR="0" wp14:anchorId="3DDEEDA2" wp14:editId="2C4F3A97">
                  <wp:extent cx="5532120" cy="513991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hero-path-sequence.png"/>
                          <pic:cNvPicPr/>
                        </pic:nvPicPr>
                        <pic:blipFill>
                          <a:blip r:embed="rId12"/>
                          <a:stretch>
                            <a:fillRect/>
                          </a:stretch>
                        </pic:blipFill>
                        <pic:spPr>
                          <a:xfrm>
                            <a:off x="0" y="0"/>
                            <a:ext cx="5532120" cy="5139917"/>
                          </a:xfrm>
                          <a:prstGeom prst="rect">
                            <a:avLst/>
                          </a:prstGeom>
                        </pic:spPr>
                      </pic:pic>
                    </a:graphicData>
                  </a:graphic>
                </wp:inline>
              </w:drawing>
            </w:r>
          </w:p>
          <w:p w14:paraId="291174E0" w14:textId="77777777" w:rsidR="00F30271" w:rsidRDefault="00000000">
            <w:pPr>
              <w:spacing w:after="200"/>
              <w:jc w:val="center"/>
            </w:pPr>
            <w:r>
              <w:rPr>
                <w:rFonts w:ascii="Times New Roman" w:eastAsia="Times New Roman" w:hAnsi="Times New Roman" w:cs="Times New Roman"/>
                <w:i/>
                <w:sz w:val="19"/>
              </w:rPr>
              <w:t>Fig. 6:  End-to-end sequence from intake to a live URL validated against production; every step stays refinable, skippable and re-enterable.</w:t>
            </w:r>
          </w:p>
        </w:tc>
      </w:tr>
      <w:tr w:rsidR="004024EF" w14:paraId="64DC5202" w14:textId="77777777" w:rsidTr="005B3D7E">
        <w:tc>
          <w:tcPr>
            <w:tcW w:w="9016" w:type="dxa"/>
            <w:gridSpan w:val="2"/>
            <w:shd w:val="clear" w:color="auto" w:fill="E5DFEC" w:themeFill="accent4" w:themeFillTint="33"/>
          </w:tcPr>
          <w:p w14:paraId="07A876A5" w14:textId="77777777" w:rsidR="004024EF" w:rsidRPr="00EC1525" w:rsidRDefault="0024717F" w:rsidP="00F07C4B">
            <w:pPr>
              <w:jc w:val="center"/>
              <w:rPr>
                <w:rFonts w:ascii="Arial Black" w:hAnsi="Arial Black"/>
              </w:rPr>
            </w:pPr>
            <w:r w:rsidRPr="00EC1525">
              <w:rPr>
                <w:rFonts w:ascii="Arial Black" w:hAnsi="Arial Black" w:cs="Times New Roman"/>
                <w:shd w:val="clear" w:color="auto" w:fill="E5DFEC" w:themeFill="accent4" w:themeFillTint="33"/>
              </w:rPr>
              <w:lastRenderedPageBreak/>
              <w:t xml:space="preserve">(Optional) </w:t>
            </w:r>
            <w:r w:rsidRPr="00B66245">
              <w:rPr>
                <w:rFonts w:ascii="Arial Black" w:hAnsi="Arial Black" w:cs="Times New Roman"/>
                <w:shd w:val="clear" w:color="auto" w:fill="E5DFEC" w:themeFill="accent4" w:themeFillTint="33"/>
              </w:rPr>
              <w:t xml:space="preserve">Please list </w:t>
            </w:r>
            <w:r w:rsidR="00EC736F" w:rsidRPr="00B66245">
              <w:rPr>
                <w:rFonts w:ascii="Arial Black" w:hAnsi="Arial Black" w:cs="Times New Roman"/>
                <w:shd w:val="clear" w:color="auto" w:fill="E5DFEC" w:themeFill="accent4" w:themeFillTint="33"/>
              </w:rPr>
              <w:t xml:space="preserve">relevant literature </w:t>
            </w:r>
            <w:r w:rsidRPr="00B66245">
              <w:rPr>
                <w:rFonts w:ascii="Arial Black" w:hAnsi="Arial Black" w:cs="Times New Roman"/>
                <w:shd w:val="clear" w:color="auto" w:fill="E5DFEC" w:themeFill="accent4" w:themeFillTint="33"/>
              </w:rPr>
              <w:t>(</w:t>
            </w:r>
            <w:r w:rsidR="00F07C4B" w:rsidRPr="00B66245">
              <w:rPr>
                <w:rFonts w:ascii="Arial Black" w:hAnsi="Arial Black" w:cs="Times New Roman"/>
                <w:shd w:val="clear" w:color="auto" w:fill="E5DFEC" w:themeFill="accent4" w:themeFillTint="33"/>
              </w:rPr>
              <w:t>patent/non-patent</w:t>
            </w:r>
            <w:r w:rsidRPr="00B66245">
              <w:rPr>
                <w:rFonts w:ascii="Arial Black" w:hAnsi="Arial Black" w:cs="Times New Roman"/>
                <w:shd w:val="clear" w:color="auto" w:fill="E5DFEC" w:themeFill="accent4" w:themeFillTint="33"/>
              </w:rPr>
              <w:t>) or provide as attachments</w:t>
            </w:r>
            <w:r w:rsidR="0001332D">
              <w:rPr>
                <w:rFonts w:ascii="Arial Black" w:hAnsi="Arial Black" w:cs="Times New Roman"/>
                <w:shd w:val="clear" w:color="auto" w:fill="E5DFEC" w:themeFill="accent4" w:themeFillTint="33"/>
              </w:rPr>
              <w:t xml:space="preserve"> </w:t>
            </w:r>
            <w:r w:rsidR="00EC736F" w:rsidRPr="00B66245">
              <w:rPr>
                <w:rFonts w:ascii="Arial Black" w:hAnsi="Arial Black" w:cs="Times New Roman"/>
                <w:shd w:val="clear" w:color="auto" w:fill="E5DFEC" w:themeFill="accent4" w:themeFillTint="33"/>
              </w:rPr>
              <w:t xml:space="preserve">that help to </w:t>
            </w:r>
            <w:r w:rsidR="00F07C4B" w:rsidRPr="00B66245">
              <w:rPr>
                <w:rFonts w:ascii="Arial Black" w:hAnsi="Arial Black" w:cs="Times New Roman"/>
                <w:shd w:val="clear" w:color="auto" w:fill="E5DFEC" w:themeFill="accent4" w:themeFillTint="33"/>
              </w:rPr>
              <w:t>distinguish the prior art from the invention disclosure</w:t>
            </w:r>
          </w:p>
        </w:tc>
      </w:tr>
      <w:tr w:rsidR="004024EF" w14:paraId="387175CB" w14:textId="77777777" w:rsidTr="005B3D7E">
        <w:tc>
          <w:tcPr>
            <w:tcW w:w="9016" w:type="dxa"/>
            <w:gridSpan w:val="2"/>
          </w:tcPr>
          <w:p w14:paraId="73430E29" w14:textId="77777777" w:rsidR="00F30271" w:rsidRDefault="00000000">
            <w:pPr>
              <w:spacing w:before="80" w:after="80"/>
            </w:pPr>
            <w:r>
              <w:rPr>
                <w:rFonts w:ascii="Times New Roman" w:eastAsia="Times New Roman" w:hAnsi="Times New Roman" w:cs="Times New Roman"/>
                <w:b/>
                <w:sz w:val="21"/>
              </w:rPr>
              <w:t>A.  Patent literature</w:t>
            </w:r>
          </w:p>
          <w:p w14:paraId="6E832943" w14:textId="77777777" w:rsidR="00F30271" w:rsidRDefault="00000000">
            <w:pPr>
              <w:spacing w:after="100"/>
              <w:jc w:val="both"/>
            </w:pPr>
            <w:r>
              <w:rPr>
                <w:rFonts w:ascii="Times New Roman" w:eastAsia="Times New Roman" w:hAnsi="Times New Roman" w:cs="Times New Roman"/>
                <w:sz w:val="20"/>
              </w:rPr>
              <w:t>Each item is the closest located art for one facet of the invention. None discloses a guard-terminated, diff-aware repair loop with requirement-keyed context, nor couples one to post-deployment live validation.</w:t>
            </w:r>
          </w:p>
          <w:p w14:paraId="38D2DE9C" w14:textId="77777777" w:rsidR="00F30271" w:rsidRDefault="00000000">
            <w:pPr>
              <w:spacing w:after="80"/>
              <w:ind w:left="605" w:hanging="605"/>
              <w:jc w:val="both"/>
            </w:pPr>
            <w:r>
              <w:rPr>
                <w:rFonts w:ascii="Times New Roman" w:eastAsia="Times New Roman" w:hAnsi="Times New Roman" w:cs="Times New Roman"/>
                <w:b/>
                <w:sz w:val="20"/>
              </w:rPr>
              <w:t>[P1]  US 12,423,062 B1</w:t>
            </w:r>
            <w:r>
              <w:rPr>
                <w:rFonts w:ascii="Times New Roman" w:eastAsia="Times New Roman" w:hAnsi="Times New Roman" w:cs="Times New Roman"/>
                <w:sz w:val="20"/>
              </w:rPr>
              <w:t xml:space="preserve"> “AI-based application build and deployment support system and method,” Inswave Systems (2025); closest overall, an LLM assistant spanning project creation, build and deployment. </w:t>
            </w:r>
            <w:r>
              <w:rPr>
                <w:rFonts w:ascii="Times New Roman" w:eastAsia="Times New Roman" w:hAnsi="Times New Roman" w:cs="Times New Roman"/>
                <w:b/>
                <w:i/>
                <w:sz w:val="20"/>
              </w:rPr>
              <w:t>Distinction:</w:t>
            </w:r>
            <w:r>
              <w:rPr>
                <w:rFonts w:ascii="Times New Roman" w:eastAsia="Times New Roman" w:hAnsi="Times New Roman" w:cs="Times New Roman"/>
                <w:sz w:val="20"/>
              </w:rPr>
              <w:t xml:space="preserve"> it retrieves suggested solutions from a database or the web; no iteration-capped controller, no diff-scoped context, no guards, no re-validation of the deployed artefact.</w:t>
            </w:r>
          </w:p>
          <w:p w14:paraId="0CB2D679" w14:textId="77777777" w:rsidR="00F30271" w:rsidRDefault="00000000">
            <w:pPr>
              <w:spacing w:after="80"/>
              <w:ind w:left="605" w:hanging="605"/>
              <w:jc w:val="both"/>
            </w:pPr>
            <w:r>
              <w:rPr>
                <w:rFonts w:ascii="Times New Roman" w:eastAsia="Times New Roman" w:hAnsi="Times New Roman" w:cs="Times New Roman"/>
                <w:b/>
                <w:sz w:val="20"/>
              </w:rPr>
              <w:t>[P2]  US 10,956,681 B2</w:t>
            </w:r>
            <w:r>
              <w:rPr>
                <w:rFonts w:ascii="Times New Roman" w:eastAsia="Times New Roman" w:hAnsi="Times New Roman" w:cs="Times New Roman"/>
                <w:sz w:val="20"/>
              </w:rPr>
              <w:t xml:space="preserve"> “Creating apps from natural language descriptions,” Google LLC (2021). </w:t>
            </w:r>
            <w:r>
              <w:rPr>
                <w:rFonts w:ascii="Times New Roman" w:eastAsia="Times New Roman" w:hAnsi="Times New Roman" w:cs="Times New Roman"/>
                <w:b/>
                <w:i/>
                <w:sz w:val="20"/>
              </w:rPr>
              <w:t>Distinction:</w:t>
            </w:r>
            <w:r>
              <w:rPr>
                <w:rFonts w:ascii="Times New Roman" w:eastAsia="Times New Roman" w:hAnsi="Times New Roman" w:cs="Times New Roman"/>
                <w:sz w:val="20"/>
              </w:rPr>
              <w:t xml:space="preserve"> generation and publication only; no test compilation, no repair loop, no non-linear stage model.</w:t>
            </w:r>
          </w:p>
          <w:p w14:paraId="43DAA497" w14:textId="77777777" w:rsidR="00F30271" w:rsidRDefault="00000000">
            <w:pPr>
              <w:spacing w:after="80"/>
              <w:ind w:left="605" w:hanging="605"/>
              <w:jc w:val="both"/>
            </w:pPr>
            <w:r>
              <w:rPr>
                <w:rFonts w:ascii="Times New Roman" w:eastAsia="Times New Roman" w:hAnsi="Times New Roman" w:cs="Times New Roman"/>
                <w:b/>
                <w:sz w:val="20"/>
              </w:rPr>
              <w:t>[P3]  US 2024/0345904 A1</w:t>
            </w:r>
            <w:r>
              <w:rPr>
                <w:rFonts w:ascii="Times New Roman" w:eastAsia="Times New Roman" w:hAnsi="Times New Roman" w:cs="Times New Roman"/>
                <w:sz w:val="20"/>
              </w:rPr>
              <w:t xml:space="preserve"> “Automated Error Resolution in a Software Deployment Pipeline,” Dell Products L.P. (2024); NLP matches CI/CD errors to stored remediation scripts. </w:t>
            </w:r>
            <w:r>
              <w:rPr>
                <w:rFonts w:ascii="Times New Roman" w:eastAsia="Times New Roman" w:hAnsi="Times New Roman" w:cs="Times New Roman"/>
                <w:b/>
                <w:i/>
                <w:sz w:val="20"/>
              </w:rPr>
              <w:t>Distinction:</w:t>
            </w:r>
            <w:r>
              <w:rPr>
                <w:rFonts w:ascii="Times New Roman" w:eastAsia="Times New Roman" w:hAnsi="Times New Roman" w:cs="Times New Roman"/>
                <w:sz w:val="20"/>
              </w:rPr>
              <w:t xml:space="preserve"> it selects a pre-authored script for a pipeline error, not a synthesised patch from failing application tests, and defines no bounded iteration.</w:t>
            </w:r>
          </w:p>
          <w:p w14:paraId="35E91D62" w14:textId="77777777" w:rsidR="00F30271" w:rsidRDefault="00000000">
            <w:pPr>
              <w:spacing w:after="80"/>
              <w:ind w:left="605" w:hanging="605"/>
              <w:jc w:val="both"/>
            </w:pPr>
            <w:r>
              <w:rPr>
                <w:rFonts w:ascii="Times New Roman" w:eastAsia="Times New Roman" w:hAnsi="Times New Roman" w:cs="Times New Roman"/>
                <w:b/>
                <w:sz w:val="20"/>
              </w:rPr>
              <w:lastRenderedPageBreak/>
              <w:t>[P4]  US 2017/0228220 A1</w:t>
            </w:r>
            <w:r>
              <w:rPr>
                <w:rFonts w:ascii="Times New Roman" w:eastAsia="Times New Roman" w:hAnsi="Times New Roman" w:cs="Times New Roman"/>
                <w:sz w:val="20"/>
              </w:rPr>
              <w:t xml:space="preserve"> “Self-healing automated script-testing tool,” IBM (2016). </w:t>
            </w:r>
            <w:r>
              <w:rPr>
                <w:rFonts w:ascii="Times New Roman" w:eastAsia="Times New Roman" w:hAnsi="Times New Roman" w:cs="Times New Roman"/>
                <w:b/>
                <w:i/>
                <w:sz w:val="20"/>
              </w:rPr>
              <w:t>Distinction:</w:t>
            </w:r>
            <w:r>
              <w:rPr>
                <w:rFonts w:ascii="Times New Roman" w:eastAsia="Times New Roman" w:hAnsi="Times New Roman" w:cs="Times New Roman"/>
                <w:sz w:val="20"/>
              </w:rPr>
              <w:t xml:space="preserve"> it heals the </w:t>
            </w:r>
            <w:r>
              <w:rPr>
                <w:rFonts w:ascii="Times New Roman" w:eastAsia="Times New Roman" w:hAnsi="Times New Roman" w:cs="Times New Roman"/>
                <w:i/>
                <w:sz w:val="20"/>
              </w:rPr>
              <w:t>test</w:t>
            </w:r>
            <w:r>
              <w:rPr>
                <w:rFonts w:ascii="Times New Roman" w:eastAsia="Times New Roman" w:hAnsi="Times New Roman" w:cs="Times New Roman"/>
                <w:sz w:val="20"/>
              </w:rPr>
              <w:t xml:space="preserve"> to match the application; here the </w:t>
            </w:r>
            <w:r>
              <w:rPr>
                <w:rFonts w:ascii="Times New Roman" w:eastAsia="Times New Roman" w:hAnsi="Times New Roman" w:cs="Times New Roman"/>
                <w:i/>
                <w:sz w:val="20"/>
              </w:rPr>
              <w:t>application</w:t>
            </w:r>
            <w:r>
              <w:rPr>
                <w:rFonts w:ascii="Times New Roman" w:eastAsia="Times New Roman" w:hAnsi="Times New Roman" w:cs="Times New Roman"/>
                <w:sz w:val="20"/>
              </w:rPr>
              <w:t xml:space="preserve"> is repaired to satisfy the requirement, under a bounded controller.</w:t>
            </w:r>
          </w:p>
          <w:p w14:paraId="4B18FAFD" w14:textId="77777777" w:rsidR="00F30271" w:rsidRDefault="00000000">
            <w:pPr>
              <w:spacing w:after="80"/>
              <w:ind w:left="605" w:hanging="605"/>
              <w:jc w:val="both"/>
            </w:pPr>
            <w:r>
              <w:rPr>
                <w:rFonts w:ascii="Times New Roman" w:eastAsia="Times New Roman" w:hAnsi="Times New Roman" w:cs="Times New Roman"/>
                <w:b/>
                <w:sz w:val="20"/>
              </w:rPr>
              <w:t>[P5]  US 11,899,566 B1</w:t>
            </w:r>
            <w:r>
              <w:rPr>
                <w:rFonts w:ascii="Times New Roman" w:eastAsia="Times New Roman" w:hAnsi="Times New Roman" w:cs="Times New Roman"/>
                <w:sz w:val="20"/>
              </w:rPr>
              <w:t xml:space="preserve"> (Google LLC, 2024) and </w:t>
            </w:r>
            <w:r>
              <w:rPr>
                <w:rFonts w:ascii="Times New Roman" w:eastAsia="Times New Roman" w:hAnsi="Times New Roman" w:cs="Times New Roman"/>
                <w:b/>
                <w:sz w:val="20"/>
              </w:rPr>
              <w:t>US 11,829,282 B2</w:t>
            </w:r>
            <w:r>
              <w:rPr>
                <w:rFonts w:ascii="Times New Roman" w:eastAsia="Times New Roman" w:hAnsi="Times New Roman" w:cs="Times New Roman"/>
                <w:sz w:val="20"/>
              </w:rPr>
              <w:t xml:space="preserve"> (Microsoft, 2023), on ML generation of test cases and assertions. </w:t>
            </w:r>
            <w:r>
              <w:rPr>
                <w:rFonts w:ascii="Times New Roman" w:eastAsia="Times New Roman" w:hAnsi="Times New Roman" w:cs="Times New Roman"/>
                <w:b/>
                <w:i/>
                <w:sz w:val="20"/>
              </w:rPr>
              <w:t>Distinction:</w:t>
            </w:r>
            <w:r>
              <w:rPr>
                <w:rFonts w:ascii="Times New Roman" w:eastAsia="Times New Roman" w:hAnsi="Times New Roman" w:cs="Times New Roman"/>
                <w:sz w:val="20"/>
              </w:rPr>
              <w:t xml:space="preserve"> both derive tests from </w:t>
            </w:r>
            <w:r>
              <w:rPr>
                <w:rFonts w:ascii="Times New Roman" w:eastAsia="Times New Roman" w:hAnsi="Times New Roman" w:cs="Times New Roman"/>
                <w:i/>
                <w:sz w:val="20"/>
              </w:rPr>
              <w:t>code</w:t>
            </w:r>
            <w:r>
              <w:rPr>
                <w:rFonts w:ascii="Times New Roman" w:eastAsia="Times New Roman" w:hAnsi="Times New Roman" w:cs="Times New Roman"/>
                <w:sz w:val="20"/>
              </w:rPr>
              <w:t xml:space="preserve">; here tests compile from user-authored </w:t>
            </w:r>
            <w:r>
              <w:rPr>
                <w:rFonts w:ascii="Times New Roman" w:eastAsia="Times New Roman" w:hAnsi="Times New Roman" w:cs="Times New Roman"/>
                <w:i/>
                <w:sz w:val="20"/>
              </w:rPr>
              <w:t>acceptance criteria</w:t>
            </w:r>
            <w:r>
              <w:rPr>
                <w:rFonts w:ascii="Times New Roman" w:eastAsia="Times New Roman" w:hAnsi="Times New Roman" w:cs="Times New Roman"/>
                <w:sz w:val="20"/>
              </w:rPr>
              <w:t xml:space="preserve"> whose identifier survives into the repair context.</w:t>
            </w:r>
          </w:p>
          <w:p w14:paraId="18619334" w14:textId="77777777" w:rsidR="00F30271" w:rsidRDefault="00000000">
            <w:pPr>
              <w:spacing w:after="80"/>
              <w:ind w:left="605" w:hanging="605"/>
              <w:jc w:val="both"/>
            </w:pPr>
            <w:r>
              <w:rPr>
                <w:rFonts w:ascii="Times New Roman" w:eastAsia="Times New Roman" w:hAnsi="Times New Roman" w:cs="Times New Roman"/>
                <w:b/>
                <w:sz w:val="20"/>
              </w:rPr>
              <w:t>[P6]  US 9,940,222 B2</w:t>
            </w:r>
            <w:r>
              <w:rPr>
                <w:rFonts w:ascii="Times New Roman" w:eastAsia="Times New Roman" w:hAnsi="Times New Roman" w:cs="Times New Roman"/>
                <w:sz w:val="20"/>
              </w:rPr>
              <w:t xml:space="preserve"> “Safety-critical software automated requirements-based test case generation,” General Electric (2018). </w:t>
            </w:r>
            <w:r>
              <w:rPr>
                <w:rFonts w:ascii="Times New Roman" w:eastAsia="Times New Roman" w:hAnsi="Times New Roman" w:cs="Times New Roman"/>
                <w:b/>
                <w:i/>
                <w:sz w:val="20"/>
              </w:rPr>
              <w:t>Distinction:</w:t>
            </w:r>
            <w:r>
              <w:rPr>
                <w:rFonts w:ascii="Times New Roman" w:eastAsia="Times New Roman" w:hAnsi="Times New Roman" w:cs="Times New Roman"/>
                <w:sz w:val="20"/>
              </w:rPr>
              <w:t xml:space="preserve"> model-based and coverage-driven; it neither generates nor repairs the application and offers no traceability key into a repair context.</w:t>
            </w:r>
          </w:p>
          <w:p w14:paraId="7258FCD1" w14:textId="77777777" w:rsidR="00F30271" w:rsidRDefault="00000000">
            <w:pPr>
              <w:spacing w:after="80"/>
              <w:ind w:left="605" w:hanging="605"/>
              <w:jc w:val="both"/>
            </w:pPr>
            <w:r>
              <w:rPr>
                <w:rFonts w:ascii="Times New Roman" w:eastAsia="Times New Roman" w:hAnsi="Times New Roman" w:cs="Times New Roman"/>
                <w:b/>
                <w:sz w:val="20"/>
              </w:rPr>
              <w:t>[P7]  US 11,645,548 B1</w:t>
            </w:r>
            <w:r>
              <w:rPr>
                <w:rFonts w:ascii="Times New Roman" w:eastAsia="Times New Roman" w:hAnsi="Times New Roman" w:cs="Times New Roman"/>
                <w:sz w:val="20"/>
              </w:rPr>
              <w:t xml:space="preserve"> / US 2023/0123077 A1 “Automated cloud data and technology solution delivery using ML and AI modeling,” McKinsey &amp; Co. </w:t>
            </w:r>
            <w:r>
              <w:rPr>
                <w:rFonts w:ascii="Times New Roman" w:eastAsia="Times New Roman" w:hAnsi="Times New Roman" w:cs="Times New Roman"/>
                <w:b/>
                <w:i/>
                <w:sz w:val="20"/>
              </w:rPr>
              <w:t>Distinction:</w:t>
            </w:r>
            <w:r>
              <w:rPr>
                <w:rFonts w:ascii="Times New Roman" w:eastAsia="Times New Roman" w:hAnsi="Times New Roman" w:cs="Times New Roman"/>
                <w:sz w:val="20"/>
              </w:rPr>
              <w:t xml:space="preserve"> infrastructure-as-code generation without application generation, test-driven repair or post-deployment re-validation.</w:t>
            </w:r>
          </w:p>
          <w:p w14:paraId="5AE7D057" w14:textId="77777777" w:rsidR="00F30271" w:rsidRDefault="00000000">
            <w:pPr>
              <w:spacing w:after="80"/>
              <w:ind w:left="605" w:hanging="605"/>
              <w:jc w:val="both"/>
            </w:pPr>
            <w:r>
              <w:rPr>
                <w:rFonts w:ascii="Times New Roman" w:eastAsia="Times New Roman" w:hAnsi="Times New Roman" w:cs="Times New Roman"/>
                <w:b/>
                <w:sz w:val="20"/>
              </w:rPr>
              <w:t>[P8]  US 10,489,126 B2</w:t>
            </w:r>
            <w:r>
              <w:rPr>
                <w:rFonts w:ascii="Times New Roman" w:eastAsia="Times New Roman" w:hAnsi="Times New Roman" w:cs="Times New Roman"/>
                <w:sz w:val="20"/>
              </w:rPr>
              <w:t xml:space="preserve"> “Automated code generation,” Oracle (2019) and </w:t>
            </w:r>
            <w:r>
              <w:rPr>
                <w:rFonts w:ascii="Times New Roman" w:eastAsia="Times New Roman" w:hAnsi="Times New Roman" w:cs="Times New Roman"/>
                <w:b/>
                <w:sz w:val="20"/>
              </w:rPr>
              <w:t>US 10,360,473 B2</w:t>
            </w:r>
            <w:r>
              <w:rPr>
                <w:rFonts w:ascii="Times New Roman" w:eastAsia="Times New Roman" w:hAnsi="Times New Roman" w:cs="Times New Roman"/>
                <w:sz w:val="20"/>
              </w:rPr>
              <w:t xml:space="preserve"> “User interface creation from screenshots.” </w:t>
            </w:r>
            <w:r>
              <w:rPr>
                <w:rFonts w:ascii="Times New Roman" w:eastAsia="Times New Roman" w:hAnsi="Times New Roman" w:cs="Times New Roman"/>
                <w:b/>
                <w:i/>
                <w:sz w:val="20"/>
              </w:rPr>
              <w:t>Distinction:</w:t>
            </w:r>
            <w:r>
              <w:rPr>
                <w:rFonts w:ascii="Times New Roman" w:eastAsia="Times New Roman" w:hAnsi="Times New Roman" w:cs="Times New Roman"/>
                <w:sz w:val="20"/>
              </w:rPr>
              <w:t xml:space="preserve"> screenshot-to-UI conversion only; here one pluggable, human-refinable, versioned and skippable stage, not the pipeline.</w:t>
            </w:r>
          </w:p>
          <w:p w14:paraId="0A308189" w14:textId="77777777" w:rsidR="00F30271" w:rsidRDefault="00000000">
            <w:pPr>
              <w:spacing w:after="80"/>
              <w:ind w:left="605" w:hanging="605"/>
              <w:jc w:val="both"/>
            </w:pPr>
            <w:r>
              <w:rPr>
                <w:rFonts w:ascii="Times New Roman" w:eastAsia="Times New Roman" w:hAnsi="Times New Roman" w:cs="Times New Roman"/>
                <w:b/>
                <w:sz w:val="20"/>
              </w:rPr>
              <w:t>[P9]  US 2024/0020096 A1</w:t>
            </w:r>
            <w:r>
              <w:rPr>
                <w:rFonts w:ascii="Times New Roman" w:eastAsia="Times New Roman" w:hAnsi="Times New Roman" w:cs="Times New Roman"/>
                <w:sz w:val="20"/>
              </w:rPr>
              <w:t xml:space="preserve"> “Generating code using language models trained on computer code,” OpenAI OpCo LLC. </w:t>
            </w:r>
            <w:r>
              <w:rPr>
                <w:rFonts w:ascii="Times New Roman" w:eastAsia="Times New Roman" w:hAnsi="Times New Roman" w:cs="Times New Roman"/>
                <w:b/>
                <w:i/>
                <w:sz w:val="20"/>
              </w:rPr>
              <w:t>Distinction:</w:t>
            </w:r>
            <w:r>
              <w:rPr>
                <w:rFonts w:ascii="Times New Roman" w:eastAsia="Times New Roman" w:hAnsi="Times New Roman" w:cs="Times New Roman"/>
                <w:sz w:val="20"/>
              </w:rPr>
              <w:t xml:space="preserve"> correctness filtering of independent samples at function scale; no repair controller over an evolving workspace, no termination guards.</w:t>
            </w:r>
          </w:p>
          <w:p w14:paraId="01E615C7" w14:textId="77777777" w:rsidR="00F30271" w:rsidRDefault="00000000">
            <w:pPr>
              <w:spacing w:before="180" w:after="80"/>
            </w:pPr>
            <w:r>
              <w:rPr>
                <w:rFonts w:ascii="Times New Roman" w:eastAsia="Times New Roman" w:hAnsi="Times New Roman" w:cs="Times New Roman"/>
                <w:b/>
                <w:sz w:val="21"/>
              </w:rPr>
              <w:t>B.  Non-patent literature</w:t>
            </w:r>
          </w:p>
          <w:p w14:paraId="72DE1ED3" w14:textId="77777777" w:rsidR="00F30271" w:rsidRDefault="00000000">
            <w:pPr>
              <w:spacing w:after="100"/>
              <w:jc w:val="both"/>
            </w:pPr>
            <w:r>
              <w:rPr>
                <w:rFonts w:ascii="Times New Roman" w:eastAsia="Times New Roman" w:hAnsi="Times New Roman" w:cs="Times New Roman"/>
                <w:sz w:val="20"/>
              </w:rPr>
              <w:t>Five negative empirical results from the 2025 to 2026 literature each motivate a claimed element:</w:t>
            </w:r>
          </w:p>
          <w:p w14:paraId="4E5172F3" w14:textId="77777777" w:rsidR="00F30271" w:rsidRDefault="00000000">
            <w:pPr>
              <w:spacing w:after="80"/>
              <w:ind w:left="605" w:hanging="605"/>
              <w:jc w:val="both"/>
            </w:pPr>
            <w:r>
              <w:rPr>
                <w:rFonts w:ascii="Times New Roman" w:eastAsia="Times New Roman" w:hAnsi="Times New Roman" w:cs="Times New Roman"/>
                <w:b/>
                <w:sz w:val="20"/>
              </w:rPr>
              <w:t xml:space="preserve">[N1]  </w:t>
            </w:r>
            <w:r>
              <w:rPr>
                <w:rFonts w:ascii="Times New Roman" w:eastAsia="Times New Roman" w:hAnsi="Times New Roman" w:cs="Times New Roman"/>
                <w:sz w:val="20"/>
              </w:rPr>
              <w:t>S. Shukla, H. Joshi, R. Syed, “Security degradation in iterative AI code generation,” Proc. IEEE ISTAS 2025, doi:10.1109/ISTAS65609.2025.11269659: repeated self-refinement can weaken security monotonically. Motivates the iteration cap.</w:t>
            </w:r>
          </w:p>
          <w:p w14:paraId="25B3AD38" w14:textId="77777777" w:rsidR="00F30271" w:rsidRDefault="00000000">
            <w:pPr>
              <w:spacing w:after="80"/>
              <w:ind w:left="605" w:hanging="605"/>
              <w:jc w:val="both"/>
            </w:pPr>
            <w:r>
              <w:rPr>
                <w:rFonts w:ascii="Times New Roman" w:eastAsia="Times New Roman" w:hAnsi="Times New Roman" w:cs="Times New Roman"/>
                <w:b/>
                <w:sz w:val="20"/>
              </w:rPr>
              <w:t xml:space="preserve">[N2]  </w:t>
            </w:r>
            <w:r>
              <w:rPr>
                <w:rFonts w:ascii="Times New Roman" w:eastAsia="Times New Roman" w:hAnsi="Times New Roman" w:cs="Times New Roman"/>
                <w:sz w:val="20"/>
              </w:rPr>
              <w:t>T. Kiecker et al., “Is three the magic number?” arXiv:2607.05197 (2026); J. J. Arimbur, arXiv:2604.10508 (2026): most attainable gain arrives within one to three iterations. Motivates the cap and stall guard.</w:t>
            </w:r>
          </w:p>
          <w:p w14:paraId="7909081E" w14:textId="77777777" w:rsidR="00F30271" w:rsidRDefault="00000000">
            <w:pPr>
              <w:spacing w:after="80"/>
              <w:ind w:left="605" w:hanging="605"/>
              <w:jc w:val="both"/>
            </w:pPr>
            <w:r>
              <w:rPr>
                <w:rFonts w:ascii="Times New Roman" w:eastAsia="Times New Roman" w:hAnsi="Times New Roman" w:cs="Times New Roman"/>
                <w:b/>
                <w:sz w:val="20"/>
              </w:rPr>
              <w:t xml:space="preserve">[N3]  </w:t>
            </w:r>
            <w:r>
              <w:rPr>
                <w:rFonts w:ascii="Times New Roman" w:eastAsia="Times New Roman" w:hAnsi="Times New Roman" w:cs="Times New Roman"/>
                <w:sz w:val="20"/>
              </w:rPr>
              <w:t>S. Haroon, M. T. Khan, M. A. Gulzar, “Evaluating LLM-based test generation under software evolution,” arXiv:2603.23443 (2026): suites lose validity as code changes because models attend to remembered code. Its recommended highlighted diff is the basis of the moving last-passing reference.</w:t>
            </w:r>
          </w:p>
          <w:p w14:paraId="6A8971BD" w14:textId="77777777" w:rsidR="00F30271" w:rsidRDefault="00000000">
            <w:pPr>
              <w:spacing w:after="80"/>
              <w:ind w:left="605" w:hanging="605"/>
              <w:jc w:val="both"/>
            </w:pPr>
            <w:r>
              <w:rPr>
                <w:rFonts w:ascii="Times New Roman" w:eastAsia="Times New Roman" w:hAnsi="Times New Roman" w:cs="Times New Roman"/>
                <w:b/>
                <w:sz w:val="20"/>
              </w:rPr>
              <w:t xml:space="preserve">[N4]  </w:t>
            </w:r>
            <w:r>
              <w:rPr>
                <w:rFonts w:ascii="Times New Roman" w:eastAsia="Times New Roman" w:hAnsi="Times New Roman" w:cs="Times New Roman"/>
                <w:sz w:val="20"/>
              </w:rPr>
              <w:t>T. Zhang et al., “Deployability-centric infrastructure-as-code generation,” arXiv:2506.05623 (2025): first-attempt deployment success of 30.2% and 26.8% for two frontier models. Motivates infrastructure classification and live validation.</w:t>
            </w:r>
          </w:p>
          <w:p w14:paraId="35DD4FD4" w14:textId="77777777" w:rsidR="00F30271" w:rsidRDefault="00000000">
            <w:pPr>
              <w:spacing w:after="80"/>
              <w:ind w:left="605" w:hanging="605"/>
              <w:jc w:val="both"/>
            </w:pPr>
            <w:r>
              <w:rPr>
                <w:rFonts w:ascii="Times New Roman" w:eastAsia="Times New Roman" w:hAnsi="Times New Roman" w:cs="Times New Roman"/>
                <w:b/>
                <w:sz w:val="20"/>
              </w:rPr>
              <w:t xml:space="preserve">[N5]  </w:t>
            </w:r>
            <w:r>
              <w:rPr>
                <w:rFonts w:ascii="Times New Roman" w:eastAsia="Times New Roman" w:hAnsi="Times New Roman" w:cs="Times New Roman"/>
                <w:sz w:val="20"/>
              </w:rPr>
              <w:t>N. Tang et al., arXiv:2605.29442 (2026); R. Huang et al., arXiv:2512.14012 (2025); W. Takerngsaksiri et al., “Human-in-the-loop software development agents,” Proc. ICSE-SEIP 2025, doi:10.1109/ICSE-SEIP66354.2025.00036: developer-agent misalignment and deliberate practitioner control. Motivate the non-linear stage model and escalation.</w:t>
            </w:r>
          </w:p>
          <w:p w14:paraId="064C4EA3" w14:textId="77777777" w:rsidR="00F30271" w:rsidRDefault="00000000">
            <w:pPr>
              <w:spacing w:after="80"/>
              <w:ind w:left="605" w:hanging="605"/>
              <w:jc w:val="both"/>
            </w:pPr>
            <w:r>
              <w:rPr>
                <w:rFonts w:ascii="Times New Roman" w:eastAsia="Times New Roman" w:hAnsi="Times New Roman" w:cs="Times New Roman"/>
                <w:b/>
                <w:sz w:val="20"/>
              </w:rPr>
              <w:t xml:space="preserve">[N6]  </w:t>
            </w:r>
            <w:r>
              <w:rPr>
                <w:rFonts w:ascii="Times New Roman" w:eastAsia="Times New Roman" w:hAnsi="Times New Roman" w:cs="Times New Roman"/>
                <w:sz w:val="20"/>
              </w:rPr>
              <w:t>C. S. Xia et al., “Agentless,” Proc. ACM Softw. Eng. 2(FSE) 2025, doi:10.1145/3715754; I. Bouzenia et al., “RepairAgent,” Proc. ICSE 2025; C. Si et al., “Design2Code,” Proc. NAACL 2025; R. Rabin et al., “SandboxEval,” arXiv:2504.00018 (2025): motivating respectively the deterministic pipeline and copied skeleton, the contrast with unbounded autonomous repair, and the sandbox threat model.</w:t>
            </w:r>
          </w:p>
        </w:tc>
      </w:tr>
      <w:tr w:rsidR="005663DA" w14:paraId="434D7429" w14:textId="77777777" w:rsidTr="005663DA">
        <w:tc>
          <w:tcPr>
            <w:tcW w:w="9016" w:type="dxa"/>
            <w:gridSpan w:val="2"/>
            <w:shd w:val="clear" w:color="auto" w:fill="E5DFEC" w:themeFill="accent4" w:themeFillTint="33"/>
          </w:tcPr>
          <w:p w14:paraId="73C0B786" w14:textId="77777777" w:rsidR="005663DA" w:rsidRDefault="005663DA" w:rsidP="004024EF">
            <w:pPr>
              <w:jc w:val="center"/>
              <w:rPr>
                <w:rFonts w:ascii="Arial Black" w:hAnsi="Arial Black" w:cs="Times New Roman"/>
                <w:sz w:val="24"/>
                <w:szCs w:val="24"/>
              </w:rPr>
            </w:pPr>
            <w:r>
              <w:rPr>
                <w:rFonts w:ascii="Arial Black" w:hAnsi="Arial Black" w:cs="Times New Roman"/>
                <w:sz w:val="24"/>
                <w:szCs w:val="24"/>
              </w:rPr>
              <w:lastRenderedPageBreak/>
              <w:t xml:space="preserve">Details of funding (MJRP/MRP or </w:t>
            </w:r>
            <w:r w:rsidR="00434F27" w:rsidRPr="00434F27">
              <w:rPr>
                <w:rFonts w:ascii="Arial Black" w:hAnsi="Arial Black" w:cs="Times New Roman"/>
                <w:sz w:val="24"/>
                <w:szCs w:val="24"/>
              </w:rPr>
              <w:t>extramural</w:t>
            </w:r>
            <w:r w:rsidR="00434F27">
              <w:rPr>
                <w:rFonts w:ascii="Arial Black" w:hAnsi="Arial Black" w:cs="Times New Roman"/>
                <w:sz w:val="24"/>
                <w:szCs w:val="24"/>
              </w:rPr>
              <w:t xml:space="preserve"> Grant such as CSIR/DST/DBT/ICMR)</w:t>
            </w:r>
            <w:r w:rsidR="00367794">
              <w:rPr>
                <w:rFonts w:ascii="Arial Black" w:hAnsi="Arial Black" w:cs="Times New Roman"/>
                <w:sz w:val="24"/>
                <w:szCs w:val="24"/>
              </w:rPr>
              <w:t xml:space="preserve"> OR Industry Involvement</w:t>
            </w:r>
          </w:p>
        </w:tc>
      </w:tr>
      <w:tr w:rsidR="00367794" w14:paraId="52D033A5" w14:textId="77777777" w:rsidTr="00DD7E51">
        <w:trPr>
          <w:trHeight w:val="1114"/>
        </w:trPr>
        <w:tc>
          <w:tcPr>
            <w:tcW w:w="9016" w:type="dxa"/>
            <w:gridSpan w:val="2"/>
          </w:tcPr>
          <w:p w14:paraId="0D6E12B4" w14:textId="77777777" w:rsidR="00F30271" w:rsidRDefault="00000000">
            <w:pPr>
              <w:spacing w:before="80" w:after="60"/>
              <w:jc w:val="both"/>
            </w:pPr>
            <w:r>
              <w:rPr>
                <w:rFonts w:ascii="Times New Roman" w:eastAsia="Times New Roman" w:hAnsi="Times New Roman" w:cs="Times New Roman"/>
                <w:b/>
                <w:sz w:val="21"/>
              </w:rPr>
              <w:t xml:space="preserve">Nil. </w:t>
            </w:r>
            <w:r>
              <w:rPr>
                <w:rFonts w:ascii="Times New Roman" w:eastAsia="Times New Roman" w:hAnsi="Times New Roman" w:cs="Times New Roman"/>
                <w:sz w:val="21"/>
              </w:rPr>
              <w:t>The invention arose from an unfunded B.Tech (CSE) project at Symbiosis Institute of Technology under the guidance of Dr. Payal Kadam. No MJRP, MRP or extramural grant (CSIR / DST / DBT / ICMR or other) supported it, and there is no industry sponsorship, collaboration or consultancy. Model API and cloud costs were borne personally by the inventors, so no third party has any ownership claim.</w:t>
            </w:r>
          </w:p>
        </w:tc>
      </w:tr>
      <w:tr w:rsidR="00061C5F" w14:paraId="539FBDE1" w14:textId="77777777" w:rsidTr="005B3D7E">
        <w:tc>
          <w:tcPr>
            <w:tcW w:w="9016" w:type="dxa"/>
            <w:gridSpan w:val="2"/>
            <w:shd w:val="clear" w:color="auto" w:fill="E5DFEC" w:themeFill="accent4" w:themeFillTint="33"/>
          </w:tcPr>
          <w:p w14:paraId="185A19E2" w14:textId="77777777" w:rsidR="00061C5F" w:rsidRPr="00061C5F" w:rsidRDefault="00061C5F" w:rsidP="00061C5F">
            <w:pPr>
              <w:jc w:val="center"/>
              <w:rPr>
                <w:rFonts w:ascii="Arial Black" w:hAnsi="Arial Black"/>
              </w:rPr>
            </w:pPr>
            <w:r w:rsidRPr="00061C5F">
              <w:rPr>
                <w:rFonts w:ascii="Arial Black" w:hAnsi="Arial Black"/>
              </w:rPr>
              <w:t>Any additional notes or comments?</w:t>
            </w:r>
          </w:p>
        </w:tc>
      </w:tr>
      <w:tr w:rsidR="00061C5F" w14:paraId="00203F14" w14:textId="77777777" w:rsidTr="005B3D7E">
        <w:tc>
          <w:tcPr>
            <w:tcW w:w="9016" w:type="dxa"/>
            <w:gridSpan w:val="2"/>
          </w:tcPr>
          <w:p w14:paraId="32444538" w14:textId="5F527BDA" w:rsidR="00F30271" w:rsidRPr="00ED243C" w:rsidRDefault="00ED243C">
            <w:pPr>
              <w:spacing w:before="80" w:after="60"/>
              <w:jc w:val="both"/>
              <w:rPr>
                <w:b/>
                <w:bCs/>
              </w:rPr>
            </w:pPr>
            <w:r w:rsidRPr="00ED243C">
              <w:rPr>
                <w:rFonts w:ascii="Times New Roman" w:eastAsia="Times New Roman" w:hAnsi="Times New Roman" w:cs="Times New Roman"/>
                <w:b/>
                <w:bCs/>
                <w:sz w:val="21"/>
              </w:rPr>
              <w:t>Nil</w:t>
            </w:r>
            <w:r>
              <w:rPr>
                <w:rFonts w:ascii="Times New Roman" w:eastAsia="Times New Roman" w:hAnsi="Times New Roman" w:cs="Times New Roman"/>
                <w:b/>
                <w:bCs/>
                <w:sz w:val="21"/>
              </w:rPr>
              <w:t>.</w:t>
            </w:r>
          </w:p>
        </w:tc>
      </w:tr>
    </w:tbl>
    <w:p w14:paraId="70208B8C" w14:textId="77777777" w:rsidR="00A07AFE" w:rsidRDefault="00A07AFE" w:rsidP="00FF01F4">
      <w:pPr>
        <w:jc w:val="center"/>
      </w:pPr>
    </w:p>
    <w:p w14:paraId="2B967D49" w14:textId="77777777" w:rsidR="00A07AFE" w:rsidRPr="00382C10" w:rsidRDefault="00A07AFE" w:rsidP="00A07AFE">
      <w:pPr>
        <w:rPr>
          <w:rFonts w:ascii="Arial Black" w:hAnsi="Arial Black"/>
        </w:rPr>
      </w:pPr>
      <w:r w:rsidRPr="00382C10">
        <w:rPr>
          <w:rFonts w:ascii="Arial Black" w:hAnsi="Arial Black"/>
        </w:rPr>
        <w:lastRenderedPageBreak/>
        <w:t>Date:  05 / 09 / 2026</w:t>
      </w:r>
      <w:r w:rsidRPr="00382C10">
        <w:rPr>
          <w:rFonts w:ascii="Arial Black" w:hAnsi="Arial Black"/>
        </w:rPr>
        <w:tab/>
      </w:r>
      <w:r w:rsidRPr="00382C10">
        <w:rPr>
          <w:rFonts w:ascii="Arial Black" w:hAnsi="Arial Black"/>
        </w:rPr>
        <w:tab/>
      </w:r>
      <w:r w:rsidRPr="00382C10">
        <w:rPr>
          <w:rFonts w:ascii="Arial Black" w:hAnsi="Arial Black"/>
        </w:rPr>
        <w:tab/>
      </w:r>
      <w:r w:rsidRPr="00382C10">
        <w:rPr>
          <w:rFonts w:ascii="Arial Black" w:hAnsi="Arial Black"/>
        </w:rPr>
        <w:tab/>
      </w:r>
      <w:r w:rsidRPr="00382C10">
        <w:rPr>
          <w:rFonts w:ascii="Arial Black" w:hAnsi="Arial Black"/>
        </w:rPr>
        <w:tab/>
      </w:r>
      <w:r w:rsidRPr="00382C10">
        <w:rPr>
          <w:rFonts w:ascii="Arial Black" w:hAnsi="Arial Black"/>
        </w:rPr>
        <w:tab/>
      </w:r>
      <w:r w:rsidRPr="00382C10">
        <w:rPr>
          <w:rFonts w:ascii="Arial Black" w:hAnsi="Arial Black"/>
        </w:rPr>
        <w:tab/>
        <w:t>Endorsement by the Director</w:t>
      </w:r>
    </w:p>
    <w:p w14:paraId="4751324F" w14:textId="77777777" w:rsidR="00A07AFE" w:rsidRDefault="00A07AFE" w:rsidP="00A07AFE">
      <w:pPr>
        <w:rPr>
          <w:b/>
        </w:rPr>
      </w:pPr>
      <w:r w:rsidRPr="00382C10">
        <w:rPr>
          <w:rFonts w:ascii="Arial Black" w:hAnsi="Arial Black"/>
        </w:rPr>
        <w:t>Place:  Pune, Maharashtra, India</w:t>
      </w:r>
      <w:r w:rsidRPr="00382C10">
        <w:rPr>
          <w:rFonts w:ascii="Arial Black" w:hAnsi="Arial Black"/>
        </w:rPr>
        <w:tab/>
      </w:r>
      <w:r>
        <w:rPr>
          <w:b/>
        </w:rPr>
        <w:tab/>
      </w:r>
      <w:r>
        <w:rPr>
          <w:b/>
        </w:rPr>
        <w:tab/>
      </w:r>
      <w:r>
        <w:rPr>
          <w:b/>
        </w:rPr>
        <w:tab/>
      </w:r>
      <w:r>
        <w:rPr>
          <w:b/>
        </w:rPr>
        <w:tab/>
      </w:r>
      <w:r>
        <w:rPr>
          <w:b/>
        </w:rPr>
        <w:tab/>
      </w:r>
      <w:r>
        <w:rPr>
          <w:b/>
        </w:rPr>
        <w:tab/>
      </w:r>
      <w:r>
        <w:rPr>
          <w:b/>
        </w:rPr>
        <w:tab/>
      </w:r>
      <w:r>
        <w:rPr>
          <w:b/>
        </w:rPr>
        <w:tab/>
      </w:r>
    </w:p>
    <w:p w14:paraId="1103E3E8" w14:textId="77777777" w:rsidR="00A07AFE" w:rsidRDefault="00A07AFE" w:rsidP="00A07AFE">
      <w:pPr>
        <w:rPr>
          <w:b/>
        </w:rPr>
      </w:pPr>
    </w:p>
    <w:p w14:paraId="5D4B01A3" w14:textId="77777777" w:rsidR="00A07AFE" w:rsidRPr="00A07AFE" w:rsidRDefault="00A07AFE" w:rsidP="00A07AFE">
      <w:pPr>
        <w:rPr>
          <w:b/>
        </w:rPr>
      </w:pPr>
      <w:r>
        <w:rPr>
          <w:b/>
        </w:rPr>
        <w:t xml:space="preserve">                                                                                                                                         </w:t>
      </w:r>
    </w:p>
    <w:p w14:paraId="218AB98F" w14:textId="77777777" w:rsidR="00A07AFE" w:rsidRPr="00A07AFE" w:rsidRDefault="00A07AFE" w:rsidP="00A07AFE">
      <w:pPr>
        <w:ind w:left="6480"/>
        <w:rPr>
          <w:b/>
        </w:rPr>
      </w:pPr>
    </w:p>
    <w:sectPr w:rsidR="00A07AFE" w:rsidRPr="00A07AFE" w:rsidSect="00DC3432">
      <w:headerReference w:type="even" r:id="rId13"/>
      <w:headerReference w:type="default" r:id="rId14"/>
      <w:footerReference w:type="even" r:id="rId15"/>
      <w:footerReference w:type="default" r:id="rId16"/>
      <w:headerReference w:type="first" r:id="rId17"/>
      <w:footerReference w:type="firs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823164" w14:textId="77777777" w:rsidR="008663E3" w:rsidRDefault="008663E3" w:rsidP="00FC09DA">
      <w:pPr>
        <w:spacing w:after="0" w:line="240" w:lineRule="auto"/>
      </w:pPr>
      <w:r>
        <w:separator/>
      </w:r>
    </w:p>
  </w:endnote>
  <w:endnote w:type="continuationSeparator" w:id="0">
    <w:p w14:paraId="40CCA0A1" w14:textId="77777777" w:rsidR="008663E3" w:rsidRDefault="008663E3" w:rsidP="00FC09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lgerian">
    <w:panose1 w:val="04020705040A02060702"/>
    <w:charset w:val="00"/>
    <w:family w:val="decorative"/>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Arial Rounded MT Bold">
    <w:panose1 w:val="020F070403050403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A2327" w14:textId="77777777" w:rsidR="00507A45" w:rsidRDefault="00507A4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6F7A6" w14:textId="77777777" w:rsidR="00507A45" w:rsidRDefault="00507A4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C0DA8" w14:textId="77777777" w:rsidR="00507A45" w:rsidRDefault="00507A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E04AD" w14:textId="77777777" w:rsidR="008663E3" w:rsidRDefault="008663E3" w:rsidP="00FC09DA">
      <w:pPr>
        <w:spacing w:after="0" w:line="240" w:lineRule="auto"/>
      </w:pPr>
      <w:r>
        <w:separator/>
      </w:r>
    </w:p>
  </w:footnote>
  <w:footnote w:type="continuationSeparator" w:id="0">
    <w:p w14:paraId="7C09237A" w14:textId="77777777" w:rsidR="008663E3" w:rsidRDefault="008663E3" w:rsidP="00FC09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4D06F" w14:textId="77777777" w:rsidR="00507A45" w:rsidRDefault="00507A4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16528" w14:textId="77777777" w:rsidR="00EC2AC9" w:rsidRPr="00EC2AC9" w:rsidRDefault="00507A45" w:rsidP="00EC2AC9">
    <w:pPr>
      <w:pStyle w:val="Header"/>
      <w:jc w:val="center"/>
      <w:rPr>
        <w:b/>
        <w:sz w:val="32"/>
        <w:szCs w:val="32"/>
        <w:u w:val="single"/>
      </w:rPr>
    </w:pPr>
    <w:r>
      <w:rPr>
        <w:b/>
        <w:sz w:val="32"/>
        <w:szCs w:val="32"/>
        <w:u w:val="single"/>
      </w:rPr>
      <w:t>ANNEXURE-I</w:t>
    </w:r>
    <w:r w:rsidR="00743B79">
      <w:rPr>
        <w:b/>
        <w:sz w:val="32"/>
        <w:szCs w:val="32"/>
        <w:u w:val="single"/>
      </w:rPr>
      <w:t>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46B9" w14:textId="77777777" w:rsidR="00507A45" w:rsidRDefault="00507A4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C2FB0"/>
    <w:multiLevelType w:val="singleLevel"/>
    <w:tmpl w:val="6F020B96"/>
    <w:lvl w:ilvl="0">
      <w:start w:val="3"/>
      <w:numFmt w:val="decimal"/>
      <w:lvlText w:val="%1."/>
      <w:lvlJc w:val="left"/>
      <w:pPr>
        <w:tabs>
          <w:tab w:val="num" w:pos="720"/>
        </w:tabs>
        <w:ind w:left="720" w:hanging="720"/>
      </w:pPr>
      <w:rPr>
        <w:rFonts w:hint="default"/>
      </w:rPr>
    </w:lvl>
  </w:abstractNum>
  <w:num w:numId="1" w16cid:durableId="598367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I3NTcxNjQ2NzM3NTZW0lEKTi0uzszPAykwrAUADKx0ziwAAAA="/>
  </w:docVars>
  <w:rsids>
    <w:rsidRoot w:val="008F5787"/>
    <w:rsid w:val="00010BFD"/>
    <w:rsid w:val="00011268"/>
    <w:rsid w:val="0001332D"/>
    <w:rsid w:val="000169C4"/>
    <w:rsid w:val="0004055A"/>
    <w:rsid w:val="00061C5F"/>
    <w:rsid w:val="00091234"/>
    <w:rsid w:val="000B76AC"/>
    <w:rsid w:val="00140A8E"/>
    <w:rsid w:val="00141BDF"/>
    <w:rsid w:val="001653C2"/>
    <w:rsid w:val="0024717F"/>
    <w:rsid w:val="00290A7C"/>
    <w:rsid w:val="002967B9"/>
    <w:rsid w:val="00360CE5"/>
    <w:rsid w:val="00367794"/>
    <w:rsid w:val="00382C10"/>
    <w:rsid w:val="004024EF"/>
    <w:rsid w:val="00434F27"/>
    <w:rsid w:val="00507A45"/>
    <w:rsid w:val="00507DA0"/>
    <w:rsid w:val="005663DA"/>
    <w:rsid w:val="00583DC1"/>
    <w:rsid w:val="005B3D7E"/>
    <w:rsid w:val="0066493D"/>
    <w:rsid w:val="006702E0"/>
    <w:rsid w:val="006B627D"/>
    <w:rsid w:val="00743B79"/>
    <w:rsid w:val="00790502"/>
    <w:rsid w:val="007B7DAF"/>
    <w:rsid w:val="007E5D27"/>
    <w:rsid w:val="008663E3"/>
    <w:rsid w:val="008E0A54"/>
    <w:rsid w:val="008F5787"/>
    <w:rsid w:val="009360B8"/>
    <w:rsid w:val="00974509"/>
    <w:rsid w:val="009E667B"/>
    <w:rsid w:val="00A07AFE"/>
    <w:rsid w:val="00B40F27"/>
    <w:rsid w:val="00B66245"/>
    <w:rsid w:val="00C22614"/>
    <w:rsid w:val="00CC5C0F"/>
    <w:rsid w:val="00D76227"/>
    <w:rsid w:val="00DC3432"/>
    <w:rsid w:val="00E33874"/>
    <w:rsid w:val="00EC1525"/>
    <w:rsid w:val="00EC2AC9"/>
    <w:rsid w:val="00EC736F"/>
    <w:rsid w:val="00ED243C"/>
    <w:rsid w:val="00F07C4B"/>
    <w:rsid w:val="00F12B0F"/>
    <w:rsid w:val="00F30271"/>
    <w:rsid w:val="00F65E89"/>
    <w:rsid w:val="00FC09DA"/>
    <w:rsid w:val="00FF01F4"/>
  </w:rsids>
  <m:mathPr>
    <m:mathFont m:val="Cambria Math"/>
    <m:brkBin m:val="before"/>
    <m:brkBinSub m:val="--"/>
    <m:smallFrac/>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1BAFD"/>
  <w15:docId w15:val="{0C3C0347-C82F-40F9-B4E9-5CED16487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343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8F57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C09DA"/>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09DA"/>
  </w:style>
  <w:style w:type="paragraph" w:styleId="Footer">
    <w:name w:val="footer"/>
    <w:basedOn w:val="Normal"/>
    <w:link w:val="FooterChar"/>
    <w:uiPriority w:val="99"/>
    <w:unhideWhenUsed/>
    <w:rsid w:val="00FC09DA"/>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09DA"/>
  </w:style>
  <w:style w:type="paragraph" w:styleId="BalloonText">
    <w:name w:val="Balloon Text"/>
    <w:basedOn w:val="Normal"/>
    <w:link w:val="BalloonTextChar"/>
    <w:uiPriority w:val="99"/>
    <w:semiHidden/>
    <w:unhideWhenUsed/>
    <w:rsid w:val="00FC09D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C09DA"/>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1323656">
      <w:bodyDiv w:val="1"/>
      <w:marLeft w:val="0"/>
      <w:marRight w:val="0"/>
      <w:marTop w:val="0"/>
      <w:marBottom w:val="0"/>
      <w:divBdr>
        <w:top w:val="none" w:sz="0" w:space="0" w:color="auto"/>
        <w:left w:val="none" w:sz="0" w:space="0" w:color="auto"/>
        <w:bottom w:val="none" w:sz="0" w:space="0" w:color="auto"/>
        <w:right w:val="none" w:sz="0" w:space="0" w:color="auto"/>
      </w:divBdr>
      <w:divsChild>
        <w:div w:id="480736489">
          <w:marLeft w:val="0"/>
          <w:marRight w:val="240"/>
          <w:marTop w:val="0"/>
          <w:marBottom w:val="0"/>
          <w:divBdr>
            <w:top w:val="none" w:sz="0" w:space="0" w:color="auto"/>
            <w:left w:val="none" w:sz="0" w:space="0" w:color="auto"/>
            <w:bottom w:val="none" w:sz="0" w:space="0" w:color="auto"/>
            <w:right w:val="none" w:sz="0" w:space="0" w:color="auto"/>
          </w:divBdr>
          <w:divsChild>
            <w:div w:id="1815677239">
              <w:marLeft w:val="0"/>
              <w:marRight w:val="0"/>
              <w:marTop w:val="0"/>
              <w:marBottom w:val="0"/>
              <w:divBdr>
                <w:top w:val="none" w:sz="0" w:space="0" w:color="auto"/>
                <w:left w:val="none" w:sz="0" w:space="0" w:color="auto"/>
                <w:bottom w:val="none" w:sz="0" w:space="0" w:color="auto"/>
                <w:right w:val="none" w:sz="0" w:space="0" w:color="auto"/>
              </w:divBdr>
              <w:divsChild>
                <w:div w:id="1120342677">
                  <w:marLeft w:val="0"/>
                  <w:marRight w:val="0"/>
                  <w:marTop w:val="0"/>
                  <w:marBottom w:val="0"/>
                  <w:divBdr>
                    <w:top w:val="none" w:sz="0" w:space="0" w:color="auto"/>
                    <w:left w:val="none" w:sz="0" w:space="0" w:color="auto"/>
                    <w:bottom w:val="none" w:sz="0" w:space="0" w:color="auto"/>
                    <w:right w:val="none" w:sz="0" w:space="0" w:color="auto"/>
                  </w:divBdr>
                  <w:divsChild>
                    <w:div w:id="1019354639">
                      <w:marLeft w:val="0"/>
                      <w:marRight w:val="0"/>
                      <w:marTop w:val="0"/>
                      <w:marBottom w:val="0"/>
                      <w:divBdr>
                        <w:top w:val="none" w:sz="0" w:space="0" w:color="auto"/>
                        <w:left w:val="none" w:sz="0" w:space="0" w:color="auto"/>
                        <w:bottom w:val="none" w:sz="0" w:space="0" w:color="auto"/>
                        <w:right w:val="none" w:sz="0" w:space="0" w:color="auto"/>
                      </w:divBdr>
                      <w:divsChild>
                        <w:div w:id="1880821479">
                          <w:marLeft w:val="0"/>
                          <w:marRight w:val="0"/>
                          <w:marTop w:val="0"/>
                          <w:marBottom w:val="0"/>
                          <w:divBdr>
                            <w:top w:val="none" w:sz="0" w:space="0" w:color="auto"/>
                            <w:left w:val="none" w:sz="0" w:space="0" w:color="auto"/>
                            <w:bottom w:val="none" w:sz="0" w:space="0" w:color="auto"/>
                            <w:right w:val="none" w:sz="0" w:space="0" w:color="auto"/>
                          </w:divBdr>
                          <w:divsChild>
                            <w:div w:id="1337927942">
                              <w:marLeft w:val="0"/>
                              <w:marRight w:val="0"/>
                              <w:marTop w:val="0"/>
                              <w:marBottom w:val="0"/>
                              <w:divBdr>
                                <w:top w:val="none" w:sz="0" w:space="0" w:color="auto"/>
                                <w:left w:val="none" w:sz="0" w:space="0" w:color="auto"/>
                                <w:bottom w:val="none" w:sz="0" w:space="0" w:color="auto"/>
                                <w:right w:val="none" w:sz="0" w:space="0" w:color="auto"/>
                              </w:divBdr>
                              <w:divsChild>
                                <w:div w:id="60314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9131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3.xml"/><Relationship Id="rId2" Type="http://schemas.openxmlformats.org/officeDocument/2006/relationships/styles" Target="styles.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10</Pages>
  <Words>3207</Words>
  <Characters>18283</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Beena</dc:creator>
  <cp:lastModifiedBy>Islinger 19</cp:lastModifiedBy>
  <cp:revision>5</cp:revision>
  <cp:lastPrinted>2022-10-28T08:41:00Z</cp:lastPrinted>
  <dcterms:created xsi:type="dcterms:W3CDTF">2026-01-13T05:58:00Z</dcterms:created>
  <dcterms:modified xsi:type="dcterms:W3CDTF">2026-09-05T07:27:00Z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4b54b222306e25ad4e55867772e6fbe5907b764e0bdb335f96792eb8eece75fb</vt:lpwstr>
  </property>
</Properties>
</file>