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Times New Roman" w:cs="Times New Roman" w:eastAsia="Times New Roman" w:hAnsi="Times New Roman"/>
          <w:sz w:val="48"/>
          <w:szCs w:val="48"/>
        </w:rPr>
        <w:sectPr>
          <w:pgSz w:h="15840" w:w="12240" w:orient="portrait"/>
          <w:pgMar w:bottom="1440" w:top="1440" w:left="1440" w:right="1440" w:header="720" w:footer="720"/>
          <w:pgNumType w:start="1"/>
          <w:cols w:equalWidth="0" w:num="1">
            <w:col w:space="0" w:w="9360"/>
          </w:cols>
        </w:sectPr>
      </w:pPr>
      <w:r w:rsidDel="00000000" w:rsidR="00000000" w:rsidRPr="00000000">
        <w:rPr>
          <w:rFonts w:ascii="Times New Roman" w:cs="Times New Roman" w:eastAsia="Times New Roman" w:hAnsi="Times New Roman"/>
          <w:sz w:val="48"/>
          <w:szCs w:val="48"/>
          <w:rtl w:val="0"/>
        </w:rPr>
        <w:t xml:space="preserve">Proposed Solution: Vision Language Model       (VLM) for Predicting the Effects of Plant     Compounds on Human Skin</w:t>
      </w:r>
    </w:p>
    <w:p w:rsidR="00000000" w:rsidDel="00000000" w:rsidP="00000000" w:rsidRDefault="00000000" w:rsidRPr="00000000" w14:paraId="00000002">
      <w:pPr>
        <w:spacing w:after="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80" w:line="240" w:lineRule="auto"/>
        <w:jc w:val="both"/>
        <w:rPr>
          <w:rFonts w:ascii="Times New Roman" w:cs="Times New Roman" w:eastAsia="Times New Roman" w:hAnsi="Times New Roman"/>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04">
      <w:pPr>
        <w:spacing w:after="280" w:line="240"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The proposed solution is the development of a Vision-Language Model (VLM), an advanced multimodal AI system designed to accelerate the discovery of safe and effective plant compounds for human skin care. We follow a seven-step problem-solving approach to design, analyze and implement the proposed solution.</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Environmental stressors on human skin include ultraviolet (UV) radiation, pollution and oxidative stress which cause inflammation, tissue damage, early aging. Plant-based compounds have enormous therapeutic potential; nonetheless, the process of finding the useful (or pathogenic) metabolite is nowadays slow, expensive, and experimentally demanding. [1] [2]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Analysis: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key problem is based on two significant restrictions: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Biological Complexity and Data Fragmentation: Effective compounds need to interact with a multi-target complex mechanism. Exposure to UV causes oxidative stress and inflammation resulting in erosion of important skin structures necessitating the compounds to act on several pathways at the same time. Outdated lab techniques are limited by small samples of testing and incomplete information of chemistry, dermatology and molecular biology.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Single-Modal AI Shortcomings: The vast majority of artificial intelligence models are based on just one modality, be it image or text and thus are not able to understand the essential, intricate connection between the molecular structure of a compound (visual data) and the specific biological pathways that one compound exhibits (textual/molecular data) and its overall skin outcome. Effective compounds should not be able to ensure that they are antioxidants only, but also prevent enzymes, such as collagenase, elastase, and hyaluronidase, which degenerate such vital proteins of the dermis as collagen and elastin. [1]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rtl w:val="0"/>
        </w:rPr>
        <w:t xml:space="preserve">       C.  Criteria for an optimal Solution: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optimal solution must fulfill the following criteria:</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Multimodal Integration: It needs to be able to combine images (molecular structures) and written/molecular data (biological pathways and assay results).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Accelerate Discovery: It should be capable of screening in rapid and computational fashion to shorten dramatically the time and cost of the conventional discovery pipeline.</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Mechanistic Understanding: It should be capable not only of predicting the effect of the compound, but also of giving the biological mechanisms through which the compound acts.</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Pathways: It must be able to anticipate the alteration of the key pathways, such as Nrf2/ARE-, MAPK/AP-1-, PI3K/Akt-, and MITF/TYR-related melanogenesis pathways, which play a vital role in preventing the effects of UV damage.[1][2]</w:t>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Propose Solution: </w:t>
      </w:r>
    </w:p>
    <w:p w:rsidR="00000000" w:rsidDel="00000000" w:rsidP="00000000" w:rsidRDefault="00000000" w:rsidRPr="00000000" w14:paraId="00000014">
      <w:pPr>
        <w:spacing w:line="240"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color w:val="000000"/>
          <w:sz w:val="24"/>
          <w:szCs w:val="24"/>
          <w:rtl w:val="0"/>
        </w:rPr>
        <w:t xml:space="preserve">The suggested Vision-Language Model (VLM) combines visual and textual modalities with the help of transformer-based architecture. The model correlates the molecular structure representations with biological description (e.g., enzyme inhibition, antioxidant activity) to predict skin-related outcomes. The VLM can learn complex biomolecule-biological text interactions by embedding molecule images together with biological text data, which is impossible with single-modal models.</w:t>
      </w:r>
    </w:p>
    <w:p w:rsidR="00000000" w:rsidDel="00000000" w:rsidP="00000000" w:rsidRDefault="00000000" w:rsidRPr="00000000" w14:paraId="00000015">
      <w:pPr>
        <w:spacing w:line="240"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Evaluation of Proposed         Solution:</w:t>
      </w:r>
    </w:p>
    <w:p w:rsidR="00000000" w:rsidDel="00000000" w:rsidP="00000000" w:rsidRDefault="00000000" w:rsidRPr="00000000" w14:paraId="00000017">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VLM is superior because it      directly addresses the critical AI limitation by synthesizing information across modalities. This allows it to:</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Complexity: By linking the visual structure of a phytochemical to its textual biological activity (e.g., inhibition of MMPs ), the VLM can capture the holistic, complex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relationships that single-modal models miss.[1]</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Predictive Accuracy: The model is expected to provide more accurate predictions of a compound's efficacy, moving beyond simple antioxidant capacity to predict the modulation of specific pathways necessary for long-term protection and structural integrity. [1][2]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Selection of the Final Solution: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selected solution is the       Vision-Language Model (VLM), as it is the only proposed method capable of overcoming the limitations of fragmented and single-modal data through multimodal AI.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Implementation Strategy:</w:t>
      </w:r>
    </w:p>
    <w:p w:rsidR="00000000" w:rsidDel="00000000" w:rsidP="00000000" w:rsidRDefault="00000000" w:rsidRPr="00000000" w14:paraId="0000001F">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Successful implementation of       the VLM solution requires an interdisciplinary approach that couples computational screening with advanced formulation technologies: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VLM Development and Screening:  Train the VLM with large and standardized datasets between chemical structure representations and a variety of functional data, such as enzyme inhibition profiles (e.g., collagenase, elastase, tyrosinase) and the modulation of inflammatory markers (IL-6, IL-8) and pathways.[1]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silico Pinpoint and rank novel plant metabolites with the most favorable efficacy and safety profiles by deploying the Vlm in high throughput mode.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Formulation and Delivery: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VLM-optimal, high-potential compounds in new drug delivery to address the issues of stability and skin penetration.[2]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significantly increase the stability, bioavailability, and skin penetration of the active ingredients and thus increase the therapeutic effects against damage caused by UV, use technologies like hydrogel, nano emulsions, and exosomes.[2]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T. M. Tomas, D. Günal-Köroğlu, S. Kamiloglu, T. Ozdal, and E. Capanoglu, “The state of the art in anti-aging: plant-based phytochemicals for skin care,” </w:t>
      </w:r>
      <w:r w:rsidDel="00000000" w:rsidR="00000000" w:rsidRPr="00000000">
        <w:rPr>
          <w:rFonts w:ascii="Times New Roman" w:cs="Times New Roman" w:eastAsia="Times New Roman" w:hAnsi="Times New Roman"/>
          <w:i w:val="1"/>
          <w:sz w:val="18"/>
          <w:szCs w:val="18"/>
          <w:rtl w:val="0"/>
        </w:rPr>
        <w:t xml:space="preserve">Immunity &amp; Ageing</w:t>
      </w:r>
      <w:r w:rsidDel="00000000" w:rsidR="00000000" w:rsidRPr="00000000">
        <w:rPr>
          <w:rFonts w:ascii="Times New Roman" w:cs="Times New Roman" w:eastAsia="Times New Roman" w:hAnsi="Times New Roman"/>
          <w:sz w:val="18"/>
          <w:szCs w:val="18"/>
          <w:rtl w:val="0"/>
        </w:rPr>
        <w:t xml:space="preserve">, vol. 22, art. no. 5, Jan. 2025, doi: 10.1186/s12979-025-00498-9. [Online]. Available: </w:t>
      </w:r>
      <w:hyperlink r:id="rId6">
        <w:r w:rsidDel="00000000" w:rsidR="00000000" w:rsidRPr="00000000">
          <w:rPr>
            <w:rFonts w:ascii="Times New Roman" w:cs="Times New Roman" w:eastAsia="Times New Roman" w:hAnsi="Times New Roman"/>
            <w:color w:val="467886"/>
            <w:sz w:val="18"/>
            <w:szCs w:val="18"/>
            <w:u w:val="single"/>
            <w:rtl w:val="0"/>
          </w:rPr>
          <w:t xml:space="preserve">https://link.springer.com/article/10.1186/s12979-025-00498-9</w:t>
        </w:r>
      </w:hyperlink>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C. Zhao, S. Wu, and H. Wang, “Medicinal Plant Extracts Targeting UV-Induced Skin Damage: Molecular Mechanisms and Therapeutic Potential,” </w:t>
      </w:r>
      <w:r w:rsidDel="00000000" w:rsidR="00000000" w:rsidRPr="00000000">
        <w:rPr>
          <w:rFonts w:ascii="Times New Roman" w:cs="Times New Roman" w:eastAsia="Times New Roman" w:hAnsi="Times New Roman"/>
          <w:i w:val="1"/>
          <w:sz w:val="18"/>
          <w:szCs w:val="18"/>
          <w:rtl w:val="0"/>
        </w:rPr>
        <w:t xml:space="preserve">Int. J. Mol. Sci.</w:t>
      </w:r>
      <w:r w:rsidDel="00000000" w:rsidR="00000000" w:rsidRPr="00000000">
        <w:rPr>
          <w:rFonts w:ascii="Times New Roman" w:cs="Times New Roman" w:eastAsia="Times New Roman" w:hAnsi="Times New Roman"/>
          <w:sz w:val="18"/>
          <w:szCs w:val="18"/>
          <w:rtl w:val="0"/>
        </w:rPr>
        <w:t xml:space="preserve">, vol. 26, no. 5, art. no. 2278, 2025, doi: 10.3390/ijms26052278. [Online]. Available:</w:t>
      </w:r>
      <w:hyperlink r:id="rId7">
        <w:r w:rsidDel="00000000" w:rsidR="00000000" w:rsidRPr="00000000">
          <w:rPr>
            <w:rFonts w:ascii="Times New Roman" w:cs="Times New Roman" w:eastAsia="Times New Roman" w:hAnsi="Times New Roman"/>
            <w:color w:val="467886"/>
            <w:sz w:val="18"/>
            <w:szCs w:val="18"/>
            <w:u w:val="single"/>
            <w:rtl w:val="0"/>
          </w:rPr>
          <w:t xml:space="preserve">https://www.mdpi.com/1422-0067/26/5/2278</w:t>
        </w:r>
      </w:hyperlink>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8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0"/>
          <w:i w:val="0"/>
          <w:smallCaps w:val="0"/>
          <w:color w:val="000000"/>
          <w:sz w:val="48"/>
          <w:szCs w:val="48"/>
        </w:rPr>
      </w:pPr>
      <w:r w:rsidDel="00000000" w:rsidR="00000000" w:rsidRPr="00000000">
        <w:rPr>
          <w:rFonts w:ascii="Times New Roman" w:cs="Times New Roman" w:eastAsia="Times New Roman" w:hAnsi="Times New Roman"/>
          <w:b w:val="0"/>
          <w:i w:val="0"/>
          <w:smallCaps w:val="0"/>
          <w:color w:val="000000"/>
          <w:sz w:val="48"/>
          <w:szCs w:val="48"/>
          <w:rtl w:val="0"/>
        </w:rPr>
        <w:t xml:space="preserve"> </w:t>
      </w:r>
    </w:p>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0"/>
          <w:i w:val="0"/>
          <w:smallCaps w:val="0"/>
          <w:color w:val="000000"/>
          <w:sz w:val="48"/>
          <w:szCs w:val="48"/>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186/s12979-025-00498-9" TargetMode="External"/><Relationship Id="rId7" Type="http://schemas.openxmlformats.org/officeDocument/2006/relationships/hyperlink" Target="https://www.mdpi.com/1422-0067/26/5/22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