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pPr>
        <w:spacing w:before="0" w:after="100"/>
        <w:jc w:val="center"/>
        <w:rPr>
          <w:sz w:val="26"/>
          <w:szCs w:val="26"/>
        </w:rPr>
      </w:pPr>
      <w:r>
        <w:rPr>
          <w:rFonts w:ascii="times new roman" w:eastAsia="times new roman" w:hAnsi="times new roman" w:cs="times new roman"/>
          <w:b/>
          <w:bCs/>
          <w:sz w:val="26"/>
          <w:szCs w:val="26"/>
        </w:rPr>
        <w:t>Department of Electrical and Computer Engineering</w:t>
      </w:r>
    </w:p>
    <w:p>
      <w:pPr>
        <w:spacing w:before="0" w:after="400"/>
        <w:jc w:val="center"/>
        <w:rPr>
          <w:sz w:val="26"/>
          <w:szCs w:val="26"/>
        </w:rPr>
      </w:pPr>
      <w:r>
        <w:rPr>
          <w:rFonts w:ascii="times new roman" w:eastAsia="times new roman" w:hAnsi="times new roman" w:cs="times new roman"/>
          <w:b/>
          <w:bCs/>
          <w:sz w:val="26"/>
          <w:szCs w:val="26"/>
        </w:rPr>
        <w:t>North South University</w:t>
      </w:r>
    </w:p>
    <w:p>
      <w:pPr>
        <w:spacing w:before="0" w:after="200"/>
        <w:jc w:val="center"/>
        <w:rPr>
          <w:sz w:val="32"/>
          <w:szCs w:val="32"/>
        </w:rPr>
      </w:pPr>
      <w:r>
        <w:rPr>
          <w:rFonts w:ascii="times new roman" w:eastAsia="times new roman" w:hAnsi="times new roman" w:cs="times new roman"/>
          <w:b/>
          <w:bCs/>
          <w:sz w:val="32"/>
          <w:szCs w:val="32"/>
        </w:rPr>
        <w:t>Directed Research (CSE498R)</w:t>
      </w:r>
    </w:p>
    <w:p>
      <w:pPr>
        <w:spacing w:before="0" w:after="600"/>
        <w:jc w:val="center"/>
        <w:rPr>
          <w:sz w:val="30"/>
          <w:szCs w:val="30"/>
        </w:rPr>
      </w:pPr>
      <w:r>
        <w:rPr>
          <w:rFonts w:ascii="times new roman" w:eastAsia="times new roman" w:hAnsi="times new roman" w:cs="times new roman"/>
          <w:b/>
          <w:bCs/>
          <w:color w:val="C00000"/>
          <w:sz w:val="30"/>
          <w:szCs w:val="30"/>
        </w:rPr>
        <w:t>ROBUSTNESS OF PROMPT-INJECTION GUARDRAILS AGAINST ADAPTIVE AND FRAGMENTATION-BASED ATTACK</w:t>
      </w:r>
    </w:p>
    <w:p>
      <w:pPr>
        <w:spacing w:before="0" w:after="600"/>
        <w:jc w:val="center"/>
      </w:pPr>
      <w:r>
        <w:rPr>
          <w:rFonts w:ascii="times new roman" w:eastAsia="times new roman" w:hAnsi="times new roman" w:cs="times new roman"/>
          <w:b/>
          <w:bCs/>
          <w:color w:val="C00000"/>
        </w:rPr>
        <w:t>Farjana Rahman Samia 2211754042</w:t>
      </w:r>
    </w:p>
    <w:p>
      <w:pPr>
        <w:spacing w:before="120" w:after="120"/>
        <w:jc w:val="center"/>
      </w:pPr>
      <w:r>
        <w:rPr>
          <w:b/>
          <w:bCs/>
          <w:color w:val="A91E1E"/>
        </w:rPr>
        <w:t>Fahima Shameem 2131420610</w:t>
      </w:r>
    </w:p>
    <w:p>
      <w:pPr>
        <w:spacing w:before="0" w:after="100"/>
        <w:jc w:val="center"/>
      </w:pPr>
      <w:r>
        <w:rPr>
          <w:rFonts w:ascii="times new roman" w:eastAsia="times new roman" w:hAnsi="times new roman" w:cs="times new roman"/>
          <w:b/>
          <w:bCs/>
        </w:rPr>
        <w:t>Supervisor:</w:t>
      </w:r>
    </w:p>
    <w:p>
      <w:pPr>
        <w:spacing w:before="0" w:after="60"/>
        <w:jc w:val="center"/>
      </w:pPr>
      <w:r>
        <w:rPr>
          <w:rFonts w:ascii="times new roman" w:eastAsia="times new roman" w:hAnsi="times new roman" w:cs="times new roman"/>
          <w:b/>
          <w:bCs/>
        </w:rPr>
        <w:t>DR.Mohammad Shifat-E-Rabbi</w:t>
      </w:r>
    </w:p>
    <w:p>
      <w:pPr>
        <w:spacing w:before="120" w:after="120"/>
        <w:jc w:val="center"/>
      </w:pPr>
      <w:r>
        <w:rPr>
          <w:b/>
          <w:bCs/>
        </w:rPr>
        <w:t>Assistant Professor</w:t>
      </w:r>
    </w:p>
    <w:p>
      <w:pPr>
        <w:spacing w:before="0" w:after="60"/>
        <w:jc w:val="center"/>
        <w:rPr>
          <w:sz w:val="22"/>
          <w:szCs w:val="22"/>
        </w:rPr>
      </w:pPr>
      <w:r>
        <w:rPr>
          <w:rFonts w:ascii="times new roman" w:eastAsia="times new roman" w:hAnsi="times new roman" w:cs="times new roman"/>
          <w:sz w:val="22"/>
          <w:szCs w:val="22"/>
        </w:rPr>
        <w:t>Department of Electrical and Computer Engineering</w:t>
      </w:r>
    </w:p>
    <w:p>
      <w:pPr>
        <w:spacing w:before="0" w:after="800"/>
        <w:jc w:val="center"/>
        <w:rPr>
          <w:sz w:val="22"/>
          <w:szCs w:val="22"/>
        </w:rPr>
      </w:pPr>
      <w:r>
        <w:rPr>
          <w:rFonts w:ascii="times new roman" w:eastAsia="times new roman" w:hAnsi="times new roman" w:cs="times new roman"/>
          <w:sz w:val="22"/>
          <w:szCs w:val="22"/>
        </w:rPr>
        <w:t>North South University</w:t>
      </w:r>
    </w:p>
    <w:p>
      <w:pPr>
        <w:spacing w:before="0" w:after="0"/>
        <w:jc w:val="center"/>
      </w:pPr>
      <w:r>
        <w:rPr>
          <w:rFonts w:ascii="times new roman" w:eastAsia="times new roman" w:hAnsi="times new roman" w:cs="times new roman"/>
          <w:b/>
          <w:bCs/>
        </w:rPr>
        <w:t>Fall, 2026</w:t>
      </w:r>
    </w:p>
    <w:p>
      <w:pPr>
        <w:spacing w:before="120" w:after="120"/>
        <w:jc w:val="left"/>
      </w:pPr>
    </w:p>
    <w:p>
      <w:pPr>
        <w:spacing w:before="0" w:after="400" w:line="360" w:lineRule="auto"/>
        <w:jc w:val="center"/>
        <w:rPr>
          <w:sz w:val="28"/>
          <w:szCs w:val="28"/>
        </w:rPr>
      </w:pPr>
      <w:r>
        <w:rPr>
          <w:rFonts w:ascii="times new roman" w:eastAsia="times new roman" w:hAnsi="times new roman" w:cs="times new roman"/>
          <w:b/>
          <w:bCs/>
          <w:sz w:val="28"/>
          <w:szCs w:val="28"/>
        </w:rPr>
        <w:t>LETTER OF TRANSMITTAL</w:t>
      </w:r>
    </w:p>
    <w:p>
      <w:pPr>
        <w:spacing w:before="0" w:after="200" w:line="360" w:lineRule="auto"/>
        <w:jc w:val="both"/>
      </w:pPr>
      <w:r>
        <w:rPr>
          <w:rFonts w:ascii="times new roman" w:eastAsia="times new roman" w:hAnsi="times new roman" w:cs="times new roman"/>
        </w:rPr>
        <w:t>September, 2026</w:t>
      </w:r>
    </w:p>
    <w:p>
      <w:pPr>
        <w:spacing w:before="0" w:after="200" w:line="360" w:lineRule="auto"/>
        <w:jc w:val="both"/>
      </w:pPr>
      <w:r>
        <w:rPr>
          <w:rFonts w:ascii="times new roman" w:eastAsia="times new roman" w:hAnsi="times new roman" w:cs="times new roman"/>
        </w:rPr>
        <w:t>To</w:t>
      </w:r>
    </w:p>
    <w:p>
      <w:pPr>
        <w:spacing w:before="0" w:after="200" w:line="360" w:lineRule="auto"/>
        <w:jc w:val="both"/>
      </w:pPr>
      <w:r>
        <w:rPr>
          <w:b/>
          <w:bCs/>
        </w:rPr>
        <w:t>Dr. Mohammad Abdul Matin</w:t>
      </w:r>
    </w:p>
    <w:p>
      <w:pPr>
        <w:spacing w:before="0" w:after="200" w:line="360" w:lineRule="auto"/>
        <w:jc w:val="both"/>
      </w:pPr>
      <w:r>
        <w:rPr>
          <w:rFonts w:ascii="times new roman" w:eastAsia="times new roman" w:hAnsi="times new roman" w:cs="times new roman"/>
        </w:rPr>
        <w:t>Chairman,</w:t>
      </w:r>
    </w:p>
    <w:p>
      <w:pPr>
        <w:spacing w:before="0" w:after="200" w:line="360" w:lineRule="auto"/>
        <w:jc w:val="both"/>
      </w:pPr>
      <w:r>
        <w:rPr>
          <w:rFonts w:ascii="times new roman" w:eastAsia="times new roman" w:hAnsi="times new roman" w:cs="times new roman"/>
        </w:rPr>
        <w:t>Department of Electrical and Computer Engineering</w:t>
      </w:r>
    </w:p>
    <w:p>
      <w:pPr>
        <w:spacing w:before="0" w:after="200" w:line="360" w:lineRule="auto"/>
        <w:jc w:val="both"/>
      </w:pPr>
      <w:r>
        <w:rPr>
          <w:rFonts w:ascii="times new roman" w:eastAsia="times new roman" w:hAnsi="times new roman" w:cs="times new roman"/>
        </w:rPr>
        <w:t>North South University, Dhaka</w:t>
      </w:r>
    </w:p>
    <w:p>
      <w:pPr>
        <w:spacing w:before="0" w:after="200" w:line="360" w:lineRule="auto"/>
        <w:jc w:val="both"/>
      </w:pPr>
      <w:r>
        <w:rPr>
          <w:rFonts w:ascii="times new roman" w:eastAsia="times new roman" w:hAnsi="times new roman" w:cs="times new roman"/>
          <w:b/>
          <w:bCs/>
        </w:rPr>
        <w:t>Subject: Submission of Directed Research Report on “Robustness of Prompt-Injection Guardrails Against Adaptive and Fragmentation-Based Attacks”</w:t>
      </w:r>
    </w:p>
    <w:p>
      <w:pPr>
        <w:spacing w:before="0" w:after="200" w:line="360" w:lineRule="auto"/>
        <w:jc w:val="both"/>
      </w:pPr>
      <w:r>
        <w:rPr>
          <w:rFonts w:ascii="times new roman" w:eastAsia="times new roman" w:hAnsi="times new roman" w:cs="times new roman"/>
        </w:rPr>
        <w:t>Dear Sir,</w:t>
      </w:r>
    </w:p>
    <w:p>
      <w:pPr>
        <w:spacing w:before="0" w:after="200" w:line="360" w:lineRule="auto"/>
        <w:jc w:val="both"/>
      </w:pPr>
      <w:r>
        <w:rPr>
          <w:rFonts w:ascii="times new roman" w:eastAsia="times new roman" w:hAnsi="times new roman" w:cs="times new roman"/>
        </w:rPr>
        <w:t>With due respect, we would like to submit our Directed Research Report on “Robustness of Prompt-Injection Guardrails Against Responsive and Fragmentation-Based Attacks” as a part of our BSc program. The report evaluates whether two publicly available prompt-injection guardrail classifiers provide statistically meaningful protection for a target language model against a range of attack strategies, including two original attack methods introduced in this work. This project was valuable to us, as it provided hands-on experience in adversarial machine learning, statistical hypothesis testing, and empirical AI security research. We have made every effort to meet the standards required for this report.</w:t>
      </w:r>
    </w:p>
    <w:p>
      <w:pPr>
        <w:spacing w:before="0" w:after="200" w:line="360" w:lineRule="auto"/>
        <w:jc w:val="both"/>
      </w:pPr>
      <w:r>
        <w:rPr>
          <w:rFonts w:ascii="times new roman" w:eastAsia="times new roman" w:hAnsi="times new roman" w:cs="times new roman"/>
        </w:rPr>
        <w:t>We will be highly obliged if you be so kind as to receive this report and provide your valuable judgment. It would be our immense pleasure if you find this report useful and informative in delivering a clear perspective on the robustness of current prompt-injection guardrails.</w:t>
      </w:r>
    </w:p>
    <w:p>
      <w:pPr>
        <w:spacing w:before="0" w:after="200" w:line="360" w:lineRule="auto"/>
        <w:jc w:val="both"/>
      </w:pPr>
      <w:r>
        <w:rPr>
          <w:rFonts w:ascii="times new roman" w:eastAsia="times new roman" w:hAnsi="times new roman" w:cs="times new roman"/>
        </w:rPr>
        <w:t>Sincerely yours,</w:t>
      </w:r>
    </w:p>
    <w:p>
      <w:pPr>
        <w:spacing w:before="0" w:after="200" w:line="360" w:lineRule="auto"/>
        <w:jc w:val="both"/>
      </w:pPr>
      <w:r>
        <w:rPr>
          <w:rFonts w:ascii="times new roman" w:eastAsia="times new roman" w:hAnsi="times new roman" w:cs="times new roman"/>
        </w:rPr>
        <w:t>.........................................................Fahima Shameem</w:t>
      </w:r>
    </w:p>
    <w:p>
      <w:pPr>
        <w:spacing w:before="0" w:after="200" w:line="360" w:lineRule="auto"/>
        <w:jc w:val="both"/>
      </w:pPr>
      <w:r>
        <w:rPr>
          <w:rFonts w:ascii="times new roman" w:eastAsia="times new roman" w:hAnsi="times new roman" w:cs="times new roman"/>
        </w:rPr>
        <w:t>Department of Electrical and Computer Engineering</w:t>
      </w:r>
    </w:p>
    <w:p>
      <w:pPr>
        <w:spacing w:before="0" w:after="300" w:line="360" w:lineRule="auto"/>
        <w:jc w:val="both"/>
      </w:pPr>
      <w:r>
        <w:rPr>
          <w:rFonts w:ascii="times new roman" w:eastAsia="times new roman" w:hAnsi="times new roman" w:cs="times new roman"/>
        </w:rPr>
        <w:t>North South University, Bangladesh</w:t>
      </w:r>
    </w:p>
    <w:p>
      <w:pPr>
        <w:spacing w:before="0" w:after="200" w:line="360" w:lineRule="auto"/>
        <w:jc w:val="both"/>
      </w:pPr>
      <w:r>
        <w:rPr>
          <w:rFonts w:ascii="times new roman" w:eastAsia="times new roman" w:hAnsi="times new roman" w:cs="times new roman"/>
        </w:rPr>
        <w:t>.........................................................Farjana Rahman Samia</w:t>
      </w:r>
    </w:p>
    <w:p>
      <w:pPr>
        <w:spacing w:before="0" w:after="200" w:line="360" w:lineRule="auto"/>
        <w:jc w:val="both"/>
      </w:pPr>
      <w:r>
        <w:rPr>
          <w:rFonts w:ascii="times new roman" w:eastAsia="times new roman" w:hAnsi="times new roman" w:cs="times new roman"/>
        </w:rPr>
        <w:t>Department of Electrical and Computer Engineering</w:t>
      </w:r>
    </w:p>
    <w:p>
      <w:pPr>
        <w:spacing w:before="0" w:after="200" w:line="360" w:lineRule="auto"/>
        <w:jc w:val="both"/>
      </w:pPr>
      <w:r>
        <w:rPr>
          <w:rFonts w:ascii="times new roman" w:eastAsia="times new roman" w:hAnsi="times new roman" w:cs="times new roman"/>
        </w:rPr>
        <w:t>North South University, Bangladesh</w:t>
      </w:r>
    </w:p>
    <w:p>
      <w:pPr>
        <w:spacing w:before="120" w:after="120"/>
        <w:jc w:val="left"/>
      </w:pPr>
    </w:p>
    <w:p>
      <w:pPr>
        <w:spacing w:before="0" w:after="400" w:line="360" w:lineRule="auto"/>
        <w:jc w:val="center"/>
        <w:rPr>
          <w:sz w:val="28"/>
          <w:szCs w:val="28"/>
        </w:rPr>
      </w:pPr>
      <w:r>
        <w:rPr>
          <w:rFonts w:ascii="times new roman" w:eastAsia="times new roman" w:hAnsi="times new roman" w:cs="times new roman"/>
          <w:b/>
          <w:bCs/>
          <w:sz w:val="28"/>
          <w:szCs w:val="28"/>
        </w:rPr>
        <w:t>APPROVAL</w:t>
      </w:r>
    </w:p>
    <w:p>
      <w:pPr>
        <w:spacing w:before="0" w:after="200" w:line="360" w:lineRule="auto"/>
        <w:jc w:val="both"/>
      </w:pPr>
      <w:r>
        <w:rPr>
          <w:rFonts w:ascii="times new roman" w:eastAsia="times new roman" w:hAnsi="times new roman" w:cs="times new roman"/>
        </w:rPr>
        <w:t>Fahima Shameem 2131420610 and Farjana Rahman Samia 22111754042 from the Electrical and Computer Engineering Department of North South University have worked on the Directed Research Project titled “Robustness of Prompt-Injection Guardrails Against Responsive and Fragmentation-Based Attacks” under the supervision of Mohammad Shifat-E-Rabbi, in partial fulfillment of the requirements for the degree of Bachelor of Science in Engineering, and it has been accepted as satisfactory.</w:t>
      </w:r>
    </w:p>
    <w:p>
      <w:pPr>
        <w:spacing w:before="0" w:after="40" w:line="360" w:lineRule="auto"/>
        <w:jc w:val="both"/>
      </w:pPr>
      <w:r>
        <w:rPr>
          <w:rFonts w:ascii="times new roman" w:eastAsia="times new roman" w:hAnsi="times new roman" w:cs="times new roman"/>
        </w:rPr>
        <w:t>Supervisor's Signature ………………………………….Mohammad Shifat-E-Rabbi</w:t>
      </w:r>
    </w:p>
    <w:p>
      <w:pPr>
        <w:spacing w:before="0" w:after="40" w:line="360" w:lineRule="auto"/>
        <w:jc w:val="both"/>
      </w:pPr>
      <w:r>
        <w:rPr>
          <w:rFonts w:ascii="times new roman" w:eastAsia="times new roman" w:hAnsi="times new roman" w:cs="times new roman"/>
        </w:rPr>
        <w:t>Department of Electrical and Computer Engineering</w:t>
      </w:r>
    </w:p>
    <w:p>
      <w:pPr>
        <w:spacing w:before="0" w:after="40" w:line="360" w:lineRule="auto"/>
        <w:jc w:val="both"/>
      </w:pPr>
      <w:r>
        <w:rPr>
          <w:rFonts w:ascii="times new roman" w:eastAsia="times new roman" w:hAnsi="times new roman" w:cs="times new roman"/>
        </w:rPr>
        <w:t>North South University</w:t>
      </w:r>
    </w:p>
    <w:p>
      <w:pPr>
        <w:spacing w:before="0" w:after="400" w:line="360" w:lineRule="auto"/>
        <w:jc w:val="both"/>
      </w:pPr>
      <w:r>
        <w:rPr>
          <w:rFonts w:ascii="times new roman" w:eastAsia="times new roman" w:hAnsi="times new roman" w:cs="times new roman"/>
        </w:rPr>
        <w:t>Dhaka, Bangladesh.</w:t>
      </w:r>
    </w:p>
    <w:p>
      <w:pPr>
        <w:spacing w:before="0" w:after="40" w:line="360" w:lineRule="auto"/>
        <w:jc w:val="both"/>
      </w:pPr>
      <w:r>
        <w:rPr>
          <w:rFonts w:ascii="times new roman" w:eastAsia="times new roman" w:hAnsi="times new roman" w:cs="times new roman"/>
        </w:rPr>
        <w:t>Chairman's Signature ………………………………….</w:t>
      </w:r>
      <w:r>
        <w:rPr>
          <w:b/>
          <w:bCs/>
        </w:rPr>
        <w:t>Dr. Mohammad Abdul Matin</w:t>
      </w:r>
    </w:p>
    <w:p>
      <w:pPr>
        <w:spacing w:before="0" w:after="40" w:line="360" w:lineRule="auto"/>
        <w:jc w:val="both"/>
      </w:pPr>
      <w:r>
        <w:rPr>
          <w:rFonts w:ascii="times new roman" w:eastAsia="times new roman" w:hAnsi="times new roman" w:cs="times new roman"/>
        </w:rPr>
        <w:t>Professor</w:t>
      </w:r>
    </w:p>
    <w:p>
      <w:pPr>
        <w:spacing w:before="0" w:after="40" w:line="360" w:lineRule="auto"/>
        <w:jc w:val="both"/>
      </w:pPr>
      <w:r>
        <w:rPr>
          <w:rFonts w:ascii="times new roman" w:eastAsia="times new roman" w:hAnsi="times new roman" w:cs="times new roman"/>
        </w:rPr>
        <w:t>Department of Electrical and Computer Engineering</w:t>
      </w:r>
    </w:p>
    <w:p>
      <w:pPr>
        <w:spacing w:before="0" w:after="40" w:line="360" w:lineRule="auto"/>
        <w:jc w:val="both"/>
      </w:pPr>
      <w:r>
        <w:rPr>
          <w:rFonts w:ascii="times new roman" w:eastAsia="times new roman" w:hAnsi="times new roman" w:cs="times new roman"/>
        </w:rPr>
        <w:t>North South University</w:t>
      </w:r>
    </w:p>
    <w:p>
      <w:pPr>
        <w:spacing w:before="0" w:after="200" w:line="360" w:lineRule="auto"/>
        <w:jc w:val="both"/>
      </w:pPr>
      <w:r>
        <w:rPr>
          <w:rFonts w:ascii="times new roman" w:eastAsia="times new roman" w:hAnsi="times new roman" w:cs="times new roman"/>
        </w:rPr>
        <w:t>Dhaka, Bangladesh.</w:t>
      </w:r>
    </w:p>
    <w:p>
      <w:pPr>
        <w:spacing w:before="120" w:after="120"/>
        <w:jc w:val="left"/>
      </w:pPr>
    </w:p>
    <w:p>
      <w:pPr>
        <w:spacing w:before="0" w:after="400" w:line="360" w:lineRule="auto"/>
        <w:jc w:val="center"/>
        <w:rPr>
          <w:sz w:val="28"/>
          <w:szCs w:val="28"/>
        </w:rPr>
      </w:pPr>
      <w:r>
        <w:rPr>
          <w:rFonts w:ascii="times new roman" w:eastAsia="times new roman" w:hAnsi="times new roman" w:cs="times new roman"/>
          <w:b/>
          <w:bCs/>
          <w:sz w:val="28"/>
          <w:szCs w:val="28"/>
        </w:rPr>
        <w:t>DECLARATION</w:t>
      </w:r>
    </w:p>
    <w:p>
      <w:pPr>
        <w:spacing w:before="0" w:after="200" w:line="360" w:lineRule="auto"/>
        <w:jc w:val="both"/>
      </w:pPr>
      <w:r>
        <w:rPr>
          <w:rFonts w:ascii="times new roman" w:eastAsia="times new roman" w:hAnsi="times new roman" w:cs="times new roman"/>
        </w:rPr>
        <w:t>This is to declare that this project is our original work. No part of this work has been submitted elsewhere, partially or fully, for the award of any other degree or diploma. All project-related information shall stay confidential and shall not be disclosed without the formal consent of the project supervisor. Relevant previous works presented in this report have been properly acknowledged and cited. The plagiarism policy, as stated by the supervisor, has been maintained.</w:t>
      </w:r>
    </w:p>
    <w:p>
      <w:pPr>
        <w:spacing w:before="0" w:after="300" w:line="360" w:lineRule="auto"/>
        <w:jc w:val="both"/>
      </w:pPr>
      <w:r>
        <w:rPr>
          <w:rFonts w:ascii="times new roman" w:eastAsia="times new roman" w:hAnsi="times new roman" w:cs="times new roman"/>
        </w:rPr>
        <w:t>Students' names &amp; Signatures</w:t>
      </w:r>
    </w:p>
    <w:p>
      <w:pPr>
        <w:spacing w:before="0" w:after="200" w:line="360" w:lineRule="auto"/>
        <w:jc w:val="both"/>
      </w:pPr>
      <w:r>
        <w:rPr>
          <w:rFonts w:ascii="times new roman" w:eastAsia="times new roman" w:hAnsi="times new roman" w:cs="times new roman"/>
        </w:rPr>
        <w:t>1. Fahima Shameem</w:t>
      </w:r>
    </w:p>
    <w:p>
      <w:pPr>
        <w:spacing w:before="0" w:after="300" w:line="360" w:lineRule="auto"/>
        <w:jc w:val="both"/>
      </w:pPr>
      <w:r>
        <w:rPr>
          <w:rFonts w:ascii="times new roman" w:eastAsia="times new roman" w:hAnsi="times new roman" w:cs="times new roman"/>
        </w:rPr>
        <w:t>_ _ _ _ _ _ _ _ _ _ _ _ _ _ _ _ _</w:t>
      </w:r>
    </w:p>
    <w:p>
      <w:pPr>
        <w:spacing w:before="0" w:after="200" w:line="360" w:lineRule="auto"/>
        <w:jc w:val="both"/>
      </w:pPr>
      <w:r>
        <w:rPr>
          <w:rFonts w:ascii="times new roman" w:eastAsia="times new roman" w:hAnsi="times new roman" w:cs="times new roman"/>
        </w:rPr>
        <w:t>2. Farjana Rahman Samia</w:t>
      </w:r>
    </w:p>
    <w:p>
      <w:pPr>
        <w:spacing w:before="0" w:after="200" w:line="360" w:lineRule="auto"/>
        <w:jc w:val="both"/>
      </w:pPr>
      <w:r>
        <w:rPr>
          <w:rFonts w:ascii="times new roman" w:eastAsia="times new roman" w:hAnsi="times new roman" w:cs="times new roman"/>
        </w:rPr>
        <w:t>_ _ _ _ _ _ _ _ _ _ _ _ _ _ _ _ _</w:t>
      </w:r>
    </w:p>
    <w:p>
      <w:pPr>
        <w:spacing w:before="120" w:after="120"/>
        <w:jc w:val="left"/>
      </w:pPr>
    </w:p>
    <w:p>
      <w:pPr>
        <w:spacing w:before="0" w:after="400" w:line="360" w:lineRule="auto"/>
        <w:jc w:val="center"/>
        <w:rPr>
          <w:sz w:val="28"/>
          <w:szCs w:val="28"/>
        </w:rPr>
      </w:pPr>
      <w:r>
        <w:rPr>
          <w:rFonts w:ascii="times new roman" w:eastAsia="times new roman" w:hAnsi="times new roman" w:cs="times new roman"/>
          <w:b/>
          <w:bCs/>
          <w:sz w:val="28"/>
          <w:szCs w:val="28"/>
        </w:rPr>
        <w:t>ACKNOWLEDGEMENTS</w:t>
      </w:r>
    </w:p>
    <w:p>
      <w:pPr>
        <w:spacing w:before="0" w:after="200" w:line="360" w:lineRule="auto"/>
        <w:jc w:val="both"/>
      </w:pPr>
      <w:r>
        <w:rPr>
          <w:rFonts w:ascii="times new roman" w:eastAsia="times new roman" w:hAnsi="times new roman" w:cs="times new roman"/>
        </w:rPr>
        <w:t>The authors would like to express their wholehearted gratitude towards their project and research supervisor, Mohammad Shifat-E-Rabbi, Department of Electrical and Computer Engineering, North South University, Bangladesh, for his immense support, precise guidance, and advice pertaining to the experiments, research, and theoretical studies carried out during the course of the current project and also in the preparation of the current report.</w:t>
      </w:r>
    </w:p>
    <w:p>
      <w:pPr>
        <w:spacing w:before="0" w:after="200" w:line="360" w:lineRule="auto"/>
        <w:jc w:val="both"/>
      </w:pPr>
      <w:r>
        <w:rPr>
          <w:rFonts w:ascii="times new roman" w:eastAsia="times new roman" w:hAnsi="times new roman" w:cs="times new roman"/>
        </w:rPr>
        <w:t>Furthermore, the authors would like to thank the Department of Electrical and Computer Engineering, North South University, Bangladesh, for facilitating the research and for providing access to the computing resources needed to complete the evaluation pipeline. The authors would also like to thank their loved ones for their countless sacrifices and continual aid throughout this project.</w:t>
      </w:r>
    </w:p>
    <w:p>
      <w:pPr>
        <w:spacing w:before="120" w:after="120"/>
        <w:jc w:val="left"/>
      </w:pPr>
    </w:p>
    <w:p>
      <w:pPr>
        <w:spacing w:before="0" w:after="100" w:line="360" w:lineRule="auto"/>
        <w:jc w:val="center"/>
        <w:rPr>
          <w:sz w:val="28"/>
          <w:szCs w:val="28"/>
        </w:rPr>
      </w:pPr>
      <w:r>
        <w:rPr>
          <w:rFonts w:ascii="times new roman" w:eastAsia="times new roman" w:hAnsi="times new roman" w:cs="times new roman"/>
          <w:b/>
          <w:bCs/>
          <w:sz w:val="28"/>
          <w:szCs w:val="28"/>
        </w:rPr>
        <w:t>ABSTRACT</w:t>
      </w:r>
    </w:p>
    <w:p>
      <w:pPr>
        <w:spacing w:before="0" w:after="300" w:line="360" w:lineRule="auto"/>
        <w:jc w:val="center"/>
      </w:pPr>
      <w:r>
        <w:rPr>
          <w:rFonts w:ascii="times new roman" w:eastAsia="times new roman" w:hAnsi="times new roman" w:cs="times new roman"/>
          <w:b/>
          <w:bCs/>
          <w:i/>
          <w:iCs/>
        </w:rPr>
        <w:t>Robustness of Prompt-Injection Guardrails Versus Adaptive and Fragmentation-Based Attacks</w:t>
      </w:r>
    </w:p>
    <w:p>
      <w:pPr>
        <w:spacing w:before="0" w:after="200" w:line="360" w:lineRule="auto"/>
        <w:jc w:val="both"/>
      </w:pPr>
      <w:r>
        <w:rPr>
          <w:rFonts w:ascii="times new roman" w:eastAsia="times new roman" w:hAnsi="times new roman" w:cs="times new roman"/>
        </w:rPr>
        <w:t>Prompt-injection guardrails are lightweight classifiers deployed in front of large language models (LLMs) to screen incoming text for injected instructions before it reaches the model. Although several such classifiers are publicly available and widely deployed, their protective value against realistic, dynamic adversaries has not been strictly established. This project assesses two publicly available prompt-injection guardrail classifiers, ProtectAI's deberta-v3-base-prompt-injection-v2 and deepset's deberta-v3-base-injection, in front of Qwen2.5-7B-Instruct as the target model. Four attack strategies were tested: a direct Static attack, a manually written Adaptive rewrite attack, an original Fragmentation attack that splits a malicious instruction into pieces so that each fragment is screened independently before assembly, and an original DSPy-Optimized Adaptive attack that compiles an automated evasion strategy against the classifier rather than relying on hand-written rewrites. Each condition was evaluated on 250 malicious and 200 benign payloads, with attack success graded by an LLM-as-judge, utility measured by semantic similarity, and significance assessed with Fisher's exact test, Wilson 95% confidence intervals, and Bonferroni correction for multiple comparisons. The guardrail's largest apparent effect, a reduction in attack success rate against the Static attack from 20.8% to 12.8%, did not stay statistically significant after correction for the four attack-type comparisons, and none of the four attack types showed a statistically significant reduction in attack success rate. Follow-up analyses, including a sample-size sensitivity check, a transport-based utility cross-check, and a small second-model pilot on Mistral-7B-Instruct, reinforced a careful interpretation of the guardrail's protective value. These results suggest that publicly available prompt-injection classifiers, evaluated under realistic adaptive and fragmentation-based conditions, may not provide the level of protection commonly assumed, and that guardrail evaluations should routinely correct for multiple comparisons before reporting a defense as effective.</w:t>
      </w:r>
    </w:p>
    <w:p>
      <w:pPr>
        <w:spacing w:before="120" w:after="120"/>
        <w:jc w:val="left"/>
      </w:pPr>
    </w:p>
    <w:p>
      <w:pPr>
        <w:spacing w:before="0" w:after="300" w:line="360" w:lineRule="auto"/>
        <w:jc w:val="center"/>
        <w:rPr>
          <w:sz w:val="28"/>
          <w:szCs w:val="28"/>
        </w:rPr>
      </w:pPr>
      <w:r>
        <w:rPr>
          <w:rFonts w:ascii="times new roman" w:eastAsia="times new roman" w:hAnsi="times new roman" w:cs="times new roman"/>
          <w:b/>
          <w:bCs/>
          <w:sz w:val="28"/>
          <w:szCs w:val="28"/>
        </w:rPr>
        <w:t>TABLE OF CONTENTS</w:t>
      </w:r>
    </w:p>
    <w:p>
      <w:pPr>
        <w:spacing w:before="0" w:after="140"/>
        <w:jc w:val="left"/>
      </w:pPr>
      <w:r>
        <w:rPr>
          <w:rFonts w:ascii="times new roman" w:eastAsia="times new roman" w:hAnsi="times new roman" w:cs="times new roman"/>
        </w:rPr>
        <w:t>LETTER OF TRANSMITTAL</w:t>
      </w:r>
      <w:r>
        <w:rPr>
          <w:rFonts w:ascii="lucida console" w:eastAsia="lucida console" w:hAnsi="lucida console" w:cs="lucida console"/>
        </w:rPr>
        <w:t>.....................................</w:t>
      </w:r>
      <w:r>
        <w:rPr>
          <w:rFonts w:ascii="times new roman" w:eastAsia="times new roman" w:hAnsi="times new roman" w:cs="times new roman"/>
        </w:rPr>
        <w:t>2</w:t>
      </w:r>
    </w:p>
    <w:p>
      <w:pPr>
        <w:spacing w:before="0" w:after="140"/>
        <w:jc w:val="left"/>
      </w:pPr>
      <w:r>
        <w:rPr>
          <w:rFonts w:ascii="times new roman" w:eastAsia="times new roman" w:hAnsi="times new roman" w:cs="times new roman"/>
        </w:rPr>
        <w:t>APPROVAL</w:t>
      </w:r>
      <w:r>
        <w:rPr>
          <w:rFonts w:ascii="lucida console" w:eastAsia="lucida console" w:hAnsi="lucida console" w:cs="lucida console"/>
        </w:rPr>
        <w:t>...................................................</w:t>
      </w:r>
      <w:r>
        <w:rPr>
          <w:rFonts w:ascii="times new roman" w:eastAsia="times new roman" w:hAnsi="times new roman" w:cs="times new roman"/>
        </w:rPr>
        <w:t>4</w:t>
      </w:r>
    </w:p>
    <w:p>
      <w:pPr>
        <w:spacing w:before="0" w:after="140"/>
        <w:jc w:val="left"/>
      </w:pPr>
      <w:r>
        <w:rPr>
          <w:rFonts w:ascii="times new roman" w:eastAsia="times new roman" w:hAnsi="times new roman" w:cs="times new roman"/>
        </w:rPr>
        <w:t>DECLARATION</w:t>
      </w:r>
      <w:r>
        <w:rPr>
          <w:rFonts w:ascii="lucida console" w:eastAsia="lucida console" w:hAnsi="lucida console" w:cs="lucida console"/>
        </w:rPr>
        <w:t>................................................</w:t>
      </w:r>
      <w:r>
        <w:rPr>
          <w:rFonts w:ascii="times new roman" w:eastAsia="times new roman" w:hAnsi="times new roman" w:cs="times new roman"/>
        </w:rPr>
        <w:t>5</w:t>
      </w:r>
    </w:p>
    <w:p>
      <w:pPr>
        <w:spacing w:before="0" w:after="140"/>
        <w:jc w:val="left"/>
      </w:pPr>
      <w:r>
        <w:rPr>
          <w:rFonts w:ascii="times new roman" w:eastAsia="times new roman" w:hAnsi="times new roman" w:cs="times new roman"/>
        </w:rPr>
        <w:t>ACKNOWLEDGEMENTS</w:t>
      </w:r>
      <w:r>
        <w:rPr>
          <w:rFonts w:ascii="lucida console" w:eastAsia="lucida console" w:hAnsi="lucida console" w:cs="lucida console"/>
        </w:rPr>
        <w:t>........................................</w:t>
      </w:r>
      <w:r>
        <w:rPr>
          <w:rFonts w:ascii="times new roman" w:eastAsia="times new roman" w:hAnsi="times new roman" w:cs="times new roman"/>
        </w:rPr>
        <w:t>6</w:t>
      </w:r>
    </w:p>
    <w:p>
      <w:pPr>
        <w:spacing w:before="0" w:after="140"/>
        <w:jc w:val="left"/>
      </w:pPr>
      <w:r>
        <w:rPr>
          <w:rFonts w:ascii="times new roman" w:eastAsia="times new roman" w:hAnsi="times new roman" w:cs="times new roman"/>
        </w:rPr>
        <w:t>ABSTRACT</w:t>
      </w:r>
      <w:r>
        <w:rPr>
          <w:rFonts w:ascii="lucida console" w:eastAsia="lucida console" w:hAnsi="lucida console" w:cs="lucida console"/>
        </w:rPr>
        <w:t>...................................................</w:t>
      </w:r>
      <w:r>
        <w:rPr>
          <w:rFonts w:ascii="times new roman" w:eastAsia="times new roman" w:hAnsi="times new roman" w:cs="times new roman"/>
        </w:rPr>
        <w:t>7</w:t>
      </w:r>
    </w:p>
    <w:p>
      <w:pPr>
        <w:spacing w:before="0" w:after="140"/>
        <w:jc w:val="left"/>
      </w:pPr>
      <w:r>
        <w:rPr>
          <w:rFonts w:ascii="times new roman" w:eastAsia="times new roman" w:hAnsi="times new roman" w:cs="times new roman"/>
        </w:rPr>
        <w:t>LIST OF FIGURES</w:t>
      </w:r>
      <w:r>
        <w:rPr>
          <w:rFonts w:ascii="lucida console" w:eastAsia="lucida console" w:hAnsi="lucida console" w:cs="lucida console"/>
        </w:rPr>
        <w:t>.............................................</w:t>
      </w:r>
      <w:r>
        <w:rPr>
          <w:rFonts w:ascii="times new roman" w:eastAsia="times new roman" w:hAnsi="times new roman" w:cs="times new roman"/>
        </w:rPr>
        <w:t>9</w:t>
      </w:r>
    </w:p>
    <w:p>
      <w:pPr>
        <w:spacing w:before="0" w:after="140"/>
        <w:jc w:val="left"/>
      </w:pPr>
      <w:r>
        <w:rPr>
          <w:rFonts w:ascii="times new roman" w:eastAsia="times new roman" w:hAnsi="times new roman" w:cs="times new roman"/>
        </w:rPr>
        <w:t>LIST OF TABLES</w:t>
      </w:r>
      <w:r>
        <w:rPr>
          <w:rFonts w:ascii="lucida console" w:eastAsia="lucida console" w:hAnsi="lucida console" w:cs="lucida console"/>
        </w:rPr>
        <w:t>.............................................</w:t>
      </w:r>
      <w:r>
        <w:rPr>
          <w:rFonts w:ascii="times new roman" w:eastAsia="times new roman" w:hAnsi="times new roman" w:cs="times new roman"/>
        </w:rPr>
        <w:t>10</w:t>
      </w:r>
    </w:p>
    <w:p>
      <w:pPr>
        <w:spacing w:before="0" w:after="140"/>
        <w:jc w:val="left"/>
      </w:pPr>
      <w:r>
        <w:rPr>
          <w:rFonts w:ascii="times new roman" w:eastAsia="times new roman" w:hAnsi="times new roman" w:cs="times new roman"/>
        </w:rPr>
        <w:t>Chapter 1Introduction</w:t>
      </w:r>
      <w:r>
        <w:rPr>
          <w:rFonts w:ascii="lucida console" w:eastAsia="lucida console" w:hAnsi="lucida console" w:cs="lucida console"/>
        </w:rPr>
        <w:t>........................................</w:t>
      </w:r>
      <w:r>
        <w:rPr>
          <w:rFonts w:ascii="times new roman" w:eastAsia="times new roman" w:hAnsi="times new roman" w:cs="times new roman"/>
        </w:rPr>
        <w:t>11</w:t>
      </w:r>
    </w:p>
    <w:p>
      <w:pPr>
        <w:spacing w:before="0" w:after="140"/>
        <w:ind w:left="400"/>
        <w:jc w:val="left"/>
      </w:pPr>
      <w:r>
        <w:rPr>
          <w:rFonts w:ascii="times new roman" w:eastAsia="times new roman" w:hAnsi="times new roman" w:cs="times new roman"/>
        </w:rPr>
        <w:t>1.1 Background and Motivation</w:t>
      </w:r>
      <w:r>
        <w:rPr>
          <w:rFonts w:ascii="lucida console" w:eastAsia="lucida console" w:hAnsi="lucida console" w:cs="lucida console"/>
        </w:rPr>
        <w:t>..............................</w:t>
      </w:r>
      <w:r>
        <w:rPr>
          <w:rFonts w:ascii="times new roman" w:eastAsia="times new roman" w:hAnsi="times new roman" w:cs="times new roman"/>
        </w:rPr>
        <w:t>11</w:t>
      </w:r>
    </w:p>
    <w:p>
      <w:pPr>
        <w:spacing w:before="0" w:after="140"/>
        <w:ind w:left="400"/>
        <w:jc w:val="left"/>
      </w:pPr>
      <w:r>
        <w:rPr>
          <w:rFonts w:ascii="times new roman" w:eastAsia="times new roman" w:hAnsi="times new roman" w:cs="times new roman"/>
        </w:rPr>
        <w:t>1.2 Purpose and Goal of the Project</w:t>
      </w:r>
      <w:r>
        <w:rPr>
          <w:rFonts w:ascii="lucida console" w:eastAsia="lucida console" w:hAnsi="lucida console" w:cs="lucida console"/>
        </w:rPr>
        <w:t>...........................</w:t>
      </w:r>
      <w:r>
        <w:rPr>
          <w:rFonts w:ascii="times new roman" w:eastAsia="times new roman" w:hAnsi="times new roman" w:cs="times new roman"/>
        </w:rPr>
        <w:t>11</w:t>
      </w:r>
    </w:p>
    <w:p>
      <w:pPr>
        <w:spacing w:before="0" w:after="140"/>
        <w:ind w:left="400"/>
        <w:jc w:val="left"/>
      </w:pPr>
      <w:r>
        <w:rPr>
          <w:rFonts w:ascii="times new roman" w:eastAsia="times new roman" w:hAnsi="times new roman" w:cs="times new roman"/>
        </w:rPr>
        <w:t>1.3 Organization of the Report</w:t>
      </w:r>
      <w:r>
        <w:rPr>
          <w:rFonts w:ascii="lucida console" w:eastAsia="lucida console" w:hAnsi="lucida console" w:cs="lucida console"/>
        </w:rPr>
        <w:t>...............................</w:t>
      </w:r>
      <w:r>
        <w:rPr>
          <w:rFonts w:ascii="times new roman" w:eastAsia="times new roman" w:hAnsi="times new roman" w:cs="times new roman"/>
        </w:rPr>
        <w:t>12</w:t>
      </w:r>
    </w:p>
    <w:p>
      <w:pPr>
        <w:spacing w:before="0" w:after="140"/>
        <w:jc w:val="left"/>
      </w:pPr>
      <w:r>
        <w:rPr>
          <w:rFonts w:ascii="times new roman" w:eastAsia="times new roman" w:hAnsi="times new roman" w:cs="times new roman"/>
        </w:rPr>
        <w:t>Chapter 2Research Literature Review</w:t>
      </w:r>
      <w:r>
        <w:rPr>
          <w:rFonts w:ascii="lucida console" w:eastAsia="lucida console" w:hAnsi="lucida console" w:cs="lucida console"/>
        </w:rPr>
        <w:t>...........................</w:t>
      </w:r>
      <w:r>
        <w:rPr>
          <w:rFonts w:ascii="times new roman" w:eastAsia="times new roman" w:hAnsi="times new roman" w:cs="times new roman"/>
        </w:rPr>
        <w:t>13</w:t>
      </w:r>
    </w:p>
    <w:p>
      <w:pPr>
        <w:spacing w:before="0" w:after="140"/>
        <w:ind w:left="400"/>
        <w:jc w:val="left"/>
      </w:pPr>
      <w:r>
        <w:rPr>
          <w:rFonts w:ascii="times new roman" w:eastAsia="times new roman" w:hAnsi="times new roman" w:cs="times new roman"/>
        </w:rPr>
        <w:t>2.1 Existing Research and Limitations</w:t>
      </w:r>
      <w:r>
        <w:rPr>
          <w:rFonts w:ascii="lucida console" w:eastAsia="lucida console" w:hAnsi="lucida console" w:cs="lucida console"/>
        </w:rPr>
        <w:t>.........................</w:t>
      </w:r>
      <w:r>
        <w:rPr>
          <w:rFonts w:ascii="times new roman" w:eastAsia="times new roman" w:hAnsi="times new roman" w:cs="times new roman"/>
        </w:rPr>
        <w:t>13</w:t>
      </w:r>
    </w:p>
    <w:p>
      <w:pPr>
        <w:spacing w:before="0" w:after="140"/>
        <w:jc w:val="left"/>
      </w:pPr>
      <w:r>
        <w:rPr>
          <w:rFonts w:ascii="times new roman" w:eastAsia="times new roman" w:hAnsi="times new roman" w:cs="times new roman"/>
        </w:rPr>
        <w:t>Chapter 3Methodology</w:t>
      </w:r>
      <w:r>
        <w:rPr>
          <w:rFonts w:ascii="lucida console" w:eastAsia="lucida console" w:hAnsi="lucida console" w:cs="lucida console"/>
        </w:rPr>
        <w:t>.......................................</w:t>
      </w:r>
      <w:r>
        <w:rPr>
          <w:rFonts w:ascii="times new roman" w:eastAsia="times new roman" w:hAnsi="times new roman" w:cs="times new roman"/>
        </w:rPr>
        <w:t>15</w:t>
      </w:r>
    </w:p>
    <w:p>
      <w:pPr>
        <w:spacing w:before="0" w:after="140"/>
        <w:ind w:left="400"/>
        <w:jc w:val="left"/>
      </w:pPr>
      <w:r>
        <w:rPr>
          <w:rFonts w:ascii="times new roman" w:eastAsia="times new roman" w:hAnsi="times new roman" w:cs="times new roman"/>
        </w:rPr>
        <w:t>3.1 System Design</w:t>
      </w:r>
      <w:r>
        <w:rPr>
          <w:rFonts w:ascii="lucida console" w:eastAsia="lucida console" w:hAnsi="lucida console" w:cs="lucida console"/>
        </w:rPr>
        <w:t>.........................................</w:t>
      </w:r>
      <w:r>
        <w:rPr>
          <w:rFonts w:ascii="times new roman" w:eastAsia="times new roman" w:hAnsi="times new roman" w:cs="times new roman"/>
        </w:rPr>
        <w:t>15</w:t>
      </w:r>
    </w:p>
    <w:p>
      <w:pPr>
        <w:spacing w:before="0" w:after="140"/>
        <w:ind w:left="400"/>
        <w:jc w:val="left"/>
      </w:pPr>
      <w:r>
        <w:rPr>
          <w:rFonts w:ascii="times new roman" w:eastAsia="times new roman" w:hAnsi="times new roman" w:cs="times new roman"/>
        </w:rPr>
        <w:t>3.2 Hardware and/or Software Components</w:t>
      </w:r>
      <w:r>
        <w:rPr>
          <w:rFonts w:ascii="lucida console" w:eastAsia="lucida console" w:hAnsi="lucida console" w:cs="lucida console"/>
        </w:rPr>
        <w:t>....................</w:t>
      </w:r>
      <w:r>
        <w:rPr>
          <w:rFonts w:ascii="times new roman" w:eastAsia="times new roman" w:hAnsi="times new roman" w:cs="times new roman"/>
        </w:rPr>
        <w:t>15</w:t>
      </w:r>
    </w:p>
    <w:p>
      <w:pPr>
        <w:spacing w:before="0" w:after="140"/>
        <w:ind w:left="400"/>
        <w:jc w:val="left"/>
      </w:pPr>
      <w:r>
        <w:rPr>
          <w:rFonts w:ascii="times new roman" w:eastAsia="times new roman" w:hAnsi="times new roman" w:cs="times new roman"/>
        </w:rPr>
        <w:t>3.3 Hardware and/or Software Implementation</w:t>
      </w:r>
      <w:r>
        <w:rPr>
          <w:rFonts w:ascii="lucida console" w:eastAsia="lucida console" w:hAnsi="lucida console" w:cs="lucida console"/>
        </w:rPr>
        <w:t>.................</w:t>
      </w:r>
      <w:r>
        <w:rPr>
          <w:rFonts w:ascii="times new roman" w:eastAsia="times new roman" w:hAnsi="times new roman" w:cs="times new roman"/>
        </w:rPr>
        <w:t>16</w:t>
      </w:r>
    </w:p>
    <w:p>
      <w:pPr>
        <w:spacing w:before="0" w:after="140"/>
        <w:jc w:val="left"/>
      </w:pPr>
      <w:r>
        <w:rPr>
          <w:rFonts w:ascii="times new roman" w:eastAsia="times new roman" w:hAnsi="times new roman" w:cs="times new roman"/>
        </w:rPr>
        <w:t>Chapter 4: Investigation/Experiment, Result, Analysis, and Discussion. 18</w:t>
      </w:r>
    </w:p>
    <w:p>
      <w:pPr>
        <w:spacing w:before="0" w:after="140"/>
        <w:ind w:left="400"/>
        <w:jc w:val="left"/>
      </w:pPr>
      <w:r>
        <w:rPr>
          <w:rFonts w:ascii="times new roman" w:eastAsia="times new roman" w:hAnsi="times new roman" w:cs="times new roman"/>
        </w:rPr>
        <w:t>4.1 Primary Result: Attack Success Rate by Attack Type</w:t>
      </w:r>
      <w:r>
        <w:rPr>
          <w:rFonts w:ascii="lucida console" w:eastAsia="lucida console" w:hAnsi="lucida console" w:cs="lucida console"/>
        </w:rPr>
        <w:t>..........</w:t>
      </w:r>
      <w:r>
        <w:rPr>
          <w:rFonts w:ascii="times new roman" w:eastAsia="times new roman" w:hAnsi="times new roman" w:cs="times new roman"/>
        </w:rPr>
        <w:t>18</w:t>
      </w:r>
    </w:p>
    <w:p>
      <w:pPr>
        <w:spacing w:before="0" w:after="140"/>
        <w:ind w:left="400"/>
        <w:jc w:val="left"/>
      </w:pPr>
      <w:r>
        <w:rPr>
          <w:rFonts w:ascii="times new roman" w:eastAsia="times new roman" w:hAnsi="times new roman" w:cs="times new roman"/>
        </w:rPr>
        <w:t>4.2 Validation Study 1: Statistical Rigor</w:t>
      </w:r>
      <w:r>
        <w:rPr>
          <w:rFonts w:ascii="lucida console" w:eastAsia="lucida console" w:hAnsi="lucida console" w:cs="lucida console"/>
        </w:rPr>
        <w:t>........................</w:t>
      </w:r>
      <w:r>
        <w:rPr>
          <w:rFonts w:ascii="times new roman" w:eastAsia="times new roman" w:hAnsi="times new roman" w:cs="times new roman"/>
        </w:rPr>
        <w:t>19</w:t>
      </w:r>
    </w:p>
    <w:p>
      <w:pPr>
        <w:spacing w:before="0" w:after="140"/>
        <w:ind w:left="400"/>
        <w:jc w:val="left"/>
      </w:pPr>
      <w:r>
        <w:rPr>
          <w:rFonts w:ascii="times new roman" w:eastAsia="times new roman" w:hAnsi="times new roman" w:cs="times new roman"/>
        </w:rPr>
        <w:t>4.3 Validation Study 2: Sample-Size Sensitivity</w:t>
      </w:r>
      <w:r>
        <w:rPr>
          <w:rFonts w:ascii="lucida console" w:eastAsia="lucida console" w:hAnsi="lucida console" w:cs="lucida console"/>
        </w:rPr>
        <w:t>..................</w:t>
      </w:r>
      <w:r>
        <w:rPr>
          <w:rFonts w:ascii="times new roman" w:eastAsia="times new roman" w:hAnsi="times new roman" w:cs="times new roman"/>
        </w:rPr>
        <w:t>19</w:t>
      </w:r>
    </w:p>
    <w:p>
      <w:pPr>
        <w:spacing w:before="0" w:after="140"/>
        <w:ind w:left="400"/>
        <w:jc w:val="left"/>
      </w:pPr>
      <w:r>
        <w:rPr>
          <w:rFonts w:ascii="times new roman" w:eastAsia="times new roman" w:hAnsi="times new roman" w:cs="times new roman"/>
        </w:rPr>
        <w:t>4.4 Validation Study 3: Transport-Based Utility Cross-Check</w:t>
      </w:r>
      <w:r>
        <w:rPr>
          <w:rFonts w:ascii="lucida console" w:eastAsia="lucida console" w:hAnsi="lucida console" w:cs="lucida console"/>
        </w:rPr>
        <w:t>......</w:t>
      </w:r>
      <w:r>
        <w:rPr>
          <w:rFonts w:ascii="times new roman" w:eastAsia="times new roman" w:hAnsi="times new roman" w:cs="times new roman"/>
        </w:rPr>
        <w:t>20</w:t>
      </w:r>
    </w:p>
    <w:p>
      <w:pPr>
        <w:spacing w:before="0" w:after="140"/>
        <w:ind w:left="400"/>
        <w:jc w:val="left"/>
      </w:pPr>
      <w:r>
        <w:rPr>
          <w:rFonts w:ascii="times new roman" w:eastAsia="times new roman" w:hAnsi="times new roman" w:cs="times new roman"/>
        </w:rPr>
        <w:t>4.5 Validation Study 4: Preliminary Second-Model Pilot</w:t>
      </w:r>
      <w:r>
        <w:rPr>
          <w:rFonts w:ascii="lucida console" w:eastAsia="lucida console" w:hAnsi="lucida console" w:cs="lucida console"/>
        </w:rPr>
        <w:t>..........</w:t>
      </w:r>
      <w:r>
        <w:rPr>
          <w:rFonts w:ascii="times new roman" w:eastAsia="times new roman" w:hAnsi="times new roman" w:cs="times new roman"/>
        </w:rPr>
        <w:t>20</w:t>
      </w:r>
    </w:p>
    <w:p>
      <w:pPr>
        <w:spacing w:before="0" w:after="140"/>
        <w:ind w:left="400"/>
        <w:jc w:val="left"/>
      </w:pPr>
      <w:r>
        <w:rPr>
          <w:rFonts w:ascii="times new roman" w:eastAsia="times new roman" w:hAnsi="times new roman" w:cs="times new roman"/>
        </w:rPr>
        <w:t>4.6 Discussion</w:t>
      </w:r>
      <w:r>
        <w:rPr>
          <w:rFonts w:ascii="lucida console" w:eastAsia="lucida console" w:hAnsi="lucida console" w:cs="lucida console"/>
        </w:rPr>
        <w:t>.............................................</w:t>
      </w:r>
      <w:r>
        <w:rPr>
          <w:rFonts w:ascii="times new roman" w:eastAsia="times new roman" w:hAnsi="times new roman" w:cs="times new roman"/>
        </w:rPr>
        <w:t>20</w:t>
      </w:r>
    </w:p>
    <w:p>
      <w:pPr>
        <w:spacing w:before="0" w:after="140"/>
        <w:jc w:val="left"/>
      </w:pPr>
      <w:r>
        <w:rPr>
          <w:rFonts w:ascii="times new roman" w:eastAsia="times new roman" w:hAnsi="times new roman" w:cs="times new roman"/>
        </w:rPr>
        <w:t>Chapter 5Impacts of the Project</w:t>
      </w:r>
      <w:r>
        <w:rPr>
          <w:rFonts w:ascii="lucida console" w:eastAsia="lucida console" w:hAnsi="lucida console" w:cs="lucida console"/>
        </w:rPr>
        <w:t>................................</w:t>
      </w:r>
      <w:r>
        <w:rPr>
          <w:rFonts w:ascii="times new roman" w:eastAsia="times new roman" w:hAnsi="times new roman" w:cs="times new roman"/>
        </w:rPr>
        <w:t>22</w:t>
      </w:r>
    </w:p>
    <w:p>
      <w:pPr>
        <w:spacing w:before="0" w:after="140"/>
        <w:ind w:left="400"/>
        <w:jc w:val="left"/>
      </w:pPr>
      <w:r>
        <w:rPr>
          <w:rFonts w:ascii="times new roman" w:eastAsia="times new roman" w:hAnsi="times new roman" w:cs="times new roman"/>
        </w:rPr>
        <w:t>5.1 Impact on societal, health, safety, legal and cultural issues</w:t>
      </w:r>
      <w:r>
        <w:rPr>
          <w:rFonts w:ascii="lucida console" w:eastAsia="lucida console" w:hAnsi="lucida console" w:cs="lucida console"/>
        </w:rPr>
        <w:t>....</w:t>
      </w:r>
      <w:r>
        <w:rPr>
          <w:rFonts w:ascii="times new roman" w:eastAsia="times new roman" w:hAnsi="times new roman" w:cs="times new roman"/>
        </w:rPr>
        <w:t>22</w:t>
      </w:r>
    </w:p>
    <w:p>
      <w:pPr>
        <w:spacing w:before="0" w:after="140"/>
        <w:ind w:left="400"/>
        <w:jc w:val="left"/>
      </w:pPr>
      <w:r>
        <w:rPr>
          <w:rFonts w:ascii="times new roman" w:eastAsia="times new roman" w:hAnsi="times new roman" w:cs="times new roman"/>
        </w:rPr>
        <w:t>5.2 Impact on environment and sustainability</w:t>
      </w:r>
      <w:r>
        <w:rPr>
          <w:rFonts w:ascii="lucida console" w:eastAsia="lucida console" w:hAnsi="lucida console" w:cs="lucida console"/>
        </w:rPr>
        <w:t>...................</w:t>
      </w:r>
      <w:r>
        <w:rPr>
          <w:rFonts w:ascii="times new roman" w:eastAsia="times new roman" w:hAnsi="times new roman" w:cs="times new roman"/>
        </w:rPr>
        <w:t>22</w:t>
      </w:r>
    </w:p>
    <w:p>
      <w:pPr>
        <w:spacing w:before="0" w:after="140"/>
        <w:jc w:val="left"/>
      </w:pPr>
      <w:r>
        <w:rPr>
          <w:rFonts w:ascii="times new roman" w:eastAsia="times new roman" w:hAnsi="times new roman" w:cs="times new roman"/>
        </w:rPr>
        <w:t>Chapter 6Project Planning and Budget</w:t>
      </w:r>
      <w:r>
        <w:rPr>
          <w:rFonts w:ascii="lucida console" w:eastAsia="lucida console" w:hAnsi="lucida console" w:cs="lucida console"/>
        </w:rPr>
        <w:t>..........................</w:t>
      </w:r>
      <w:r>
        <w:rPr>
          <w:rFonts w:ascii="times new roman" w:eastAsia="times new roman" w:hAnsi="times new roman" w:cs="times new roman"/>
        </w:rPr>
        <w:t>23</w:t>
      </w:r>
    </w:p>
    <w:p>
      <w:pPr>
        <w:spacing w:before="0" w:after="140"/>
        <w:jc w:val="left"/>
      </w:pPr>
      <w:r>
        <w:rPr>
          <w:rFonts w:ascii="times new roman" w:eastAsia="times new roman" w:hAnsi="times new roman" w:cs="times new roman"/>
        </w:rPr>
        <w:t>Chapter 7Complex Engineering Problems and Activities</w:t>
      </w:r>
      <w:r>
        <w:rPr>
          <w:rFonts w:ascii="lucida console" w:eastAsia="lucida console" w:hAnsi="lucida console" w:cs="lucida console"/>
        </w:rPr>
        <w:t>............</w:t>
      </w:r>
      <w:r>
        <w:rPr>
          <w:rFonts w:ascii="times new roman" w:eastAsia="times new roman" w:hAnsi="times new roman" w:cs="times new roman"/>
        </w:rPr>
        <w:t>25</w:t>
      </w:r>
    </w:p>
    <w:p>
      <w:pPr>
        <w:spacing w:before="0" w:after="140"/>
        <w:ind w:left="400"/>
        <w:jc w:val="left"/>
      </w:pPr>
      <w:r>
        <w:rPr>
          <w:rFonts w:ascii="times new roman" w:eastAsia="times new roman" w:hAnsi="times new roman" w:cs="times new roman"/>
        </w:rPr>
        <w:t>7.1 Complex Engineering Problems (CEP)</w:t>
      </w:r>
      <w:r>
        <w:rPr>
          <w:rFonts w:ascii="lucida console" w:eastAsia="lucida console" w:hAnsi="lucida console" w:cs="lucida console"/>
        </w:rPr>
        <w:t>......................</w:t>
      </w:r>
      <w:r>
        <w:rPr>
          <w:rFonts w:ascii="times new roman" w:eastAsia="times new roman" w:hAnsi="times new roman" w:cs="times new roman"/>
        </w:rPr>
        <w:t>25</w:t>
      </w:r>
    </w:p>
    <w:p>
      <w:pPr>
        <w:spacing w:before="0" w:after="140"/>
        <w:ind w:left="400"/>
        <w:jc w:val="left"/>
      </w:pPr>
      <w:r>
        <w:rPr>
          <w:rFonts w:ascii="times new roman" w:eastAsia="times new roman" w:hAnsi="times new roman" w:cs="times new roman"/>
        </w:rPr>
        <w:t>7.2 Complex Engineering Activities (CEA)</w:t>
      </w:r>
      <w:r>
        <w:rPr>
          <w:rFonts w:ascii="lucida console" w:eastAsia="lucida console" w:hAnsi="lucida console" w:cs="lucida console"/>
        </w:rPr>
        <w:t>......................</w:t>
      </w:r>
      <w:r>
        <w:rPr>
          <w:rFonts w:ascii="times new roman" w:eastAsia="times new roman" w:hAnsi="times new roman" w:cs="times new roman"/>
        </w:rPr>
        <w:t>25</w:t>
      </w:r>
    </w:p>
    <w:p>
      <w:pPr>
        <w:spacing w:before="0" w:after="140"/>
        <w:jc w:val="left"/>
      </w:pPr>
      <w:r>
        <w:rPr>
          <w:rFonts w:ascii="times new roman" w:eastAsia="times new roman" w:hAnsi="times new roman" w:cs="times new roman"/>
        </w:rPr>
        <w:t>Chapter 8Conclusions</w:t>
      </w:r>
      <w:r>
        <w:rPr>
          <w:rFonts w:ascii="lucida console" w:eastAsia="lucida console" w:hAnsi="lucida console" w:cs="lucida console"/>
        </w:rPr>
        <w:t>........................................</w:t>
      </w:r>
      <w:r>
        <w:rPr>
          <w:rFonts w:ascii="times new roman" w:eastAsia="times new roman" w:hAnsi="times new roman" w:cs="times new roman"/>
        </w:rPr>
        <w:t>27</w:t>
      </w:r>
    </w:p>
    <w:p>
      <w:pPr>
        <w:spacing w:before="0" w:after="140"/>
        <w:ind w:left="400"/>
        <w:jc w:val="left"/>
      </w:pPr>
      <w:r>
        <w:rPr>
          <w:rFonts w:ascii="times new roman" w:eastAsia="times new roman" w:hAnsi="times new roman" w:cs="times new roman"/>
        </w:rPr>
        <w:t>8.1 Summary</w:t>
      </w:r>
      <w:r>
        <w:rPr>
          <w:rFonts w:ascii="lucida console" w:eastAsia="lucida console" w:hAnsi="lucida console" w:cs="lucida console"/>
        </w:rPr>
        <w:t>..............................................</w:t>
      </w:r>
      <w:r>
        <w:rPr>
          <w:rFonts w:ascii="times new roman" w:eastAsia="times new roman" w:hAnsi="times new roman" w:cs="times new roman"/>
        </w:rPr>
        <w:t>27</w:t>
      </w:r>
    </w:p>
    <w:p>
      <w:pPr>
        <w:spacing w:before="0" w:after="140"/>
        <w:ind w:left="400"/>
        <w:jc w:val="left"/>
      </w:pPr>
      <w:r>
        <w:rPr>
          <w:rFonts w:ascii="times new roman" w:eastAsia="times new roman" w:hAnsi="times new roman" w:cs="times new roman"/>
        </w:rPr>
        <w:t>8.2 Limitations</w:t>
      </w:r>
      <w:r>
        <w:rPr>
          <w:rFonts w:ascii="lucida console" w:eastAsia="lucida console" w:hAnsi="lucida console" w:cs="lucida console"/>
        </w:rPr>
        <w:t>............................................</w:t>
      </w:r>
      <w:r>
        <w:rPr>
          <w:rFonts w:ascii="times new roman" w:eastAsia="times new roman" w:hAnsi="times new roman" w:cs="times new roman"/>
        </w:rPr>
        <w:t>27</w:t>
      </w:r>
    </w:p>
    <w:p>
      <w:pPr>
        <w:spacing w:before="0" w:after="140"/>
        <w:ind w:left="400"/>
        <w:jc w:val="left"/>
      </w:pPr>
      <w:r>
        <w:rPr>
          <w:rFonts w:ascii="times new roman" w:eastAsia="times new roman" w:hAnsi="times new roman" w:cs="times new roman"/>
        </w:rPr>
        <w:t>8.3 Future Improvement</w:t>
      </w:r>
      <w:r>
        <w:rPr>
          <w:rFonts w:ascii="lucida console" w:eastAsia="lucida console" w:hAnsi="lucida console" w:cs="lucida console"/>
        </w:rPr>
        <w:t>....................................</w:t>
      </w:r>
      <w:r>
        <w:rPr>
          <w:rFonts w:ascii="times new roman" w:eastAsia="times new roman" w:hAnsi="times new roman" w:cs="times new roman"/>
        </w:rPr>
        <w:t>27</w:t>
      </w:r>
    </w:p>
    <w:p>
      <w:pPr>
        <w:spacing w:before="0" w:after="140"/>
        <w:jc w:val="left"/>
      </w:pPr>
      <w:r>
        <w:rPr>
          <w:rFonts w:ascii="times new roman" w:eastAsia="times new roman" w:hAnsi="times new roman" w:cs="times new roman"/>
        </w:rPr>
        <w:t>References</w:t>
      </w:r>
      <w:r>
        <w:rPr>
          <w:rFonts w:ascii="lucida console" w:eastAsia="lucida console" w:hAnsi="lucida console" w:cs="lucida console"/>
        </w:rPr>
        <w:t>..................................................</w:t>
      </w:r>
      <w:r>
        <w:rPr>
          <w:rFonts w:ascii="times new roman" w:eastAsia="times new roman" w:hAnsi="times new roman" w:cs="times new roman"/>
        </w:rPr>
        <w:t>29</w:t>
      </w:r>
    </w:p>
    <w:p>
      <w:pPr>
        <w:spacing w:before="120" w:after="120"/>
        <w:jc w:val="left"/>
      </w:pPr>
    </w:p>
    <w:p>
      <w:pPr>
        <w:spacing w:before="0" w:after="300" w:line="360" w:lineRule="auto"/>
        <w:jc w:val="center"/>
        <w:rPr>
          <w:sz w:val="28"/>
          <w:szCs w:val="28"/>
        </w:rPr>
      </w:pPr>
      <w:r>
        <w:rPr>
          <w:rFonts w:ascii="times new roman" w:eastAsia="times new roman" w:hAnsi="times new roman" w:cs="times new roman"/>
          <w:b/>
          <w:bCs/>
          <w:sz w:val="28"/>
          <w:szCs w:val="28"/>
        </w:rPr>
        <w:t>LIST OF FIGURES</w:t>
      </w:r>
    </w:p>
    <w:p>
      <w:pPr>
        <w:spacing w:before="0" w:after="120" w:line="360" w:lineRule="auto"/>
        <w:jc w:val="both"/>
      </w:pPr>
      <w:r>
        <w:rPr>
          <w:rFonts w:ascii="times new roman" w:eastAsia="times new roman" w:hAnsi="times new roman" w:cs="times new roman"/>
        </w:rPr>
        <w:t>Figure 1. Evaluation pipeline: payload generation, guardrail screening, target-model response, LLM-as-judge grading, and statistical analysis.</w:t>
      </w:r>
    </w:p>
    <w:p>
      <w:pPr>
        <w:spacing w:before="0" w:after="120" w:line="360" w:lineRule="auto"/>
        <w:jc w:val="both"/>
      </w:pPr>
      <w:r>
        <w:rPr>
          <w:rFonts w:ascii="times new roman" w:eastAsia="times new roman" w:hAnsi="times new roman" w:cs="times new roman"/>
        </w:rPr>
        <w:t>Figure 2. Attack success rate (ASR) by attack type, with and without the PromptGuard defense.</w:t>
      </w:r>
    </w:p>
    <w:p>
      <w:pPr>
        <w:spacing w:before="0" w:after="120" w:line="360" w:lineRule="auto"/>
        <w:jc w:val="both"/>
      </w:pPr>
      <w:r>
        <w:rPr>
          <w:rFonts w:ascii="times new roman" w:eastAsia="times new roman" w:hAnsi="times new roman" w:cs="times new roman"/>
        </w:rPr>
        <w:t>Figure 3. Project Gantt chart.</w:t>
      </w:r>
    </w:p>
    <w:p>
      <w:pPr>
        <w:spacing w:before="120" w:after="120"/>
        <w:jc w:val="left"/>
      </w:pPr>
    </w:p>
    <w:p>
      <w:pPr>
        <w:spacing w:before="0" w:after="300" w:line="360" w:lineRule="auto"/>
        <w:jc w:val="center"/>
        <w:rPr>
          <w:sz w:val="28"/>
          <w:szCs w:val="28"/>
        </w:rPr>
      </w:pPr>
      <w:r>
        <w:rPr>
          <w:rFonts w:ascii="times new roman" w:eastAsia="times new roman" w:hAnsi="times new roman" w:cs="times new roman"/>
          <w:b/>
          <w:bCs/>
          <w:sz w:val="28"/>
          <w:szCs w:val="28"/>
        </w:rPr>
        <w:t>LIST OF TABLES</w:t>
      </w:r>
    </w:p>
    <w:p>
      <w:pPr>
        <w:spacing w:before="0" w:after="120" w:line="360" w:lineRule="auto"/>
        <w:jc w:val="both"/>
      </w:pPr>
      <w:r>
        <w:rPr>
          <w:rFonts w:ascii="times new roman" w:eastAsia="times new roman" w:hAnsi="times new roman" w:cs="times new roman"/>
        </w:rPr>
        <w:t>TABLE I. SOFTWARE/HARDWARE TOOLS TABLE</w:t>
      </w:r>
    </w:p>
    <w:p>
      <w:pPr>
        <w:spacing w:before="0" w:after="120" w:line="360" w:lineRule="auto"/>
        <w:jc w:val="both"/>
      </w:pPr>
      <w:r>
        <w:rPr>
          <w:rFonts w:ascii="times new roman" w:eastAsia="times new roman" w:hAnsi="times new roman" w:cs="times new roman"/>
        </w:rPr>
        <w:t>TABLE II. ATTACK SUCCESS RATE BY ATTACK TYPE, WITH BONFERRONI-CORRECTED SIGNIFICANCE</w:t>
      </w:r>
    </w:p>
    <w:p>
      <w:pPr>
        <w:spacing w:before="0" w:after="120" w:line="360" w:lineRule="auto"/>
        <w:jc w:val="both"/>
      </w:pPr>
      <w:r>
        <w:rPr>
          <w:rFonts w:ascii="times new roman" w:eastAsia="times new roman" w:hAnsi="times new roman" w:cs="times new roman"/>
        </w:rPr>
        <w:t>TABLE III. SECOND-MODEL PILOT (MISTRAL-7B-INSTRUCT)</w:t>
      </w:r>
    </w:p>
    <w:p>
      <w:pPr>
        <w:spacing w:before="0" w:after="120" w:line="360" w:lineRule="auto"/>
        <w:jc w:val="both"/>
      </w:pPr>
      <w:r>
        <w:rPr>
          <w:rFonts w:ascii="times new roman" w:eastAsia="times new roman" w:hAnsi="times new roman" w:cs="times new roman"/>
        </w:rPr>
        <w:t>TABLE IV. PROJECT BUDGET</w:t>
      </w:r>
    </w:p>
    <w:p>
      <w:pPr>
        <w:spacing w:before="0" w:after="120" w:line="360" w:lineRule="auto"/>
        <w:jc w:val="both"/>
      </w:pPr>
      <w:r>
        <w:rPr>
          <w:rFonts w:ascii="times new roman" w:eastAsia="times new roman" w:hAnsi="times new roman" w:cs="times new roman"/>
        </w:rPr>
        <w:t>TABLE V. COMPLEX ENGINEERING PROBLEM (CEP) ATTRIBUTES</w:t>
      </w:r>
    </w:p>
    <w:p>
      <w:pPr>
        <w:spacing w:before="0" w:after="120" w:line="360" w:lineRule="auto"/>
        <w:jc w:val="both"/>
      </w:pPr>
      <w:r>
        <w:rPr>
          <w:rFonts w:ascii="times new roman" w:eastAsia="times new roman" w:hAnsi="times new roman" w:cs="times new roman"/>
        </w:rPr>
        <w:t>TABLE VI. COMPLEX ENGINEERING ACTIVITIES (CEA) ATTRIBUTES</w:t>
      </w:r>
    </w:p>
    <w:p>
      <w:pPr>
        <w:spacing w:before="120" w:after="120"/>
        <w:jc w:val="left"/>
      </w:pP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1 Introduction</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1.1 Background and Motivation</w:t>
      </w:r>
    </w:p>
    <w:p>
      <w:pPr>
        <w:spacing w:before="0" w:after="200" w:line="360" w:lineRule="auto"/>
        <w:jc w:val="both"/>
      </w:pPr>
      <w:r>
        <w:rPr>
          <w:rFonts w:ascii="times new roman" w:eastAsia="times new roman" w:hAnsi="times new roman" w:cs="times new roman"/>
        </w:rPr>
        <w:t>Large language models (LLMs) are increasingly deployed as components of larger software systems that read external content — web pages, documents, retrieved passages, tool outputs — and act on it. This creates an attack surface known as prompt injection, in which text hidden inside otherwise ordinary content instructs the model to ignore its original task and follow the attacker's instructions instead. Because prompt injection exploits the same channel that carries legitimate instructions, it cannot be patched away the way a traditional software vulnerability can, and it has become one of the most discussed risks in applied LLM security.</w:t>
      </w:r>
    </w:p>
    <w:p>
      <w:pPr>
        <w:spacing w:before="0" w:after="200" w:line="360" w:lineRule="auto"/>
        <w:jc w:val="both"/>
      </w:pPr>
      <w:r>
        <w:rPr>
          <w:rFonts w:ascii="times new roman" w:eastAsia="times new roman" w:hAnsi="times new roman" w:cs="times new roman"/>
        </w:rPr>
        <w:t>The most common mitigation in production systems is a guardrail: a small, fast classifier placed in front of the LLM that screens incoming text and blocks or flags anything that appears to be an injected instruction. Guardrail classifiers such as ProtectAI's deberta-v3-base-prompt-injection-v2 and deepset's deberta-v3-base-injection are downloaded hundreds of thousands of times a month and are commonly treated as a meaningful layer of defense. However, most publicly reported evaluations of these classifiers measure performance on a static, non-adaptive benchmark. A classifier can score well on such a benchmark and still fail against an adversary who is aware of the classifier and adapts the attack text designed to evade it, or who splits a malicious instruction into fragments that individually look benign.</w:t>
      </w:r>
    </w:p>
    <w:p>
      <w:pPr>
        <w:spacing w:before="0" w:after="200" w:line="360" w:lineRule="auto"/>
        <w:jc w:val="both"/>
      </w:pPr>
      <w:r>
        <w:rPr>
          <w:rFonts w:ascii="times new roman" w:eastAsia="times new roman" w:hAnsi="times new roman" w:cs="times new roman"/>
        </w:rPr>
        <w:t>This project is motivated by the gap between reported classifier accuracy and real protective value under shifting conditions, and by the observation that many guardrail evaluations in the literature fail to correct for multiple statistical comparisons, which can make a defense appear effective even when the apparent improvement is within the range expected by chance alone.</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1.2 Purpose and Goal of the Project</w:t>
      </w:r>
    </w:p>
    <w:p>
      <w:pPr>
        <w:spacing w:before="0" w:after="200" w:line="360" w:lineRule="auto"/>
        <w:jc w:val="both"/>
      </w:pPr>
      <w:r>
        <w:rPr>
          <w:rFonts w:ascii="times new roman" w:eastAsia="times new roman" w:hAnsi="times new roman" w:cs="times new roman"/>
        </w:rPr>
        <w:t>The goal of this project is to measure, with proper statistical thoroughness, whether two publicly available prompt-injection guardrail classifiers provide a meaningful reduction in attack success rate against a target LLM, across a range of attack strategies of increasing sophistication. The particular contributions of the project are:</w:t>
      </w:r>
    </w:p>
    <w:p>
      <w:pPr>
        <w:numPr>
          <w:ilvl w:val="0"/>
          <w:numId w:val="1"/>
        </w:numPr>
        <w:tabs>
          <w:tab w:val="left" w:pos="460"/>
        </w:tabs>
        <w:spacing w:before="240" w:after="120"/>
        <w:ind w:left="720" w:hanging="242"/>
        <w:jc w:val="left"/>
      </w:pPr>
      <w:r>
        <w:rPr>
          <w:rFonts w:ascii="times new roman" w:eastAsia="times new roman" w:hAnsi="times new roman" w:cs="times new roman"/>
        </w:rPr>
        <w:t>A Fragmentation Attack that splits a malicious instruction into pieces and screens each piece independently before assembly, testing the common deployment pattern in which a guardrail screens retrieved documents individually, rather than the assembled context.</w:t>
      </w:r>
    </w:p>
    <w:p>
      <w:pPr>
        <w:numPr>
          <w:ilvl w:val="0"/>
          <w:numId w:val="1"/>
        </w:numPr>
        <w:tabs>
          <w:tab w:val="left" w:pos="460"/>
        </w:tabs>
        <w:spacing w:before="120" w:after="120"/>
        <w:ind w:left="720" w:hanging="242"/>
        <w:jc w:val="left"/>
      </w:pPr>
      <w:r>
        <w:rPr>
          <w:rFonts w:ascii="times new roman" w:eastAsia="times new roman" w:hAnsi="times new roman" w:cs="times new roman"/>
        </w:rPr>
        <w:t>A DSPy-Optimized Adaptive Attack that compiles an automated evasion strategy against a target classifier using the DSPy framework, trained on a held-out set disjoint from the evaluation set, rather than relying on a manually written rewrite strategy.</w:t>
      </w:r>
    </w:p>
    <w:p>
      <w:pPr>
        <w:numPr>
          <w:ilvl w:val="0"/>
          <w:numId w:val="1"/>
        </w:numPr>
        <w:tabs>
          <w:tab w:val="left" w:pos="460"/>
        </w:tabs>
        <w:spacing w:before="120" w:after="120"/>
        <w:ind w:left="720" w:hanging="242"/>
        <w:jc w:val="left"/>
      </w:pPr>
      <w:r>
        <w:rPr>
          <w:rFonts w:ascii="times new roman" w:eastAsia="times new roman" w:hAnsi="times new roman" w:cs="times new roman"/>
        </w:rPr>
        <w:t>A statistically strict evaluation protocol using Fisher's exact test, Wilson 95% confidence intervals, and Bonferroni correction across the four attack-type comparisons, together with utility measurement to check that the guardrail is not simply blocking everything.</w:t>
      </w:r>
    </w:p>
    <w:p>
      <w:pPr>
        <w:numPr>
          <w:ilvl w:val="0"/>
          <w:numId w:val="1"/>
        </w:numPr>
        <w:tabs>
          <w:tab w:val="left" w:pos="460"/>
        </w:tabs>
        <w:spacing w:before="120" w:after="240"/>
        <w:ind w:left="720" w:hanging="242"/>
        <w:jc w:val="left"/>
      </w:pPr>
      <w:r>
        <w:rPr>
          <w:rFonts w:ascii="times new roman" w:eastAsia="times new roman" w:hAnsi="times new roman" w:cs="times new roman"/>
        </w:rPr>
        <w:t>Four follow-up validation studies, statistical soundness, sample-size sensitivity, a transport-based utility cross-check, and a second-model pilot — to stress-test the robustness of the main findings.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1.3 Organization of the Report</w:t>
      </w:r>
    </w:p>
    <w:p>
      <w:pPr>
        <w:spacing w:before="0" w:after="200" w:line="360" w:lineRule="auto"/>
        <w:jc w:val="both"/>
      </w:pPr>
      <w:r>
        <w:rPr>
          <w:rFonts w:ascii="times new roman" w:eastAsia="times new roman" w:hAnsi="times new roman" w:cs="times new roman"/>
        </w:rPr>
        <w:t>The remainder of this report is organized as follows. Chapter 2 reviews recent literature on guardrail robustness and situates this project's contribution relative to that literature. Chapter 3 describes the system design, the target model and guardrails, and the software implementation of the evaluation pipeline. Chapter 4 presents the experiment, the resulting attack achievement rates, the statistical analysis, and the four validation studies, with discussion. Chapter 5 discusses the social, environmental, and sustainability impact of the project. Chapter 6 presents the project planning and budget. Chapter 7 discusses the complex engineering problems and activities the project addresses. Chapter 8 concludes the report with a summary, limitations, and directions for future work.</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2 Research Literature Review</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2.1 Existing Research and Limitations</w:t>
      </w:r>
    </w:p>
    <w:p>
      <w:pPr>
        <w:spacing w:before="0" w:after="200" w:line="360" w:lineRule="auto"/>
        <w:jc w:val="both"/>
      </w:pPr>
      <w:r>
        <w:rPr>
          <w:rFonts w:ascii="times new roman" w:eastAsia="times new roman" w:hAnsi="times new roman" w:cs="times new roman"/>
        </w:rPr>
        <w:t>A growing body of recent work has questioned how much protection external LLM guardrails actually provide once the deployment context departs from the clean, single-turn setting in which most guardrails are benchmarked. She et al. investigated how robust LLM-based guardrails are to retrieval-augmented generation (RAG) style contexts and found that inserting only benign retrieved documents into the guardrail's context altered input- and output-guardrail judgments in roughly 11% and 8% of cases, respectively, and that the two corrective strategies they tested produced only minor improvements [1]. This result is directly relevant to the present project's Fragmentation attack, since both studies probe the assumption that a guardrail's judgment on assembled or chunked context is stable.</w:t>
      </w:r>
    </w:p>
    <w:p>
      <w:pPr>
        <w:spacing w:before="0" w:after="200" w:line="360" w:lineRule="auto"/>
        <w:jc w:val="both"/>
      </w:pPr>
      <w:r>
        <w:rPr>
          <w:rFonts w:ascii="times new roman" w:eastAsia="times new roman" w:hAnsi="times new roman" w:cs="times new roman"/>
        </w:rPr>
        <w:t>Young benchmarked ten publicly available guardrail models spanning several vendors across 1,445 test prompts and 21 attack categories, and found that even the best-performing model suffered a very large drop in accuracy  from 91.0% to 33.8% when evaluated on novel, unseen attacks rather than on public benchmark prompts, concluding that generalization ability, rather than benchmark accuracy, should be the primary metric for guardrail evaluation [2]. This finding motivates the present project's use of a held-out, disjoint training set for the DSPy-optimized attack, so that the evaluation set genuinely reflects attacks the classifier has not been tuned against.</w:t>
      </w:r>
    </w:p>
    <w:p>
      <w:pPr>
        <w:spacing w:before="0" w:after="200" w:line="360" w:lineRule="auto"/>
        <w:jc w:val="both"/>
      </w:pPr>
      <w:r>
        <w:rPr>
          <w:rFonts w:ascii="times new roman" w:eastAsia="times new roman" w:hAnsi="times new roman" w:cs="times new roman"/>
        </w:rPr>
        <w:t>Kang et al. introduced a large, multi-domain, policy-grounded guardrail benchmark spanning eight safety-sensitive domains and including attack-enhanced instances intended to bypass guardrails, and reported that while newer guardrail models cover a wider range of safety risks, all nineteen guardrail models they benchmarked remained vulnerable to optimized adversarial attacks [3]. This supports the present project's central hypothesis that a guardrail's static accuracy figure is a poor proxy for its robustness against an adversary who can iterate against it.</w:t>
      </w:r>
    </w:p>
    <w:p>
      <w:pPr>
        <w:spacing w:before="0" w:after="200" w:line="360" w:lineRule="auto"/>
        <w:jc w:val="both"/>
      </w:pPr>
      <w:r>
        <w:rPr>
          <w:rFonts w:ascii="times new roman" w:eastAsia="times new roman" w:hAnsi="times new roman" w:cs="times new roman"/>
        </w:rPr>
        <w:t>Taken together, these studies point to three recurring shortcomings in the existing literature: (i) most guardrail evaluations report accuracy at non-adaptive conditions and do not test an adversary who adapts to the specific classifier being screened; (ii) statistical correction for multiple comparisons is rarely applied, so an apparently significant result for one attack type out of several tested can be an artifact of chance rather than a genuine defensive effect; and (iii) generalization over target models is seldom checked, so a result obtained on one target LLM is often reported as if it were a general property of the guardrail. This project addresses all three limitations directly: it evaluates the guardrails against both a Fragmentation attack and an automatically optimized adaptive attack, applies Bonferroni correction across four attack-type comparisons before declaring any result significant, and includes a second-model pilot to probe whether the observed behavior is specific to the primary target model.</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3 Methodology</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3.1 System Design</w:t>
      </w:r>
    </w:p>
    <w:p>
      <w:pPr>
        <w:spacing w:before="0" w:after="200" w:line="360" w:lineRule="auto"/>
        <w:jc w:val="both"/>
      </w:pPr>
      <w:r>
        <w:rPr>
          <w:rFonts w:ascii="times new roman" w:eastAsia="times new roman" w:hAnsi="times new roman" w:cs="times new roman"/>
        </w:rPr>
        <w:t>The evaluation pipeline follows five stages, illustrated in Figure 1: (i) payload generation, in which malicious and benign payloads are constructed for each of the four attack types; (ii) guardrail screening, in which each payload is passed through the guardrail classifier under test and either blocked or allowed through; (iii) target-model response, in which payloads that pass the guardrail are sent to the target LLM and its response is recorded; (iv) LLM-as-judge grading, in which an independent judge model scores whether the attack succeeded and, for benign payloads, whether task utility was preserved; and (v) statistical analysis, in which attack success metrics are compared across conditions using Fisher's exact test, Wilson confidence intervals, and Bonferroni correction.</w:t>
      </w:r>
    </w:p>
    <w:p>
      <w:pPr>
        <w:spacing w:before="120" w:after="300"/>
        <w:jc w:val="center"/>
        <w:rPr>
          <w:sz w:val="22"/>
          <w:szCs w:val="22"/>
        </w:rPr>
      </w:pPr>
      <w:r>
        <w:rPr>
          <w:rFonts w:ascii="times new roman" w:eastAsia="times new roman" w:hAnsi="times new roman" w:cs="times new roman"/>
          <w:b/>
          <w:bCs/>
          <w:sz w:val="22"/>
          <w:szCs w:val="22"/>
        </w:rPr>
        <w:t>Figure 1. Evaluation pipeline: payload generation, guardrail screening, target-model response, LLM-as-judge grading, and statistical analysis.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3.2 Hardware and/or Software Components</w:t>
      </w:r>
    </w:p>
    <w:p>
      <w:pPr>
        <w:spacing w:before="0" w:after="200" w:line="360" w:lineRule="auto"/>
        <w:jc w:val="both"/>
      </w:pPr>
      <w:r>
        <w:rPr>
          <w:rFonts w:ascii="times new roman" w:eastAsia="times new roman" w:hAnsi="times new roman" w:cs="times new roman"/>
        </w:rPr>
        <w:t>The target model is Qwen2.5-7B-Instruct, run in 4-bit quantized form to fit within the available GPU memory. Two guardrail classifiers were evaluated: ProtectAI's deberta-v3-base-prompt-injection-v2, a 184-million-parameter DeBERTa-v3 model fine-tuned for binary prompt-injection detection [4], and deepset's deberta-v3-base-injection, a comparable DeBERTa-v3-based classifier. The DSPy-Optimized Adaptive attack was implemented using the DSPy framework to compile an automated rewrite strategy against the guardrail classifier, trained on a held-out set of payloads disjoint from the 250-payload evaluation set. The full pipeline, including the Fragmentation attack, the DSPy-optimized attack, the LLM-as-judge grading step, and the statistical analysis, was developed and executed in a Kaggle GPU environment, since the 4-bit target model, the guardrail model, and the judge model together necessitate sustained GPU memory beyond what a typical laptop provides.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202"/>
        <w:gridCol w:w="2340"/>
        <w:gridCol w:w="2053"/>
        <w:gridCol w:w="273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Qwen2.5-7B-Instruct (4-bit)</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Target LLM whose responses are attacked</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Llama-3-8B, Mistral-7B</w:t>
            </w:r>
          </w:p>
        </w:tc>
        <w:tc>
          <w:tcPr>
            <w:tcW w:w="4530"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Open-weight, fits a single GPU at 4-bit, strong instruction following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protectai/deberta-v3-base-prompt-injection-v2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Primary guardrail classifier under test (“PromptGuard”)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deepset/deberta-v3-base-injection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Most widely deployed public prompt-injection classifier</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deepset/deberta-v3-base-injection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Secondary guardrail classifier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protectai deberta-v3-small variant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Second popular public classifier for cross-checking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DSPy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Compiles the automated adaptive-attack rewrite strategy</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Manual prompt engineering, TextAttack</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Enables held-out, data-driven optimization rather than hand-written rewrites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LLM-as-judge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Grades attack success and utility preservation</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Human annotation, keyword matching</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Scales to thousands of graded responses at consistent quality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Kaggle GPU notebook environment</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Compute platform for the full pipeline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Google Colab, university HPC cluster</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Free GPU quota sufficient for a 4-bit 7B model plus classifiers</w:t>
            </w:r>
          </w:p>
        </w:tc>
      </w:tr>
    </w:tbl>
    <w:p>
      <w:pPr>
        <w:spacing w:before="120" w:after="300"/>
        <w:jc w:val="center"/>
        <w:rPr>
          <w:sz w:val="22"/>
          <w:szCs w:val="22"/>
        </w:rPr>
      </w:pPr>
      <w:r>
        <w:rPr>
          <w:rFonts w:ascii="times new roman" w:eastAsia="times new roman" w:hAnsi="times new roman" w:cs="times new roman"/>
          <w:b/>
          <w:bCs/>
          <w:sz w:val="22"/>
          <w:szCs w:val="22"/>
        </w:rPr>
        <w:t>TABLE I. SOFTWARE/HARDWARE TOOLS TABLE</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3.3 Hardware and/or Software Implementation</w:t>
      </w:r>
    </w:p>
    <w:p>
      <w:pPr>
        <w:spacing w:before="0" w:after="200" w:line="360" w:lineRule="auto"/>
        <w:jc w:val="both"/>
      </w:pPr>
      <w:r>
        <w:rPr>
          <w:rFonts w:ascii="times new roman" w:eastAsia="times new roman" w:hAnsi="times new roman" w:cs="times new roman"/>
        </w:rPr>
        <w:t>The pipeline was implemented as a single executable notebook so that every reported number can be reproduced end-to-end. For each of the four attack types — Static, Adaptive, Fragmented, and DSPy-Adaptive — 250 malicious payloads and 200 benign payloads were generated per condition. Each payload was first passed through the guardrail classifier under test; payloads that were blocked were recorded as blocked and not forwarded to the target model, while payloads that passed were sent to Qwen2.5-7B-Instruct, and the resulting response was captured. An LLM-as-judge then scored each captured response for attack success (for malicious payloads) or utility preservation via semantic similarity (for benign payloads), together with a judge confidence score and a short rationale. For the Fragmentation attack specifically, the malicious instruction was split into pieces, and each piece was screened by the guardrail independently before being reassembled and sent to the target model, simulating a retrieval-augmented deployment in which individual retrieved chunks are screened rather than the assembled context. For the DSPy-Optimized Adaptive attack, DSPy compiled a rewrite program against the guardrail classifier using a held-out training set disjoint from the 250-payload evaluation set, so that the evaluation measures the attack's generalization rather than fitting too closely to the exact evaluation payloads. All per-attempt results, including the full mutation history for responsive attacks, were logged to a CSV file to support the statistical analysis in Chapter 4.</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4 Investigation/Experiment, Result, Analysis, and Discussion</w:t>
      </w:r>
    </w:p>
    <w:p>
      <w:pPr>
        <w:spacing w:before="0" w:after="200" w:line="360" w:lineRule="auto"/>
        <w:jc w:val="both"/>
      </w:pPr>
      <w:r>
        <w:rPr>
          <w:rFonts w:ascii="times new roman" w:eastAsia="times new roman" w:hAnsi="times new roman" w:cs="times new roman"/>
        </w:rPr>
        <w:t>This chapter reports the attack success rate (ASR) of each of the four attack types against the target model with and without the PromptGuard defense (ProtectAI's deberta-v3-base-prompt-injection-v2), the statistical significance of the observed differences after correcting for multiple comparisons, and four follow-up validation studies that stress-test the main result. deepset's deberta-v3-base-injection was excluded from the primary comparison after it was found to block 100% of benign inputs on this input distribution, making any apparent reduction in ASR uninformative, since the classifier was also destroying legitimate traffic.</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4.1 Primary Result: Attack Success Rate by Attack Type</w:t>
      </w:r>
    </w:p>
    <w:p>
      <w:pPr>
        <w:spacing w:before="0" w:after="200" w:line="360" w:lineRule="auto"/>
        <w:jc w:val="both"/>
      </w:pPr>
      <w:r>
        <w:rPr>
          <w:rFonts w:ascii="times new roman" w:eastAsia="times new roman" w:hAnsi="times new roman" w:cs="times new roman"/>
        </w:rPr>
        <w:t>Table II reports the ASR with and without the PromptGuard defense for each of the four attack types, with n = 250 malicious payloads per condition, 95% Wilson confidence intervals, and Fisher's exact test p-values reported in the underlying data.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2"/>
        <w:gridCol w:w="1761"/>
        <w:gridCol w:w="1761"/>
        <w:gridCol w:w="1791"/>
        <w:gridCol w:w="197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Static</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12.8%</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0.0226</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Significant raw; not significant after correction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Adaptive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17.6%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0.4268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Not significant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Fragmented</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10.8%</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7.2%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0.2109</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Not significant</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DSPy-Adaptive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19.6%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0.3497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Not significant</w:t>
            </w:r>
          </w:p>
        </w:tc>
      </w:tr>
    </w:tbl>
    <w:p>
      <w:pPr>
        <w:spacing w:before="120" w:after="300"/>
        <w:jc w:val="center"/>
        <w:rPr>
          <w:sz w:val="22"/>
          <w:szCs w:val="22"/>
        </w:rPr>
      </w:pPr>
      <w:r>
        <w:rPr>
          <w:rFonts w:ascii="times new roman" w:eastAsia="times new roman" w:hAnsi="times new roman" w:cs="times new roman"/>
          <w:b/>
          <w:bCs/>
          <w:sz w:val="22"/>
          <w:szCs w:val="22"/>
        </w:rPr>
        <w:t>TABLE II. ATTACK SUCCESS RATE BY ATTACK TYPE, WITH BONFERRONI-CORRECTED SIGNIFICANCE (n = 250 per condition)</w:t>
      </w:r>
    </w:p>
    <w:p>
      <w:pPr>
        <w:spacing w:before="0" w:after="200" w:line="360" w:lineRule="auto"/>
        <w:jc w:val="both"/>
      </w:pPr>
      <w:r>
        <w:rPr>
          <w:rFonts w:ascii="times new roman" w:eastAsia="times new roman" w:hAnsi="times new roman" w:cs="times new roman"/>
        </w:rPr>
        <w:t>The Static attack produced PromptGuard's largest recorded reduction in ASR, from 20.8% to 12.8% (Cohen's h = 0.215, a small effect), with a raw p-value of 0.0226. However, because four attack-type comparisons were tested against the same defense, the appropriate significance level under Bonferroni correction is 0.05 / 4 = 0.0125, not 0.05. Since 0.0226 exceeds 0.0125, the Static-attack result does not stay statistically significant after correction. None of the remaining three attack types, Adaptive, Fragmented, and DSPy-Adaptive, approached significance even before correction. The results chart in Figure 2 summarizes ASR across all four attack types with and without the defense.</w:t>
      </w:r>
    </w:p>
    <w:p>
      <w:pPr>
        <w:spacing w:before="120" w:after="120"/>
        <w:jc w:val="left"/>
      </w:pPr>
    </w:p>
    <w:p>
      <w:pPr>
        <w:spacing w:before="120" w:after="300"/>
        <w:jc w:val="center"/>
        <w:rPr>
          <w:sz w:val="22"/>
          <w:szCs w:val="22"/>
        </w:rPr>
      </w:pPr>
      <w:r>
        <w:rPr>
          <w:rFonts w:ascii="times new roman" w:eastAsia="times new roman" w:hAnsi="times new roman" w:cs="times new roman"/>
          <w:b/>
          <w:bCs/>
          <w:sz w:val="22"/>
          <w:szCs w:val="22"/>
        </w:rPr>
        <w:t>Figure 2. Attack success rate (ASR) by attack type, with and without the PromptGuard defense.</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4.2 Validation Study 1: Statistical Rigor</w:t>
      </w:r>
    </w:p>
    <w:p>
      <w:pPr>
        <w:spacing w:before="0" w:after="200" w:line="360" w:lineRule="auto"/>
        <w:jc w:val="both"/>
      </w:pPr>
      <w:r>
        <w:rPr>
          <w:rFonts w:ascii="times new roman" w:eastAsia="times new roman" w:hAnsi="times new roman" w:cs="times new roman"/>
        </w:rPr>
        <w:t>The difference between the No-Defense baseline and PromptGuard was evaluated across the four primary attack types. The Static attack showed the largest reduction, from 20.8% to 12.8% (p = 0.0226, Cohen's h = 0.215). This raw result falls below the conventional 0.05 threshold, but after a Bonferroni correction for the four comparisons, the required threshold becomes 0.0125, and the Static result no longer meets it. The remaining attack types showed smaller, non-significant differences between the No-Defense and PromptGuard conditions.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4.3 Validation Study 2: Sample-Size Sensitivity</w:t>
      </w:r>
    </w:p>
    <w:p>
      <w:pPr>
        <w:spacing w:before="0" w:after="200" w:line="360" w:lineRule="auto"/>
        <w:jc w:val="both"/>
      </w:pPr>
      <w:r>
        <w:rPr>
          <w:rFonts w:ascii="times new roman" w:eastAsia="times new roman" w:hAnsi="times new roman" w:cs="times new roman"/>
        </w:rPr>
        <w:t>To check whether the Static-attack result was an artifact of the chosen sample size, the same comparison was repeated on the existing data at sample sizes of 50, 100, 150, 200, and 250. The statistical evidence for a difference became progressively stronger as the sample size increased, with the strongest evidence observed at the full n = 250. This indicates that the marginal Static-attack result is not an artifact of an unusually small or unlucky sample, but it also does not, by itself, overturn the Bonferroni-corrected conclusion in Section 4.1.</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4.4 Validation Study 3: Transport-Based Utility Cross-Check</w:t>
      </w:r>
    </w:p>
    <w:p>
      <w:pPr>
        <w:spacing w:before="0" w:after="200" w:line="360" w:lineRule="auto"/>
        <w:jc w:val="both"/>
      </w:pPr>
      <w:r>
        <w:rPr>
          <w:rFonts w:ascii="times new roman" w:eastAsia="times new roman" w:hAnsi="times new roman" w:cs="times new roman"/>
        </w:rPr>
        <w:t>The main experiment measured utility preservation, i.e., whether the guardrail damaged legitimate benign traffic, using cosine similarity between the baseline and post-guardrail responses. As a cross-check, the utility was additionally evaluated using a transport-based metric derived from sliced Wasserstein distance. The two metrics showed moderate rather than complete agreement, and the average transport distance was lower when the cosine-similarity metric classified a response as utility-preserved, indicating that the two measures capture related but not identical structure. The transport-based metric is therefore treated as a complementary utility measure rather than as an independent confirmation of the first metric.</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4.5 Validation Study 4: Preliminary Second-Model Pilot</w:t>
      </w:r>
    </w:p>
    <w:p>
      <w:pPr>
        <w:spacing w:before="0" w:after="200" w:line="360" w:lineRule="auto"/>
        <w:jc w:val="both"/>
      </w:pPr>
      <w:r>
        <w:rPr>
          <w:rFonts w:ascii="times new roman" w:eastAsia="times new roman" w:hAnsi="times new roman" w:cs="times new roman"/>
        </w:rPr>
        <w:t>To probe whether the observed behavior is specific to Qwen2.5-7B-Instruct, a small pilot was run on Mistral-7B-Instruct using 30 samples per attack type. For the Static attack, ASR was 16.7% both with and without PromptGuard, i.e., no noticed reduction. For the Adaptive attack, ASR was 16.7% with no defense and 20.0% with PromptGuard  a nominal increase rather than a decrease. Table III summarizes these results.</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047"/>
        <w:gridCol w:w="1971"/>
        <w:gridCol w:w="5312"/>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Static</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16.7%</w:t>
            </w:r>
          </w:p>
        </w:tc>
        <w:tc>
          <w:tcPr>
            <w:tcW w:w="6720"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16.7%</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Adaptive</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20.0%</w:t>
            </w:r>
          </w:p>
        </w:tc>
      </w:tr>
    </w:tbl>
    <w:p>
      <w:pPr>
        <w:spacing w:before="120" w:after="300"/>
        <w:jc w:val="center"/>
        <w:rPr>
          <w:sz w:val="22"/>
          <w:szCs w:val="22"/>
        </w:rPr>
      </w:pPr>
      <w:r>
        <w:rPr>
          <w:rFonts w:ascii="times new roman" w:eastAsia="times new roman" w:hAnsi="times new roman" w:cs="times new roman"/>
          <w:b/>
          <w:bCs/>
          <w:sz w:val="22"/>
          <w:szCs w:val="22"/>
        </w:rPr>
        <w:t>TABLE III. SECOND-MODEL PILOT (MISTRAL-7B-INSTRUCT)</w:t>
      </w:r>
    </w:p>
    <w:p>
      <w:pPr>
        <w:spacing w:before="0" w:after="200" w:line="360" w:lineRule="auto"/>
        <w:jc w:val="both"/>
      </w:pPr>
      <w:r>
        <w:rPr>
          <w:rFonts w:ascii="times new roman" w:eastAsia="times new roman" w:hAnsi="times new roman" w:cs="times new roman"/>
        </w:rPr>
        <w:t>Because this pilot used only 30 samples per condition, well below the n = 250 used in the primary Qwen experiment, it should be interpreted as a preliminary observation rather than as evidence that the guardrail's behavior generalizes — or fails to generalize — across target models. Nonetheless, the pilot did not reproduce the Static-attack reduction observed on Qwen, which is consistent with the Bonferroni-corrected conclusion that the reduction is not a strong effect.</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4.6 Discussion</w:t>
      </w:r>
    </w:p>
    <w:p>
      <w:pPr>
        <w:spacing w:before="0" w:after="200" w:line="360" w:lineRule="auto"/>
        <w:jc w:val="both"/>
      </w:pPr>
      <w:r>
        <w:rPr>
          <w:rFonts w:ascii="times new roman" w:eastAsia="times new roman" w:hAnsi="times new roman" w:cs="times new roman"/>
        </w:rPr>
        <w:t>Taken together, the leading result and the four validation studies support a careful interpretation of PromptGuard's protective value against Qwen2.5-7B-Instruct. PromptGuard's most favorable result, against the Static attack, does not survive correction for multiple comparisons; the two original attack methods introduced in this project, the Fragmentation attack and the DSPy-Optimized Adaptive attack, showed no significant reduction in ASR at all; the deepset guardrail had to be excluded from the primary comparison because it blocked all benign traffic; and a small second-model pilot did not reproduce even the Static-attack effect. This is consistent with the pattern reported in the literature reviewed in Chapter 2: guardrails that report high accuracy on non-adaptive or single-domain benchmarks can provide substantially less protection once an adversary is allowed to adapt, fragment, or automatically improve its attack against the specific classifier deployed.</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5 Impacts of the Project</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5.1 Impact of this project on societal, health, safety, legal, and cultural issues</w:t>
      </w:r>
    </w:p>
    <w:p>
      <w:pPr>
        <w:spacing w:before="0" w:after="200" w:line="360" w:lineRule="auto"/>
        <w:jc w:val="both"/>
      </w:pPr>
      <w:r>
        <w:rPr>
          <w:rFonts w:ascii="times new roman" w:eastAsia="times new roman" w:hAnsi="times new roman" w:cs="times new roman"/>
        </w:rPr>
        <w:t>As LLM-based applications are increasingly deployed in consumer products, enterprise tools, and public services, organizations frequently rely on prompt-injection guardrails as a stated safety control, sometimes as a compliance requirement. This project's finding, that a widely used public guardrail's apparent protective effect does not survive correction for multiple comparisons and does not generalize to an automatically optimized adaptive attacker, has direct safety and legal significance: it suggests that some deployments may be excessively relying on a defense that has not been shown to meaningfully reduce risk under realistic hostile conditions. Making this gap visible and providing the Fragmentation and DSPy-Adaptive attack methods and the statistical evaluation protocol as public, reproducible artifacts is intended to help practitioners and auditors evaluate guardrails more rigorously before treating them as a sufficient safety control, rather than enabling misuse. Culturally, the project also contributes to a broader movement in the AI-safety community toward statistically rigorous, adversarially aware evaluation rather than single-number accuracy claims.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5.2 Impact of this project on the environment and sustainability</w:t>
      </w:r>
    </w:p>
    <w:p>
      <w:pPr>
        <w:spacing w:before="0" w:after="200" w:line="360" w:lineRule="auto"/>
        <w:jc w:val="both"/>
      </w:pPr>
      <w:r>
        <w:rPr>
          <w:rFonts w:ascii="times new roman" w:eastAsia="times new roman" w:hAnsi="times new roman" w:cs="times new roman"/>
        </w:rPr>
        <w:t>The project's environmental footprint is the GPU compute consumed while running the evaluation pipeline: loading a 4-bit-quantized 7B-parameter target model, two guardrail classifiers, and an LLM-as-judge model, and processing roughly 16,000 attack attempts across four attack types, two defense conditions, and the four validation studies. Running the model in 4-bit quantized form rather than full precision, and using a shared, already-provisioned Kaggle GPU environment rather than dedicated hardware, both reduce the marginal energy cost of the evaluation relative to a full-precision, dedicated-hardware setup. Because the deliverable of this project is a reusable evaluation pipeline and dataset rather than a physical device, there are no additional manufacturing, e-waste, or end-of-life disposal impacts beyond the compute itself; the main sustainability consideration going forward is to reuse the existing evaluation dataset and logged responses, where possible, rather than regenerating them for every future guardrail comparison.</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6 Project Planning and Budget</w:t>
      </w:r>
    </w:p>
    <w:p>
      <w:pPr>
        <w:spacing w:before="0" w:after="200" w:line="360" w:lineRule="auto"/>
        <w:jc w:val="both"/>
      </w:pPr>
      <w:r>
        <w:rPr>
          <w:rFonts w:ascii="times new roman" w:eastAsia="times new roman" w:hAnsi="times new roman" w:cs="times new roman"/>
        </w:rPr>
        <w:t>The project followed a three-term plan typical of a directed research course, moving from problem definition and literature review through implementation of the evaluation pipeline and the two original attack methods to statistical analysis, validation studies, and final reporting. Figure 3 shows the planned schedule.</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9330"/>
      </w:tblGrid>
      <w:tr>
        <w:trPr>
          <w:trHeight w:val="540"/>
        </w:trPr>
        <w:tc>
          <w:tcPr>
            <w:tcW w:w="1135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Literature review &amp; problem scoping</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Baseline pipeline (guardrail + target model)</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Static &amp; Adaptive attacks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Fragmentation attack design &amp; implementation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DSPy-Optimized Adaptive attack</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Full evaluation run (n=250 x 4 attacks)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Statistical analysis &amp; Bonferroni correction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Validation studies (1–4)</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Paper draft &amp; final report</w:t>
            </w:r>
          </w:p>
        </w:tc>
      </w:tr>
    </w:tbl>
    <w:p>
      <w:pPr>
        <w:spacing w:before="120" w:after="300"/>
        <w:jc w:val="center"/>
        <w:rPr>
          <w:sz w:val="22"/>
          <w:szCs w:val="22"/>
        </w:rPr>
      </w:pPr>
      <w:r>
        <w:rPr>
          <w:rFonts w:ascii="times new roman" w:eastAsia="times new roman" w:hAnsi="times new roman" w:cs="times new roman"/>
          <w:b/>
          <w:bCs/>
          <w:sz w:val="22"/>
          <w:szCs w:val="22"/>
        </w:rPr>
        <w:t>Figure 3. Project Gantt chart.</w:t>
      </w:r>
    </w:p>
    <w:p>
      <w:pPr>
        <w:spacing w:before="0" w:after="200" w:line="360" w:lineRule="auto"/>
        <w:jc w:val="both"/>
      </w:pPr>
      <w:r>
        <w:rPr>
          <w:rFonts w:ascii="times new roman" w:eastAsia="times new roman" w:hAnsi="times new roman" w:cs="times new roman"/>
        </w:rPr>
        <w:t>Because this is a software- and compute-based research project rather than a hardware build, the budget consists almost entirely of cloud/GPU compute time rather than physical components. Table IV summarizes the approximate budget.</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827"/>
        <w:gridCol w:w="2339"/>
        <w:gridCol w:w="2339"/>
        <w:gridCol w:w="1825"/>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Kaggle GPU compute (P100/T4, free tier)</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~40 hours</w:t>
            </w:r>
          </w:p>
        </w:tc>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LLM-as-judge API calls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~$0.002 / call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~16,000 calls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~$32</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Cloud storage for logs/results</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&lt; 1 GB</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$0</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1"/>
                <w:szCs w:val="21"/>
              </w:rPr>
            </w:pPr>
            <w:r>
              <w:rPr>
                <w:b/>
                <w:bCs/>
                <w:i w:val="0"/>
                <w:iCs w:val="0"/>
                <w:smallCaps w:val="0"/>
                <w:color w:val="000000"/>
                <w:sz w:val="21"/>
                <w:szCs w:val="21"/>
              </w:rPr>
              <w:t>Subtotal</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spacing w:before="0" w:after="0"/>
              <w:jc w:val="left"/>
              <w:rPr>
                <w:b w:val="0"/>
                <w:bCs w:val="0"/>
                <w:i w:val="0"/>
                <w:iCs w:val="0"/>
                <w:smallCaps w:val="0"/>
                <w:color w:val="000000"/>
                <w:sz w:val="21"/>
                <w:szCs w:val="21"/>
              </w:rPr>
            </w:pPr>
            <w:r>
              <w:rPr>
                <w:b/>
                <w:bCs/>
                <w:i w:val="0"/>
                <w:iCs w:val="0"/>
                <w:smallCaps w:val="0"/>
                <w:color w:val="000000"/>
                <w:sz w:val="21"/>
                <w:szCs w:val="21"/>
              </w:rPr>
              <w:t>~$32 (~3,800 BDT)</w:t>
            </w:r>
          </w:p>
        </w:tc>
      </w:tr>
    </w:tbl>
    <w:p>
      <w:pPr>
        <w:spacing w:before="120" w:after="300"/>
        <w:jc w:val="center"/>
        <w:rPr>
          <w:sz w:val="22"/>
          <w:szCs w:val="22"/>
        </w:rPr>
      </w:pPr>
      <w:r>
        <w:rPr>
          <w:rFonts w:ascii="times new roman" w:eastAsia="times new roman" w:hAnsi="times new roman" w:cs="times new roman"/>
          <w:b/>
          <w:bCs/>
          <w:sz w:val="22"/>
          <w:szCs w:val="22"/>
        </w:rPr>
        <w:t>TABLE IV. PROJECT BUDGET</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7 Complex Engineering Problems and Activities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7.1 Complex Engineering Problems (CEP)</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699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P1</w:t>
            </w:r>
          </w:p>
        </w:tc>
        <w:tc>
          <w:tcPr>
            <w:tcW w:w="898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Depth of knowledge required (K3–K8): the project requires knowledge of machine learning and deep learning (K3), NLP and transformer-based classifiers (K4), experimental design and statistical hypothesis testing (K5), Python/PyTorch/Hugging Face and DSPy tooling (K6), the practical impact of guardrail failures on deployed AI systems (K7), and synthesis of current scientific literature on guardrail robustness (K8).</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Range of conflicting requirements: a guardrail that blocks more attacks tends to also block more benign traffic, so classifier strictness and utility preservation are in direct tension, and the evaluation had to measure both simultaneously.</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Depth of analysis required: there is no single correct way to design an adaptive attack or to judge attack success; alternatives (manual adaptive rewriting vs. DSPy-optimized rewriting, cosine-similarity vs. transport-based utility metrics, raw vs. Bonferroni-corrected significance) had to be analyzed and justified.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Familiarity of issues: prompt injection, adversarial NLP, and guardrail evaluation are active, fast-moving research areas without settled best practices, requiring continuous engagement with very recent literature.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Extent of applicable codes: there is no formal industry standard or code for evaluating prompt-injection guardrails; the project had to adopt statistical conventions (Fisher's exact test, Wilson intervals, Bonferroni correction) from general hypothesis-testing practice.</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P6</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Extent of stakeholder involvement: findings are relevant to guardrail vendors, application developers who deploy these classifiers, and end users whose safety depends on them functioning as claimed.</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P7</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Interdependence: the project integrates several interdependent subsystems — the target LLM, two guardrail classifiers, the DSPy attack optimizer, the LLM-as-judge grader, and the statistical analysis pipeline — any one of which affects the validity of the final result.</w:t>
            </w:r>
          </w:p>
        </w:tc>
      </w:tr>
    </w:tbl>
    <w:p>
      <w:pPr>
        <w:spacing w:before="120" w:after="300"/>
        <w:jc w:val="center"/>
        <w:rPr>
          <w:sz w:val="22"/>
          <w:szCs w:val="22"/>
        </w:rPr>
      </w:pPr>
      <w:r>
        <w:rPr>
          <w:rFonts w:ascii="times new roman" w:eastAsia="times new roman" w:hAnsi="times new roman" w:cs="times new roman"/>
          <w:b/>
          <w:bCs/>
          <w:sz w:val="22"/>
          <w:szCs w:val="22"/>
        </w:rPr>
        <w:t>TABLE V. COMPLEX ENGINEERING PROBLEM (CEP) ATTRIBUTES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7.2 Complex Engineering Activities (CEA)</w:t>
      </w:r>
    </w:p>
    <w:tbl>
      <w:tblPr>
        <w:tblBorders>
          <w:top w:val="outset" w:sz="6" w:space="0" w:color="FFFFFF"/>
          <w:left w:val="outset" w:sz="6" w:space="0" w:color="FFFFFF"/>
          <w:bottom w:val="outset" w:sz="6" w:space="0" w:color="FFFFFF"/>
          <w:right w:val="outset" w:sz="6" w:space="0" w:color="FFFFFF"/>
        </w:tblBorders>
        <w:tblCellMar>
          <w:top w:w="15" w:type="dxa"/>
          <w:left w:w="15" w:type="dxa"/>
          <w:bottom w:w="15" w:type="dxa"/>
          <w:right w:w="15" w:type="dxa"/>
        </w:tblCellMar>
      </w:tblPr>
      <w:tblGrid>
        <w:gridCol w:w="2339"/>
        <w:gridCol w:w="6991"/>
      </w:tblGrid>
      <w:tr>
        <w:trPr>
          <w:trHeight w:val="540"/>
        </w:trPr>
        <w:tc>
          <w:tcPr>
            <w:tcW w:w="2295"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A1</w:t>
            </w:r>
          </w:p>
        </w:tc>
        <w:tc>
          <w:tcPr>
            <w:tcW w:w="9120" w:type="dxa"/>
            <w:tcBorders>
              <w:top w:val="single" w:sz="6" w:space="0" w:color="E0E0E0"/>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Range of resources: the project used human resources (two researchers and a supervisor), cloud GPU compute, open-source models and libraries (Qwen2.5, DeBERTa-based guardrails, DSPy), and an LLM-as-judge API.</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A2</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Level of interactions: required coordination between the two student researchers on attack design and the statistical protocol, and regular consultation with the supervisor on methodology and interpretation of results.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A3</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Innovation: introduces two original attack methods not previously described in this combination — the Fragmentation attack and the DSPy-Optimized Adaptive attack — and applies a statistically rigorous, multiple-comparison-corrected protocol to guardrail evaluation.</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A4</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Consequences to society: the results have direct implications for how much trust practitioners should place in a common class of AI safety control, informing more responsible deployment of LLM-based systems.</w:t>
            </w:r>
          </w:p>
        </w:tc>
      </w:tr>
      <w:tr>
        <w:trPr>
          <w:trHeight w:val="540"/>
        </w:trPr>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A5</w:t>
            </w:r>
          </w:p>
        </w:tc>
        <w:tc>
          <w:tcPr>
            <w:tcBorders>
              <w:left w:val="single" w:sz="6" w:space="0" w:color="E0E0E0"/>
              <w:bottom w:val="single" w:sz="6" w:space="0" w:color="E0E0E0"/>
              <w:right w:val="single" w:sz="6" w:space="0" w:color="E0E0E0"/>
            </w:tcBorders>
            <w:noWrap w:val="0"/>
            <w:tcMar>
              <w:top w:w="15" w:type="dxa"/>
              <w:left w:w="22" w:type="dxa"/>
              <w:bottom w:w="15" w:type="dxa"/>
              <w:right w:w="22" w:type="dxa"/>
            </w:tcMar>
            <w:vAlign w:val="top"/>
            <w:hideMark/>
          </w:tcPr>
          <w:p>
            <w:pPr>
              <w:rPr>
                <w:b w:val="0"/>
                <w:bCs w:val="0"/>
                <w:i w:val="0"/>
                <w:iCs w:val="0"/>
                <w:smallCaps w:val="0"/>
                <w:color w:val="000000"/>
              </w:rPr>
            </w:pPr>
            <w:r>
              <w:rPr>
                <w:b w:val="0"/>
                <w:bCs w:val="0"/>
                <w:i w:val="0"/>
                <w:iCs w:val="0"/>
                <w:smallCaps w:val="0"/>
                <w:color w:val="000000"/>
              </w:rPr>
              <w:t>Familiarity: required becoming familiar with transformer-based classifiers, prompt-engineering and adversarial-NLP techniques, the DSPy optimization framework, and formal statistical hypothesis testing under multiple comparisons. Relevant to UN SDG #9: Industry, Innovation and Infrastructure, and UN SDG #16: Peace, Justice and Strong Institutions, through its contribution to trustworthy AI systems.</w:t>
            </w:r>
          </w:p>
        </w:tc>
      </w:tr>
    </w:tbl>
    <w:p>
      <w:pPr>
        <w:spacing w:before="120" w:after="300"/>
        <w:jc w:val="center"/>
        <w:rPr>
          <w:sz w:val="22"/>
          <w:szCs w:val="22"/>
        </w:rPr>
      </w:pPr>
      <w:r>
        <w:rPr>
          <w:rFonts w:ascii="times new roman" w:eastAsia="times new roman" w:hAnsi="times new roman" w:cs="times new roman"/>
          <w:b/>
          <w:bCs/>
          <w:sz w:val="22"/>
          <w:szCs w:val="22"/>
        </w:rPr>
        <w:t>TABLE VI. COMPLEX ENGINEERING ACTIVITIES (CEA) ATTRIBUTES</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Chapter 8 Conclusions</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8.1 Summary</w:t>
      </w:r>
    </w:p>
    <w:p>
      <w:pPr>
        <w:spacing w:before="0" w:after="200" w:line="360" w:lineRule="auto"/>
        <w:jc w:val="both"/>
      </w:pPr>
      <w:r>
        <w:rPr>
          <w:rFonts w:ascii="times new roman" w:eastAsia="times new roman" w:hAnsi="times new roman" w:cs="times new roman"/>
        </w:rPr>
        <w:t>This project evaluated whether two publicly available prompt-injection guardrail classifiers provide statistically meaningful protection for Qwen2.5-7B-Instruct against four attack strategies of increasing sophistication, including two original attack methods: a Fragmentation attack and a DSPy-Optimized Adaptive attack. Using Fisher's exact test, Wilson 95% confidence intervals, and Bonferroni correction across the four attack-type comparisons, the project found that PromptGuard's largest apparent effect, against the Static attack, did not stay statistically significant after correction, and that none of the four attack types showed a significant reduction in attack success rate. Four follow-up validation studies — statistical thoroughness, sample-size sensitivity, a transport-based utility cross-check, and a small second-model pilot — reinforced this guarded conclusion rather than overturning it.</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8.2 Limitations</w:t>
      </w:r>
    </w:p>
    <w:p>
      <w:pPr>
        <w:numPr>
          <w:ilvl w:val="0"/>
          <w:numId w:val="2"/>
        </w:numPr>
        <w:tabs>
          <w:tab w:val="left" w:pos="460"/>
        </w:tabs>
        <w:spacing w:before="240" w:after="120"/>
        <w:ind w:left="720" w:hanging="242"/>
        <w:jc w:val="left"/>
      </w:pPr>
      <w:r>
        <w:rPr>
          <w:rFonts w:ascii="times new roman" w:eastAsia="times new roman" w:hAnsi="times new roman" w:cs="times new roman"/>
        </w:rPr>
        <w:t>The primary evaluation was conducted against a single target model (Qwen2.5-7B-Instruct, 4-bit quantized); the second-model pilot on Mistral-7B-Instruct used only 30 samples per condition and is preliminary.</w:t>
      </w:r>
    </w:p>
    <w:p>
      <w:pPr>
        <w:numPr>
          <w:ilvl w:val="0"/>
          <w:numId w:val="2"/>
        </w:numPr>
        <w:tabs>
          <w:tab w:val="left" w:pos="460"/>
        </w:tabs>
        <w:spacing w:before="120" w:after="120"/>
        <w:ind w:left="720" w:hanging="242"/>
        <w:jc w:val="left"/>
      </w:pPr>
      <w:r>
        <w:rPr>
          <w:rFonts w:ascii="times new roman" w:eastAsia="times new roman" w:hAnsi="times new roman" w:cs="times new roman"/>
        </w:rPr>
        <w:t>Attack success and utility preservation were graded by an LLM-as-judge rather than by human annotators, which introduces judge-model bias and noise that were not independently validated against a human-labeled subset.</w:t>
      </w:r>
    </w:p>
    <w:p>
      <w:pPr>
        <w:numPr>
          <w:ilvl w:val="0"/>
          <w:numId w:val="2"/>
        </w:numPr>
        <w:tabs>
          <w:tab w:val="left" w:pos="460"/>
        </w:tabs>
        <w:spacing w:before="120" w:after="120"/>
        <w:ind w:left="720" w:hanging="242"/>
        <w:jc w:val="left"/>
      </w:pPr>
      <w:r>
        <w:rPr>
          <w:rFonts w:ascii="times new roman" w:eastAsia="times new roman" w:hAnsi="times new roman" w:cs="times new roman"/>
        </w:rPr>
        <w:t>deepset's deberta-v3-base-injection could not be evaluated in the primary comparison because it blocked 100% of benign inputs on this input distribution, thereby limiting the study to a single guardrail classifier for the headline result.</w:t>
      </w:r>
    </w:p>
    <w:p>
      <w:pPr>
        <w:numPr>
          <w:ilvl w:val="0"/>
          <w:numId w:val="2"/>
        </w:numPr>
        <w:tabs>
          <w:tab w:val="left" w:pos="460"/>
        </w:tabs>
        <w:spacing w:before="120" w:after="240"/>
        <w:ind w:left="720" w:hanging="242"/>
        <w:jc w:val="left"/>
      </w:pPr>
      <w:r>
        <w:rPr>
          <w:rFonts w:ascii="times new roman" w:eastAsia="times new roman" w:hAnsi="times new roman" w:cs="times new roman"/>
        </w:rPr>
        <w:t>The two utility metrics used, cosine similarity and a transport-based sliced-Wasserstein metric, showed only moderate agreement, so the project's utility-preservation conclusions carry some measurement uncertainty.</w:t>
      </w:r>
    </w:p>
    <w:p>
      <w:pPr>
        <w:pStyle w:val="Heading2"/>
        <w:keepNext w:val="0"/>
        <w:keepLines w:val="0"/>
        <w:spacing w:before="300" w:after="200"/>
        <w:jc w:val="left"/>
        <w:rPr>
          <w:b/>
          <w:bCs/>
          <w:sz w:val="26"/>
          <w:szCs w:val="26"/>
        </w:rPr>
      </w:pPr>
      <w:r>
        <w:rPr>
          <w:rFonts w:ascii="times new roman" w:eastAsia="times new roman" w:hAnsi="times new roman" w:cs="times new roman"/>
          <w:b w:val="0"/>
          <w:bCs w:val="0"/>
          <w:i w:val="0"/>
          <w:color w:val="auto"/>
          <w:sz w:val="26"/>
          <w:szCs w:val="26"/>
        </w:rPr>
        <w:t>8.3 Future Improvement</w:t>
      </w:r>
    </w:p>
    <w:p>
      <w:pPr>
        <w:numPr>
          <w:ilvl w:val="0"/>
          <w:numId w:val="3"/>
        </w:numPr>
        <w:tabs>
          <w:tab w:val="left" w:pos="460"/>
        </w:tabs>
        <w:spacing w:before="240" w:after="120"/>
        <w:ind w:left="720" w:hanging="242"/>
        <w:jc w:val="left"/>
      </w:pPr>
      <w:r>
        <w:rPr>
          <w:rFonts w:ascii="times new roman" w:eastAsia="times new roman" w:hAnsi="times new roman" w:cs="times new roman"/>
        </w:rPr>
        <w:t>Extend the second-model pilot to a full n = 250 evaluation on additional target models to properly test the generalization of the findings.</w:t>
      </w:r>
    </w:p>
    <w:p>
      <w:pPr>
        <w:numPr>
          <w:ilvl w:val="0"/>
          <w:numId w:val="3"/>
        </w:numPr>
        <w:tabs>
          <w:tab w:val="left" w:pos="460"/>
        </w:tabs>
        <w:spacing w:before="120" w:after="120"/>
        <w:ind w:left="720" w:hanging="242"/>
        <w:jc w:val="left"/>
      </w:pPr>
      <w:r>
        <w:rPr>
          <w:rFonts w:ascii="times new roman" w:eastAsia="times new roman" w:hAnsi="times new roman" w:cs="times new roman"/>
        </w:rPr>
        <w:t>Include a human-annotated validation subset to quantify and correct for LLM-as-judge bias in attack-success and utility grading.</w:t>
      </w:r>
    </w:p>
    <w:p>
      <w:pPr>
        <w:numPr>
          <w:ilvl w:val="0"/>
          <w:numId w:val="3"/>
        </w:numPr>
        <w:tabs>
          <w:tab w:val="left" w:pos="460"/>
        </w:tabs>
        <w:spacing w:before="120" w:after="120"/>
        <w:ind w:left="720" w:hanging="242"/>
        <w:jc w:val="left"/>
      </w:pPr>
      <w:r>
        <w:rPr>
          <w:rFonts w:ascii="times new roman" w:eastAsia="times new roman" w:hAnsi="times new roman" w:cs="times new roman"/>
        </w:rPr>
        <w:t>Evaluate additional guardrail classifiers and ensembles of guardrails, since a single classifier blocking 100% of benign traffic suggests that guardrail choice, not just guardrail presence, materially affects the utility–security trade-off.</w:t>
      </w:r>
    </w:p>
    <w:p>
      <w:pPr>
        <w:numPr>
          <w:ilvl w:val="0"/>
          <w:numId w:val="3"/>
        </w:numPr>
        <w:tabs>
          <w:tab w:val="left" w:pos="460"/>
        </w:tabs>
        <w:spacing w:before="120" w:after="240"/>
        <w:ind w:left="720" w:hanging="242"/>
        <w:jc w:val="left"/>
      </w:pPr>
      <w:r>
        <w:rPr>
          <w:rFonts w:ascii="times new roman" w:eastAsia="times new roman" w:hAnsi="times new roman" w:cs="times new roman"/>
        </w:rPr>
        <w:t>Extend the DSPy-Optimized Adaptive attack to a multi-round, closed-loop setting in which the optimizer can query the guardrail live during deployment, rather than only against a fixed held-out set, to better approximate a persistent real-world adversary.</w:t>
      </w:r>
    </w:p>
    <w:p>
      <w:pPr>
        <w:pStyle w:val="Heading1"/>
        <w:keepNext w:val="0"/>
        <w:keepLines w:val="0"/>
        <w:pageBreakBefore/>
        <w:spacing w:before="400" w:after="300"/>
        <w:jc w:val="left"/>
        <w:rPr>
          <w:b/>
          <w:bCs/>
          <w:sz w:val="32"/>
          <w:szCs w:val="32"/>
        </w:rPr>
      </w:pPr>
      <w:r>
        <w:rPr>
          <w:rFonts w:ascii="times new roman" w:eastAsia="times new roman" w:hAnsi="times new roman" w:cs="times new roman"/>
          <w:b w:val="0"/>
          <w:bCs w:val="0"/>
          <w:i w:val="0"/>
          <w:color w:val="auto"/>
          <w:sz w:val="32"/>
          <w:szCs w:val="32"/>
        </w:rPr>
        <w:t>References</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[1]Y. She, D. W. Peterson, M. M. Liu, V. Upadhyay, M. H. Chaghazardi, E. Kang, and D. Roth, “RAG Makes Guardrails Unsafe? Investigating Robustness of Guardrails under RAG-style Contexts,” arXiv:2510.05310, Oct. 2025.</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[2]R. J. Young, “Evaluating the Robustness of Large Language Model Safety Guardrails Against Adversarial Attacks,” arXiv:2511.22047, Nov. 2025.</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[3]M. Kang, Z. Chen, C. Xu, J. Zhang, C. Guo, M. Pan, I. Revilla, Y. Sun, and B. Li, “GuardSet-X (Poly-Guard): Massive Multi-Domain Safety Policy-Grounded Guardrail Dataset,” arXiv:2506.19054, Jun. 2025.</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[4]ProtectAI, “deberta-v3-base-prompt-injection-v2,” Hugging Face Model Card. [Online]. Available: https://huggingface.co/protectai/deberta-v3-base-prompt-injection-v2</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[5]deepset, “deberta-v3-base-injection,” Hugging Face Model Card. [Online]. Available: https://huggingface.co/deepset/deberta-v3-base-injection</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[6]Qwen Team, “Qwen2.5-7B-Instruct,” Hugging Face Model Card. [Online]. Available: https://huggingface.co/Qwen/Qwen2.5-7B-Instruct</w:t>
      </w:r>
    </w:p>
    <w:p>
      <w:pPr>
        <w:spacing w:before="0" w:after="160" w:line="300" w:lineRule="auto"/>
        <w:ind w:left="400" w:hanging="400"/>
        <w:jc w:val="left"/>
        <w:rPr>
          <w:sz w:val="22"/>
          <w:szCs w:val="22"/>
        </w:rPr>
      </w:pPr>
      <w:r>
        <w:rPr>
          <w:rFonts w:ascii="times new roman" w:eastAsia="times new roman" w:hAnsi="times new roman" w:cs="times new roman"/>
          <w:sz w:val="22"/>
          <w:szCs w:val="22"/>
        </w:rPr>
        <w:t>[7]F. Shameem and F. R. Samia, “Robustness of Prompt-Injection Guardrails Against Adaptive and Fragmentation-Based Attacks,” GitHub repository, 2026. [Online]. Available: https://github.com/FahimaSan/guardrail-robustness-cse498r</w:t>
      </w:r>
    </w:p>
    <w:sectPr>
      <w:pgMar w:header="720" w:footer="72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Report Guardrail Robustness</dc:title>
  <cp:revision>0</cp:revision>
</cp:coreProperties>
</file>