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3E3E"/>
          <w:sz w:val="48"/>
          <w:szCs w:val="48"/>
        </w:rPr>
        <w:t xml:space="preserve">Columbus Region</w:t>
      </w:r>
    </w:p>
    <w:p>
      <w:pPr>
        <w:spacing w:after="200"/>
        <w:jc w:val="center"/>
      </w:pPr>
      <w:r>
        <w:rPr>
          <w:rFonts w:ascii="Arial" w:cs="Arial" w:eastAsia="Arial" w:hAnsi="Arial"/>
          <w:color w:val="B22222"/>
          <w:sz w:val="32"/>
          <w:szCs w:val="32"/>
        </w:rPr>
        <w:t xml:space="preserve">Component Development Assessment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Wireframe-to-Build Analysis &amp; Efficiency Assessment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2026 | Prepared by: UX Team / Sean Cowan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D5A5A"/>
          <w:sz w:val="22"/>
          <w:szCs w:val="22"/>
        </w:rPr>
        <w:t xml:space="preserve">Current Platform: WordPress  →  Target Platform: Statamic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Reference Sites: greenbrierwv.com (Statamic) · visitknoxohio.org (Statamic)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The columbusregion.com WordPress site contains </w:t>
      </w:r>
      <w:r>
        <w:rPr>
          <w:b/>
          <w:bCs/>
          <w:sz w:val="22"/>
          <w:szCs w:val="22"/>
        </w:rPr>
        <w:t xml:space="preserve">38 individual UI components</w:t>
      </w:r>
      <w:r>
        <w:rPr>
          <w:sz w:val="22"/>
          <w:szCs w:val="22"/>
        </w:rPr>
        <w:t xml:space="preserve"> across 50+ pages. After analysis and consolidation of variants, these map to approximately </w:t>
      </w:r>
      <w:r>
        <w:rPr>
          <w:b/>
          <w:bCs/>
          <w:sz w:val="22"/>
          <w:szCs w:val="22"/>
        </w:rPr>
        <w:t xml:space="preserve">22 development components</w:t>
      </w:r>
      <w:r>
        <w:rPr>
          <w:sz w:val="22"/>
          <w:szCs w:val="22"/>
        </w:rPr>
        <w:t xml:space="preserve"> for the Statamic rebuild.</w:t>
      </w:r>
    </w:p>
    <w:p>
      <w:pPr>
        <w:spacing w:after="200"/>
      </w:pPr>
      <w:r>
        <w:rPr>
          <w:sz w:val="22"/>
          <w:szCs w:val="22"/>
        </w:rPr>
        <w:t xml:space="preserve">Two existing Statamic sites — greenbrierwv.com and visitknoxohio.org — provide significant component leverage. Of the 22 dev components, 13 have direct Statamic precedent (59%), 5 have partial precedent (23%), and only 4 require net-new builds (18%).</w:t>
      </w:r>
    </w:p>
    <w:p>
      <w:pPr>
        <w:spacing w:after="100"/>
      </w:pPr>
      <w:r>
        <w:rPr>
          <w:b/>
          <w:bCs/>
          <w:color w:val="2C3E3E"/>
          <w:sz w:val="24"/>
          <w:szCs w:val="24"/>
        </w:rPr>
        <w:t xml:space="preserve">Suggested estimate range: 160–200 hours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Based on comparable OSU Events project (20 components / 135–165 hrs). Columbus Region is larger scope with more collections and interactive elements.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8"/>
                <w:szCs w:val="48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HEAVY LEVERAGE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55–70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MEDIUM LEVERAGE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45–55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NEW BUILD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60–75 hours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Component Consolidation Matrix</w:t>
      </w:r>
    </w:p>
    <w:p>
      <w:pPr>
        <w:spacing w:after="200"/>
      </w:pPr>
      <w:r>
        <w:rPr>
          <w:sz w:val="22"/>
          <w:szCs w:val="22"/>
        </w:rPr>
        <w:t xml:space="preserve">38 wireframe components mapped to 22 development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800"/>
        <w:gridCol w:w="1800"/>
        <w:gridCol w:w="900"/>
        <w:gridCol w:w="1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WP Components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Leverage 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Site Header + Nav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 Header + #3 Nav + #4 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Greenbrier, Knox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 Footer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Greenbrier, Knox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Utility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 Utility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Greenbrier, Knox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Homepage Hero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 Homepage Hero (Split)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Greenbrier, Knox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Interior Page Hero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 Full-Width + #8 Half + #9 Counties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Greenbrier, Knox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Alternating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#16 Alternating + #17 Two-Col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Greenbrier, Knox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Stats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#10 Stats + #11 Callout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 (partial)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Accordion (variants)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#13 Dark + #14 Light + #15 FAQ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Greenbrier, Knox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CTA Block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#19 Light BG + #20 Image Overlay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Greenbrier, Knox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Quote / Testimonial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#21 Quote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Greenbrier, Knox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 Card Grid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#12 Feature Card Grid (2x2)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Knox (partial)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Region Map (SVG)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#18 Map + #30 Interactive 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16–20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News / Blog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#22 News + #23 PR + #24 Feed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Greenbrier, Knox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Employer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#27 Employer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County Card + 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#25 Snapshot + #26 City + #29 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14–18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Team Member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#28 Team Member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Greenbrier, Knox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Article 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#32 Article + #33 Plain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Greenbrier, Knox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Listing + Pagination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#31 Scroll Nav + pagination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Greenbrier, Knox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HubSpot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#35 HubSpot Contact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Knox (HubSpot)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Newsletter Signup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#34 Signup + #36 Inline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Greenbrier, Knox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CTA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#37 CTA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Arrow 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#38 Arrow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0.5–1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Effort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600"/>
        <w:gridCol w:w="12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Heavy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Header+Nav, Footer, Utility Bar, Interior Hero, Alternating Content, Accordion, Contact CTA, Quote, News Card, Team Card, Article Detail, Listing, HubSpot Form, Arrow Link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55–70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port from reference sites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Homepage Hero, Stats Panel, Feature Card Grid, Newsletter Signup, CTA Button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45–55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 exists, needs customization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New Build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 Map, Employer Card, County Card + Map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60–75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direct Statamic precedent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160–200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10–15% for data migration &amp; QA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Key Consolidation Decisions</w:t>
      </w:r>
    </w:p>
    <w:p>
      <w:pPr>
        <w:pStyle w:val="Heading3"/>
      </w:pPr>
      <w:r>
        <w:t xml:space="preserve">Heroes (3 → 1)</w:t>
      </w:r>
    </w:p>
    <w:p>
      <w:pPr>
        <w:spacing w:after="160"/>
      </w:pPr>
      <w:r>
        <w:rPr>
          <w:sz w:val="22"/>
          <w:szCs w:val="22"/>
        </w:rPr>
        <w:t xml:space="preserve">Full-width overlay, half-width block, and counties hero are all variants of one hero component with configurable panel position, color, and optional form/dropdown.</w:t>
      </w:r>
    </w:p>
    <w:p>
      <w:pPr>
        <w:pStyle w:val="Heading3"/>
      </w:pPr>
      <w:r>
        <w:t xml:space="preserve">Accordions (3 → 1)</w:t>
      </w:r>
    </w:p>
    <w:p>
      <w:pPr>
        <w:spacing w:after="160"/>
      </w:pPr>
      <w:r>
        <w:rPr>
          <w:sz w:val="22"/>
          <w:szCs w:val="22"/>
        </w:rPr>
        <w:t xml:space="preserve">Dark BG (Industries), Light BG (Operations), and FAQ are one component with theme toggle, optional paired image, and optional stats panel.</w:t>
      </w:r>
    </w:p>
    <w:p>
      <w:pPr>
        <w:pStyle w:val="Heading3"/>
      </w:pPr>
      <w:r>
        <w:t xml:space="preserve">Content Blocks (2 → 1)</w:t>
      </w:r>
    </w:p>
    <w:p>
      <w:pPr>
        <w:spacing w:after="160"/>
      </w:pPr>
      <w:r>
        <w:rPr>
          <w:sz w:val="22"/>
          <w:szCs w:val="22"/>
        </w:rPr>
        <w:t xml:space="preserve">Alternating Content and Two-Column Content are one component with an image_position field.</w:t>
      </w:r>
    </w:p>
    <w:p>
      <w:pPr>
        <w:pStyle w:val="Heading3"/>
      </w:pPr>
      <w:r>
        <w:t xml:space="preserve">Stats (2 → 1)</w:t>
      </w:r>
    </w:p>
    <w:p>
      <w:pPr>
        <w:spacing w:after="160"/>
      </w:pPr>
      <w:r>
        <w:rPr>
          <w:sz w:val="22"/>
          <w:szCs w:val="22"/>
        </w:rPr>
        <w:t xml:space="preserve">Stats Panel and Stats Callout Bar are one component with a layout variant (inline vs. centered).</w:t>
      </w:r>
    </w:p>
    <w:p>
      <w:pPr>
        <w:pStyle w:val="Heading3"/>
      </w:pPr>
      <w:r>
        <w:t xml:space="preserve">Contact CTAs (2 → 1)</w:t>
      </w:r>
    </w:p>
    <w:p>
      <w:pPr>
        <w:spacing w:after="160"/>
      </w:pPr>
      <w:r>
        <w:rPr>
          <w:sz w:val="22"/>
          <w:szCs w:val="22"/>
        </w:rPr>
        <w:t xml:space="preserve">Light Background and Image Overlay are one component with a variant toggle.</w:t>
      </w:r>
    </w:p>
    <w:p>
      <w:pPr>
        <w:pStyle w:val="Heading3"/>
      </w:pPr>
      <w:r>
        <w:t xml:space="preserve">News Cards (3 → 1)</w:t>
      </w:r>
    </w:p>
    <w:p>
      <w:pPr>
        <w:spacing w:after="160"/>
      </w:pPr>
      <w:r>
        <w:rPr>
          <w:sz w:val="22"/>
          <w:szCs w:val="22"/>
        </w:rPr>
        <w:t xml:space="preserve">News Card, Press Release Card, and News Feed Card are one card partial with show_image and layout options.</w:t>
      </w:r>
    </w:p>
    <w:p>
      <w:pPr>
        <w:pStyle w:val="Heading3"/>
      </w:pPr>
      <w:r>
        <w:t xml:space="preserve">Counties (3 → 1)</w:t>
      </w:r>
    </w:p>
    <w:p>
      <w:pPr>
        <w:spacing w:after="160"/>
      </w:pPr>
      <w:r>
        <w:rPr>
          <w:sz w:val="22"/>
          <w:szCs w:val="22"/>
        </w:rPr>
        <w:t xml:space="preserve">County Snapshot, City Card, and County Tab Bar merge into one County system powered by the Counties collection.</w:t>
      </w:r>
    </w:p>
    <w:p>
      <w:pPr>
        <w:pStyle w:val="Heading3"/>
      </w:pPr>
      <w:r>
        <w:t xml:space="preserve">Newsletter (2 → 1)</w:t>
      </w:r>
    </w:p>
    <w:p>
      <w:pPr>
        <w:spacing w:after="160"/>
      </w:pPr>
      <w:r>
        <w:rPr>
          <w:sz w:val="22"/>
          <w:szCs w:val="22"/>
        </w:rPr>
        <w:t xml:space="preserve">Signup Bar and Inline Email merge into one component with layout variants.</w:t>
      </w:r>
    </w:p>
    <w:p>
      <w:r>
        <w:br w:type="page"/>
      </w:r>
    </w:p>
    <w:p>
      <w:pPr>
        <w:pStyle w:val="Heading1"/>
      </w:pPr>
      <w:r>
        <w:t xml:space="preserve">5. Reference Site Leverage Map</w:t>
      </w:r>
    </w:p>
    <w:p>
      <w:pPr>
        <w:spacing w:after="200"/>
      </w:pPr>
      <w:r>
        <w:rPr>
          <w:sz w:val="22"/>
          <w:szCs w:val="22"/>
        </w:rPr>
        <w:t xml:space="preserve">Which Columbus Region components have Statamic precedent on Greenbrier and Visit Knox: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Greenbrier WV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Visit Knox OH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Efficiency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D1. Header + Nav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Mega menu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Mega menu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 Knox’s Alpine.js mobile menu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D2. Footer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Multi-column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Multi-column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pattern, add partner logos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D3. Utility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Secondary nav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Utility links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 closest match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D4. Homepage Hero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Split layout needs custom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D5. Interior Hero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Multiple variants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Text + 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red overlay block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D6. Alternating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Spotlight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Highlight block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port with toggle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D7. Stats 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✘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✘ 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as custom Bard 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D8. Accordion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✘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FAQ block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Extend with dark BG variant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D9. Contact 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Banner 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Contact CTA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reskin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D10. Quote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Pull quote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Pull quote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Swap decorative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D11. Feature 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Category tiles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Interest cards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 to text-only 2x2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D12. Region 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✘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✘ 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precedent — custom SVG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D13. News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Editorial cards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Event cards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 Knox card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D14. Employer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✘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✘ 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precedent — new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D15. County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✘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Community links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system unique to Columbus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D16. Team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Staff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Staff 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 for grid layout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D17. Article 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Editorial 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Editorial 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D18. Listing + Pagination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Event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Event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Statamic 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D19. HubSpot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✘ Uses ActOn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HubSpot forms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Knox is direct match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D20. Newsletter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Newsletter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 Newsletter 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Greenbrier footer closest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D21. CTA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in design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D22. Arrow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atom</w:t>
            </w:r>
          </w:p>
        </w:tc>
      </w:tr>
    </w:tbl>
    <w:p>
      <w:pPr>
        <w:spacing w:before="200"/>
      </w:pPr>
      <w:r>
        <w:rPr>
          <w:color w:val="888888"/>
          <w:sz w:val="18"/>
          <w:szCs w:val="18"/>
        </w:rPr>
        <w:t xml:space="preserve">✔ Direct match  ·  ● Partial match  ·  ✘ No precedent</w:t>
      </w:r>
    </w:p>
    <w:p>
      <w:r>
        <w:br w:type="page"/>
      </w:r>
    </w:p>
    <w:p>
      <w:pPr>
        <w:pStyle w:val="Heading1"/>
      </w:pPr>
      <w:r>
        <w:t xml:space="preserve">6. Risk Factors</w:t>
      </w:r>
    </w:p>
    <w:p>
      <w:pPr>
        <w:spacing w:before="200"/>
      </w:pPr>
      <w:r>
        <w:rPr>
          <w:b/>
          <w:bCs/>
          <w:color w:val="DC2626"/>
          <w:sz w:val="22"/>
          <w:szCs w:val="22"/>
        </w:rPr>
        <w:t xml:space="preserve">⚠ Interactive County Map (D12) — 16–20 hours</w:t>
      </w:r>
    </w:p>
    <w:p>
      <w:pPr>
        <w:spacing w:after="160"/>
      </w:pPr>
      <w:r>
        <w:rPr>
          <w:sz w:val="22"/>
          <w:szCs w:val="22"/>
        </w:rPr>
        <w:t xml:space="preserve">Custom SVG with 11 county paths, hover states, click navigation. No Statamic precedent. Prioritize early in sprint. Consider: could a clickable grid replace the interactive map?</w:t>
      </w:r>
    </w:p>
    <w:p>
      <w:pPr>
        <w:spacing w:before="200"/>
      </w:pPr>
      <w:r>
        <w:rPr>
          <w:b/>
          <w:bCs/>
          <w:color w:val="DC2626"/>
          <w:sz w:val="22"/>
          <w:szCs w:val="22"/>
        </w:rPr>
        <w:t xml:space="preserve">⚠ County Tab System (D15) — 14–18 hours</w:t>
      </w:r>
    </w:p>
    <w:p>
      <w:pPr>
        <w:spacing w:after="160"/>
      </w:pPr>
      <w:r>
        <w:rPr>
          <w:sz w:val="22"/>
          <w:szCs w:val="22"/>
        </w:rPr>
        <w:t xml:space="preserve">11-county tab bar + dynamic snapshot panel + optional map integration. Complex data relationships between counties, cities, and employers.</w:t>
      </w:r>
    </w:p>
    <w:p>
      <w:pPr>
        <w:spacing w:before="200"/>
      </w:pPr>
      <w:r>
        <w:rPr>
          <w:b/>
          <w:bCs/>
          <w:color w:val="F59E0B"/>
          <w:sz w:val="22"/>
          <w:szCs w:val="22"/>
        </w:rPr>
        <w:t xml:space="preserve">● iFrame Audit (Economy Page)</w:t>
      </w:r>
    </w:p>
    <w:p>
      <w:pPr>
        <w:spacing w:after="160"/>
      </w:pPr>
      <w:r>
        <w:rPr>
          <w:sz w:val="22"/>
          <w:szCs w:val="22"/>
        </w:rPr>
        <w:t xml:space="preserve">19 iframes detected on Economy page. Many may be outdated embeds. Audit before migration — replacing with native components could improve performance.</w:t>
      </w:r>
    </w:p>
    <w:p>
      <w:pPr>
        <w:spacing w:before="200"/>
      </w:pPr>
      <w:r>
        <w:rPr>
          <w:b/>
          <w:bCs/>
          <w:color w:val="F59E0B"/>
          <w:sz w:val="22"/>
          <w:szCs w:val="22"/>
        </w:rPr>
        <w:t xml:space="preserve">● Weglot Translation</w:t>
      </w:r>
    </w:p>
    <w:p>
      <w:pPr>
        <w:spacing w:after="160"/>
      </w:pPr>
      <w:r>
        <w:rPr>
          <w:sz w:val="22"/>
          <w:szCs w:val="22"/>
        </w:rPr>
        <w:t xml:space="preserve">Current site supports 6 languages. Neither reference site uses translation. Confirm with client if multilingual support is still required.</w:t>
      </w:r>
    </w:p>
    <w:p>
      <w:pPr>
        <w:spacing w:before="200"/>
      </w:pPr>
      <w:r>
        <w:rPr>
          <w:b/>
          <w:bCs/>
          <w:color w:val="F59E0B"/>
          <w:sz w:val="22"/>
          <w:szCs w:val="22"/>
        </w:rPr>
        <w:t xml:space="preserve">● Project Announcements Filter</w:t>
      </w:r>
    </w:p>
    <w:p>
      <w:pPr>
        <w:spacing w:after="160"/>
      </w:pPr>
      <w:r>
        <w:rPr>
          <w:sz w:val="22"/>
          <w:szCs w:val="22"/>
        </w:rPr>
        <w:t xml:space="preserve">Multi-faceted filtering (year, type, jobs, facility, location). Evaluate if Statamic native filtering + Alpine.js is sufficient or if Algolia is needed.</w:t>
      </w:r>
    </w:p>
    <w:p>
      <w:r>
        <w:br w:type="page"/>
      </w:r>
    </w:p>
    <w:p>
      <w:pPr>
        <w:pStyle w:val="Heading1"/>
      </w:pPr>
      <w:r>
        <w:t xml:space="preserve">7. Recommendation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Proceed with the 160–200 hour estimate. </w:t>
      </w:r>
      <w:r>
        <w:rPr>
          <w:sz w:val="22"/>
          <w:szCs w:val="22"/>
        </w:rPr>
        <w:t xml:space="preserve">Prioritize the Interactive Map (D12) and County System (D15) in Sprint 1 to de-risk the two most complex components early.</w:t>
      </w:r>
    </w:p>
    <w:p>
      <w:pPr>
        <w:spacing w:after="200"/>
      </w:pPr>
      <w:r>
        <w:rPr>
          <w:sz w:val="22"/>
          <w:szCs w:val="22"/>
        </w:rPr>
        <w:t xml:space="preserve">The 13 heavy-leverage components represent 59% of the build and can be ported quickly from Greenbrier and Knox codebases. This leaves the team focused on the 4 net-new components that represent the primary technical risk.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Key client decisions needed before build: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 the interactive county SVG map essential, or would a clickable card grid suffice?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 Weglot (6-language translation) still required?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Which Economy page iframes should be retained vs. removed?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Should News, Blog, and Press Releases remain as separate collections or merge into one Content Hub?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HubSpot forms to keep vs. replace with Statamic native forms.</w:t>
      </w:r>
    </w:p>
    <w:p>
      <w:pPr>
        <w:spacing w:after="200" w:before="400"/>
      </w:pPr>
      <w:r>
        <w:rPr>
          <w:color w:val="888888"/>
          <w:sz w:val="20"/>
          <w:szCs w:val="20"/>
        </w:rPr>
        <w:t xml:space="preserve">Companion HTML reference:</w:t>
      </w:r>
    </w:p>
    <w:p>
      <w:hyperlink w:history="1" r:id="rIdj9oxywvjveu872mjyslo9">
        <w:r>
          <w:rPr>
            <w:rStyle w:val="Hyperlink"/>
            <w:sz w:val="20"/>
            <w:szCs w:val="20"/>
          </w:rPr>
          <w:t xml:space="preserve">https://clientpreview.theshipyard.com/_CbusRegion/project-components.html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Prepared by: UX Team / Sean Cowan — April 2026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2222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Columbus Region — Component Development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B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5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9oxywvjveu872mjyslo9" Type="http://schemas.openxmlformats.org/officeDocument/2006/relationships/hyperlink" Target="https://clientpreview.theshipyard.com/_CbusRegion/project-components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2026-04-12T17:05:45.785Z</dcterms:created>
  <dcterms:modified xsi:type="dcterms:W3CDTF">2026-04-12T17:05:45.786Z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