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Data Provenance &amp; Quality Note</w:t>
      </w:r>
    </w:p>
    <w:p>
      <w:pPr>
        <w:spacing w:after="300"/>
      </w:pPr>
      <w:r>
        <w:rPr>
          <w:i/>
          <w:iCs/>
          <w:color w:val="555555"/>
          <w:sz w:val="22"/>
          <w:szCs w:val="22"/>
        </w:rPr>
        <w:t xml:space="preserve">Supplementary note to: "A Cyber-Resilient, Explainable Digital Twin Framework for Predictive and Cost-Aware Power Quality Management in Renewable Microgrids"</w:t>
      </w:r>
    </w:p>
    <w:p>
      <w:pPr>
        <w:pBdr>
          <w:bottom w:val="single" w:color="999999" w:sz="6" w:space="4"/>
        </w:pBdr>
        <w:spacing w:after="200"/>
      </w:pPr>
    </w:p>
    <w:p>
      <w:pPr>
        <w:pStyle w:val="Heading1"/>
        <w:spacing w:after="150" w:before="300"/>
      </w:pPr>
      <w:r>
        <w:t xml:space="preserve">1. Purpose of This Note</w:t>
      </w:r>
    </w:p>
    <w:p>
      <w:pPr>
        <w:spacing w:after="160"/>
      </w:pPr>
      <w:r>
        <w:t xml:space="preserve">This note documents the origin, structure, and quality characteristics of the two datasets used to support the proposed framework: (1) a power-quality disturbance dataset (voltage/current/harmonics/battery/cost fields), and (2) an hourly renewable-microgrid simulation dataset (HOMER-style output). It is intended to be transparent about what is known, what is assumed, and what should be verified before these datasets are described in a publication.</w:t>
      </w:r>
    </w:p>
    <w:p>
      <w:pPr>
        <w:pStyle w:val="Heading1"/>
        <w:spacing w:after="150" w:before="300"/>
      </w:pPr>
      <w:r>
        <w:t xml:space="preserve">2. Dataset Summary</w:t>
      </w:r>
    </w:p>
    <w:tbl>
      <w:tblPr>
        <w:tblW w:type="dxa" w:w="970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08"/>
      </w:tblGrid>
      <w:tr>
        <w:trPr>
          <w:tblHeader/>
        </w:trPr>
        <w:tc>
          <w:tcPr>
            <w:tcW w:type="dxa" w:w="2400"/>
            <w:shd w:fill="1F2937" w:val="clear"/>
            <w:tcMar>
              <w:top w:type="dxa" w:w="80"/>
              <w:left w:type="dxa" w:w="100"/>
              <w:bottom w:type="dxa" w:w="80"/>
              <w:right w:type="dxa" w:w="100"/>
            </w:tcMar>
          </w:tcPr>
          <w:p>
            <w:r>
              <w:rPr>
                <w:b/>
                <w:bCs/>
              </w:rPr>
              <w:t xml:space="preserve">Attribute</w:t>
            </w:r>
          </w:p>
        </w:tc>
        <w:tc>
          <w:tcPr>
            <w:tcW w:type="dxa" w:w="2400"/>
            <w:shd w:fill="1F2937" w:val="clear"/>
            <w:tcMar>
              <w:top w:type="dxa" w:w="80"/>
              <w:left w:type="dxa" w:w="100"/>
              <w:bottom w:type="dxa" w:w="80"/>
              <w:right w:type="dxa" w:w="100"/>
            </w:tcMar>
          </w:tcPr>
          <w:p>
            <w:r>
              <w:rPr>
                <w:b/>
                <w:bCs/>
              </w:rPr>
              <w:t xml:space="preserve">Dataset A: Power Quality</w:t>
            </w:r>
          </w:p>
        </w:tc>
        <w:tc>
          <w:tcPr>
            <w:tcW w:type="dxa" w:w="2400"/>
            <w:shd w:fill="1F2937" w:val="clear"/>
            <w:tcMar>
              <w:top w:type="dxa" w:w="80"/>
              <w:left w:type="dxa" w:w="100"/>
              <w:bottom w:type="dxa" w:w="80"/>
              <w:right w:type="dxa" w:w="100"/>
            </w:tcMar>
          </w:tcPr>
          <w:p>
            <w:r>
              <w:rPr>
                <w:b/>
                <w:bCs/>
              </w:rPr>
              <w:t xml:space="preserve">Dataset B: Hourly Simulation</w:t>
            </w:r>
          </w:p>
        </w:tc>
        <w:tc>
          <w:tcPr>
            <w:tcW w:type="dxa" w:w="2508"/>
            <w:shd w:fill="1F2937" w:val="clear"/>
            <w:tcMar>
              <w:top w:type="dxa" w:w="80"/>
              <w:left w:type="dxa" w:w="100"/>
              <w:bottom w:type="dxa" w:w="80"/>
              <w:right w:type="dxa" w:w="100"/>
            </w:tcMar>
          </w:tcPr>
          <w:p>
            <w:r>
              <w:rPr>
                <w:b/>
                <w:bCs/>
              </w:rPr>
              <w:t xml:space="preserve">Dataset B-subset: Selected Columns</w:t>
            </w:r>
          </w:p>
        </w:tc>
      </w:tr>
      <w:tr>
        <w:tc>
          <w:tcPr>
            <w:tcW w:type="dxa" w:w="2400"/>
            <w:tcMar>
              <w:top w:type="dxa" w:w="80"/>
              <w:left w:type="dxa" w:w="100"/>
              <w:bottom w:type="dxa" w:w="80"/>
              <w:right w:type="dxa" w:w="100"/>
            </w:tcMar>
          </w:tcPr>
          <w:p>
            <w:r>
              <w:rPr>
                <w:b w:val="false"/>
                <w:bCs w:val="false"/>
              </w:rPr>
              <w:t xml:space="preserve">File name</w:t>
            </w:r>
          </w:p>
        </w:tc>
        <w:tc>
          <w:tcPr>
            <w:tcW w:type="dxa" w:w="2400"/>
            <w:tcMar>
              <w:top w:type="dxa" w:w="80"/>
              <w:left w:type="dxa" w:w="100"/>
              <w:bottom w:type="dxa" w:w="80"/>
              <w:right w:type="dxa" w:w="100"/>
            </w:tcMar>
          </w:tcPr>
          <w:p>
            <w:r>
              <w:rPr>
                <w:b w:val="false"/>
                <w:bCs w:val="false"/>
              </w:rPr>
              <w:t xml:space="preserve">microgrid_power_quality_dataset.csv</w:t>
            </w:r>
          </w:p>
        </w:tc>
        <w:tc>
          <w:tcPr>
            <w:tcW w:type="dxa" w:w="2400"/>
            <w:tcMar>
              <w:top w:type="dxa" w:w="80"/>
              <w:left w:type="dxa" w:w="100"/>
              <w:bottom w:type="dxa" w:w="80"/>
              <w:right w:type="dxa" w:w="100"/>
            </w:tcMar>
          </w:tcPr>
          <w:p>
            <w:r>
              <w:rPr>
                <w:b w:val="false"/>
                <w:bCs w:val="false"/>
              </w:rPr>
              <w:t xml:space="preserve">hourly_CSV.csv</w:t>
            </w:r>
          </w:p>
        </w:tc>
        <w:tc>
          <w:tcPr>
            <w:tcW w:type="dxa" w:w="2508"/>
            <w:tcMar>
              <w:top w:type="dxa" w:w="80"/>
              <w:left w:type="dxa" w:w="100"/>
              <w:bottom w:type="dxa" w:w="80"/>
              <w:right w:type="dxa" w:w="100"/>
            </w:tcMar>
          </w:tcPr>
          <w:p>
            <w:r>
              <w:rPr>
                <w:b w:val="false"/>
                <w:bCs w:val="false"/>
              </w:rPr>
              <w:t xml:space="preserve">hourly_CSV-2.csv</w:t>
            </w:r>
          </w:p>
        </w:tc>
      </w:tr>
      <w:tr>
        <w:tc>
          <w:tcPr>
            <w:tcW w:type="dxa" w:w="2400"/>
            <w:tcMar>
              <w:top w:type="dxa" w:w="80"/>
              <w:left w:type="dxa" w:w="100"/>
              <w:bottom w:type="dxa" w:w="80"/>
              <w:right w:type="dxa" w:w="100"/>
            </w:tcMar>
          </w:tcPr>
          <w:p>
            <w:r>
              <w:rPr>
                <w:b w:val="false"/>
                <w:bCs w:val="false"/>
              </w:rPr>
              <w:t xml:space="preserve">Rows</w:t>
            </w:r>
          </w:p>
        </w:tc>
        <w:tc>
          <w:tcPr>
            <w:tcW w:type="dxa" w:w="2400"/>
            <w:tcMar>
              <w:top w:type="dxa" w:w="80"/>
              <w:left w:type="dxa" w:w="100"/>
              <w:bottom w:type="dxa" w:w="80"/>
              <w:right w:type="dxa" w:w="100"/>
            </w:tcMar>
          </w:tcPr>
          <w:p>
            <w:r>
              <w:rPr>
                <w:b w:val="false"/>
                <w:bCs w:val="false"/>
              </w:rPr>
              <w:t xml:space="preserve">5,000</w:t>
            </w:r>
          </w:p>
        </w:tc>
        <w:tc>
          <w:tcPr>
            <w:tcW w:type="dxa" w:w="2400"/>
            <w:tcMar>
              <w:top w:type="dxa" w:w="80"/>
              <w:left w:type="dxa" w:w="100"/>
              <w:bottom w:type="dxa" w:w="80"/>
              <w:right w:type="dxa" w:w="100"/>
            </w:tcMar>
          </w:tcPr>
          <w:p>
            <w:r>
              <w:rPr>
                <w:b w:val="false"/>
                <w:bCs w:val="false"/>
              </w:rPr>
              <w:t xml:space="preserve">8,760 (1 year, hourly)</w:t>
            </w:r>
          </w:p>
        </w:tc>
        <w:tc>
          <w:tcPr>
            <w:tcW w:type="dxa" w:w="2508"/>
            <w:tcMar>
              <w:top w:type="dxa" w:w="80"/>
              <w:left w:type="dxa" w:w="100"/>
              <w:bottom w:type="dxa" w:w="80"/>
              <w:right w:type="dxa" w:w="100"/>
            </w:tcMar>
          </w:tcPr>
          <w:p>
            <w:r>
              <w:rPr>
                <w:b w:val="false"/>
                <w:bCs w:val="false"/>
              </w:rPr>
              <w:t xml:space="preserve">8,760</w:t>
            </w:r>
          </w:p>
        </w:tc>
      </w:tr>
      <w:tr>
        <w:tc>
          <w:tcPr>
            <w:tcW w:type="dxa" w:w="2400"/>
            <w:tcMar>
              <w:top w:type="dxa" w:w="80"/>
              <w:left w:type="dxa" w:w="100"/>
              <w:bottom w:type="dxa" w:w="80"/>
              <w:right w:type="dxa" w:w="100"/>
            </w:tcMar>
          </w:tcPr>
          <w:p>
            <w:r>
              <w:rPr>
                <w:b w:val="false"/>
                <w:bCs w:val="false"/>
              </w:rPr>
              <w:t xml:space="preserve">Columns</w:t>
            </w:r>
          </w:p>
        </w:tc>
        <w:tc>
          <w:tcPr>
            <w:tcW w:type="dxa" w:w="2400"/>
            <w:tcMar>
              <w:top w:type="dxa" w:w="80"/>
              <w:left w:type="dxa" w:w="100"/>
              <w:bottom w:type="dxa" w:w="80"/>
              <w:right w:type="dxa" w:w="100"/>
            </w:tcMar>
          </w:tcPr>
          <w:p>
            <w:r>
              <w:rPr>
                <w:b w:val="false"/>
                <w:bCs w:val="false"/>
              </w:rPr>
              <w:t xml:space="preserve">16</w:t>
            </w:r>
          </w:p>
        </w:tc>
        <w:tc>
          <w:tcPr>
            <w:tcW w:type="dxa" w:w="2400"/>
            <w:tcMar>
              <w:top w:type="dxa" w:w="80"/>
              <w:left w:type="dxa" w:w="100"/>
              <w:bottom w:type="dxa" w:w="80"/>
              <w:right w:type="dxa" w:w="100"/>
            </w:tcMar>
          </w:tcPr>
          <w:p>
            <w:r>
              <w:rPr>
                <w:b w:val="false"/>
                <w:bCs w:val="false"/>
              </w:rPr>
              <w:t xml:space="preserve">44</w:t>
            </w:r>
          </w:p>
        </w:tc>
        <w:tc>
          <w:tcPr>
            <w:tcW w:type="dxa" w:w="2508"/>
            <w:tcMar>
              <w:top w:type="dxa" w:w="80"/>
              <w:left w:type="dxa" w:w="100"/>
              <w:bottom w:type="dxa" w:w="80"/>
              <w:right w:type="dxa" w:w="100"/>
            </w:tcMar>
          </w:tcPr>
          <w:p>
            <w:r>
              <w:rPr>
                <w:b w:val="false"/>
                <w:bCs w:val="false"/>
              </w:rPr>
              <w:t xml:space="preserve">10 (subset)</w:t>
            </w:r>
          </w:p>
        </w:tc>
      </w:tr>
      <w:tr>
        <w:tc>
          <w:tcPr>
            <w:tcW w:type="dxa" w:w="2400"/>
            <w:tcMar>
              <w:top w:type="dxa" w:w="80"/>
              <w:left w:type="dxa" w:w="100"/>
              <w:bottom w:type="dxa" w:w="80"/>
              <w:right w:type="dxa" w:w="100"/>
            </w:tcMar>
          </w:tcPr>
          <w:p>
            <w:r>
              <w:rPr>
                <w:b w:val="false"/>
                <w:bCs w:val="false"/>
              </w:rPr>
              <w:t xml:space="preserve">Stated origin</w:t>
            </w:r>
          </w:p>
        </w:tc>
        <w:tc>
          <w:tcPr>
            <w:tcW w:type="dxa" w:w="2400"/>
            <w:tcMar>
              <w:top w:type="dxa" w:w="80"/>
              <w:left w:type="dxa" w:w="100"/>
              <w:bottom w:type="dxa" w:w="80"/>
              <w:right w:type="dxa" w:w="100"/>
            </w:tcMar>
          </w:tcPr>
          <w:p>
            <w:r>
              <w:rPr>
                <w:b w:val="false"/>
                <w:bCs w:val="false"/>
              </w:rPr>
              <w:t xml:space="preserve">Reported by a team member as field data collected from an industrial site in Jamalpur.</w:t>
            </w:r>
          </w:p>
        </w:tc>
        <w:tc>
          <w:tcPr>
            <w:tcW w:type="dxa" w:w="2400"/>
            <w:tcMar>
              <w:top w:type="dxa" w:w="80"/>
              <w:left w:type="dxa" w:w="100"/>
              <w:bottom w:type="dxa" w:w="80"/>
              <w:right w:type="dxa" w:w="100"/>
            </w:tcMar>
          </w:tcPr>
          <w:p>
            <w:r>
              <w:rPr>
                <w:b w:val="false"/>
                <w:bCs w:val="false"/>
              </w:rPr>
              <w:t xml:space="preserve">Consistent with HOMER Pro / HOMER Grid microgrid simulation software output.</w:t>
            </w:r>
          </w:p>
        </w:tc>
        <w:tc>
          <w:tcPr>
            <w:tcW w:type="dxa" w:w="2508"/>
            <w:tcMar>
              <w:top w:type="dxa" w:w="80"/>
              <w:left w:type="dxa" w:w="100"/>
              <w:bottom w:type="dxa" w:w="80"/>
              <w:right w:type="dxa" w:w="100"/>
            </w:tcMar>
          </w:tcPr>
          <w:p>
            <w:r>
              <w:rPr>
                <w:b w:val="false"/>
                <w:bCs w:val="false"/>
              </w:rPr>
              <w:t xml:space="preserve">Derived from Dataset B.</w:t>
            </w:r>
          </w:p>
        </w:tc>
      </w:tr>
      <w:tr>
        <w:tc>
          <w:tcPr>
            <w:tcW w:type="dxa" w:w="2400"/>
            <w:tcMar>
              <w:top w:type="dxa" w:w="80"/>
              <w:left w:type="dxa" w:w="100"/>
              <w:bottom w:type="dxa" w:w="80"/>
              <w:right w:type="dxa" w:w="100"/>
            </w:tcMar>
          </w:tcPr>
          <w:p>
            <w:r>
              <w:rPr>
                <w:b w:val="false"/>
                <w:bCs w:val="false"/>
              </w:rPr>
              <w:t xml:space="preserve">Verification status</w:t>
            </w:r>
          </w:p>
        </w:tc>
        <w:tc>
          <w:tcPr>
            <w:tcW w:type="dxa" w:w="2400"/>
            <w:tcMar>
              <w:top w:type="dxa" w:w="80"/>
              <w:left w:type="dxa" w:w="100"/>
              <w:bottom w:type="dxa" w:w="80"/>
              <w:right w:type="dxa" w:w="100"/>
            </w:tcMar>
          </w:tcPr>
          <w:p>
            <w:r>
              <w:rPr>
                <w:b w:val="false"/>
                <w:bCs w:val="false"/>
              </w:rPr>
              <w:t xml:space="preserve">Not independently verified. No collection protocol, instrumentation record, or site documentation available at time of writing.</w:t>
            </w:r>
          </w:p>
        </w:tc>
        <w:tc>
          <w:tcPr>
            <w:tcW w:type="dxa" w:w="2400"/>
            <w:tcMar>
              <w:top w:type="dxa" w:w="80"/>
              <w:left w:type="dxa" w:w="100"/>
              <w:bottom w:type="dxa" w:w="80"/>
              <w:right w:type="dxa" w:w="100"/>
            </w:tcMar>
          </w:tcPr>
          <w:p>
            <w:r>
              <w:rPr>
                <w:b w:val="false"/>
                <w:bCs w:val="false"/>
              </w:rPr>
              <w:t xml:space="preserve">Structurally consistent with a known simulation tool; treated as simulated, not field-measured, data.</w:t>
            </w:r>
          </w:p>
        </w:tc>
        <w:tc>
          <w:tcPr>
            <w:tcW w:type="dxa" w:w="2508"/>
            <w:tcMar>
              <w:top w:type="dxa" w:w="80"/>
              <w:left w:type="dxa" w:w="100"/>
              <w:bottom w:type="dxa" w:w="80"/>
              <w:right w:type="dxa" w:w="100"/>
            </w:tcMar>
          </w:tcPr>
          <w:p>
            <w:r>
              <w:rPr>
                <w:b w:val="false"/>
                <w:bCs w:val="false"/>
              </w:rPr>
              <w:t xml:space="preserve">Same as Dataset B.</w:t>
            </w:r>
          </w:p>
        </w:tc>
      </w:tr>
    </w:tbl>
    <w:p>
      <w:pPr>
        <w:spacing w:after="200"/>
      </w:pPr>
    </w:p>
    <w:p>
      <w:pPr>
        <w:pStyle w:val="Heading1"/>
        <w:spacing w:after="150" w:before="300"/>
      </w:pPr>
      <w:r>
        <w:t xml:space="preserve">3. Data Quality Observations — Dataset A</w:t>
      </w:r>
    </w:p>
    <w:p>
      <w:pPr>
        <w:spacing w:after="160"/>
      </w:pPr>
      <w:r>
        <w:t xml:space="preserve">The following characteristics were observed during profiling and should be disclosed regardless of the dataset's final documented origin, since they affect how results should be interpreted:</w:t>
      </w:r>
    </w:p>
    <w:p>
      <w:pPr>
        <w:pStyle w:val="Heading2"/>
        <w:spacing w:after="120" w:before="240"/>
      </w:pPr>
      <w:r>
        <w:t xml:space="preserve">3.1 Unusually low variability and completeness</w:t>
      </w:r>
    </w:p>
    <w:p>
      <w:pPr>
        <w:pStyle w:val="ListParagraph"/>
        <w:numPr>
          <w:ilvl w:val="0"/>
          <w:numId w:val="2"/>
        </w:numPr>
        <w:spacing w:after="80"/>
      </w:pPr>
      <w:r>
        <w:t xml:space="preserve">Zero missing values across all 5,000 rows for every electrical, environmental, and cost field.</w:t>
      </w:r>
    </w:p>
    <w:p>
      <w:pPr>
        <w:pStyle w:val="ListParagraph"/>
        <w:numPr>
          <w:ilvl w:val="0"/>
          <w:numId w:val="2"/>
        </w:numPr>
        <w:spacing w:after="80"/>
      </w:pPr>
      <w:r>
        <w:t xml:space="preserve">Zero duplicate rows.</w:t>
      </w:r>
    </w:p>
    <w:p>
      <w:pPr>
        <w:pStyle w:val="ListParagraph"/>
        <w:numPr>
          <w:ilvl w:val="0"/>
          <w:numId w:val="2"/>
        </w:numPr>
        <w:spacing w:after="80"/>
      </w:pPr>
      <w:r>
        <w:t xml:space="preserve">Voltage (mean 219.3 V) and frequency (mean 49.999 Hz, std 0.03 Hz) are tightly clustered around nominal values with smooth, low-noise variation.</w:t>
      </w:r>
    </w:p>
    <w:p>
      <w:pPr>
        <w:pStyle w:val="ListParagraph"/>
        <w:numPr>
          <w:ilvl w:val="0"/>
          <w:numId w:val="2"/>
        </w:numPr>
        <w:spacing w:after="80"/>
      </w:pPr>
      <w:r>
        <w:t xml:space="preserve">No gaps, timestamp irregularities, sensor dropouts, or communication losses of the kind typically present in industrial SCADA or data-logger exports.</w:t>
      </w:r>
    </w:p>
    <w:p>
      <w:pPr>
        <w:spacing w:after="160"/>
      </w:pPr>
      <w:r>
        <w:t xml:space="preserve">Field-collected industrial power-quality logs generally contain some combination of missing intervals, sensor drift, duplicate polling artifacts, and irregular sampling. Their near-total absence here is atypical for raw field telemetry and is worth stating explicitly rather than implying the data was collected exactly as-is from live equipment.</w:t>
      </w:r>
    </w:p>
    <w:p>
      <w:pPr>
        <w:pStyle w:val="Heading2"/>
        <w:spacing w:after="120" w:before="240"/>
      </w:pPr>
      <w:r>
        <w:t xml:space="preserve">3.2 Category structure mirrors the proposal's own test-scenario design</w:t>
      </w:r>
    </w:p>
    <w:p>
      <w:pPr>
        <w:spacing w:after="160"/>
      </w:pPr>
      <w:r>
        <w:t xml:space="preserve">The disturbance_type field contains exactly three categories: Voltage_Sag (564 rows), Combined_Weather_Electrical (528 rows), and Harmonic_Distortion (467 rows), alongside 3,441 rows with no disturbance (label 0). These three categories correspond closely to the three test scenarios already defined in Section 7 of the proposal (harmonic distortion from nonlinear loads; voltage sag from renewable fluctuation; combined weather-electrical disturbances). This alignment is worth noting: it may reflect that the dataset was purpose-built to match the proposal's experimental design, which is a reasonable and common practice for framework validation, but is a different claim than the dataset being an unfiltered export from an operating industrial site.</w:t>
      </w:r>
    </w:p>
    <w:p>
      <w:pPr>
        <w:pStyle w:val="Heading2"/>
        <w:spacing w:after="120" w:before="240"/>
      </w:pPr>
      <w:r>
        <w:t xml:space="preserve">3.3 Clean separability between classes</w:t>
      </w:r>
    </w:p>
    <w:p>
      <w:pPr>
        <w:spacing w:after="160"/>
      </w:pPr>
      <w:r>
        <w:t xml:space="preserve">THD_voltage_pct differs sharply by disturbance_label: disturbance-free rows average 2.47% (std 0.53), while disturbance rows average 6.95% (std 4.25), with comparatively little overlap between the two distributions. Clean class separability is desirable for model training and is not itself evidence of any particular origin, but it is worth noting as a factor that will make prediction accuracy look strong during evaluation on this data — a caveat relevant to interpreting Section 7's accuracy metrics.</w:t>
      </w:r>
    </w:p>
    <w:p>
      <w:pPr>
        <w:pStyle w:val="Heading2"/>
        <w:spacing w:after="120" w:before="240"/>
      </w:pPr>
      <w:r>
        <w:t xml:space="preserve">3.4 Formatting note (non-substantive)</w:t>
      </w:r>
    </w:p>
    <w:p>
      <w:pPr>
        <w:spacing w:after="160"/>
      </w:pPr>
      <w:r>
        <w:t xml:space="preserve">The disturbance_type field is blank (read as null by standard tools) rather than containing the literal string "None" for the 3,441 non-disturbance rows. This is a labeling/export convention, not missing telemetry — the corresponding disturbance_label field is populated (0) for every one of these rows.</w:t>
      </w:r>
    </w:p>
    <w:p>
      <w:pPr>
        <w:pStyle w:val="Heading1"/>
        <w:spacing w:after="150" w:before="300"/>
      </w:pPr>
      <w:r>
        <w:t xml:space="preserve">4. Data Quality Observations — Dataset B (Hourly Simulation)</w:t>
      </w:r>
    </w:p>
    <w:p>
      <w:pPr>
        <w:pStyle w:val="ListParagraph"/>
        <w:numPr>
          <w:ilvl w:val="0"/>
          <w:numId w:val="2"/>
        </w:numPr>
        <w:spacing w:after="80"/>
      </w:pPr>
      <w:r>
        <w:t xml:space="preserve">Column structure (BESS state-of-charge, inverter/rectifier flows, fuel-cell and electrolyzer/hydrogen fields, renewable penetration) matches the standard output schema of HOMER-family microgrid simulation tools.</w:t>
      </w:r>
    </w:p>
    <w:p>
      <w:pPr>
        <w:pStyle w:val="ListParagraph"/>
        <w:numPr>
          <w:ilvl w:val="0"/>
          <w:numId w:val="2"/>
        </w:numPr>
        <w:spacing w:after="80"/>
      </w:pPr>
      <w:r>
        <w:t xml:space="preserve">The file begins with a literal "sep=," line (an Excel locale artifact) that must be skipped during parsing.</w:t>
      </w:r>
    </w:p>
    <w:p>
      <w:pPr>
        <w:pStyle w:val="ListParagraph"/>
        <w:numPr>
          <w:ilvl w:val="0"/>
          <w:numId w:val="2"/>
        </w:numPr>
        <w:spacing w:after="80"/>
      </w:pPr>
      <w:r>
        <w:t xml:space="preserve">Data covers a full calendar year at hourly resolution (8,760 rows), consistent with a complete annual simulation run rather than a partial or field-logged extract.</w:t>
      </w:r>
    </w:p>
    <w:p>
      <w:pPr>
        <w:pStyle w:val="ListParagraph"/>
        <w:numPr>
          <w:ilvl w:val="0"/>
          <w:numId w:val="2"/>
        </w:numPr>
        <w:spacing w:after="80"/>
      </w:pPr>
      <w:r>
        <w:t xml:space="preserve">This dataset does not contain harmonics, THD, or any power-quality disturbance fields — HOMER-family tools model energy balance and economics, not electromagnetic transient or harmonic behavior. It cannot substitute for Dataset A's disturbance data and should be described only as system-level generation/load/battery context.</w:t>
      </w:r>
    </w:p>
    <w:p>
      <w:pPr>
        <w:pStyle w:val="Heading1"/>
        <w:spacing w:after="150" w:before="300"/>
      </w:pPr>
      <w:r>
        <w:t xml:space="preserve">5. Recommendation for the Manuscript</w:t>
      </w:r>
    </w:p>
    <w:p>
      <w:pPr>
        <w:spacing w:after="160"/>
      </w:pPr>
      <w:r>
        <w:t xml:space="preserve">Regardless of which working assumption is used going forward, the following language pattern is suggested for the data section of the paper, since it is accurate under either origin story:</w:t>
      </w:r>
    </w:p>
    <w:p>
      <w:pPr>
        <w:spacing w:after="200"/>
      </w:pPr>
      <w:r>
        <w:rPr>
          <w:i/>
          <w:iCs/>
        </w:rPr>
        <w:t xml:space="preserve">“The power quality dataset used in this study was obtained from a project team member and reported to originate from an industrial site in Jamalpur; the original collection protocol and instrumentation were not independently available to the authors. The dataset exhibits notably low noise and complete coverage relative to typical field telemetry, which is disclosed here as a limitation. Results should be interpreted with this caveat, and validation against an independently sourced or synthetically generated dataset with explicit ground truth is recommended as future work.”</w:t>
      </w:r>
    </w:p>
    <w:p>
      <w:pPr>
        <w:spacing w:after="160"/>
      </w:pPr>
      <w:r>
        <w:t xml:space="preserve">This framing is honest about uncertainty without asserting the data is fabricated, and it protects the paper from a reviewer later challenging an unqualified “real industrial field data” claim.</w:t>
      </w:r>
    </w:p>
    <w:p>
      <w:pPr>
        <w:pStyle w:val="Heading1"/>
        <w:spacing w:after="150" w:before="300"/>
      </w:pPr>
      <w:r>
        <w:t xml:space="preserve">6. Pipeline Findings That Reinforce the Above (Signal Processing / Anomaly Detection / Prediction runs)</w:t>
      </w:r>
    </w:p>
    <w:p>
      <w:pPr>
        <w:spacing w:after="160"/>
      </w:pPr>
      <w:r>
        <w:t xml:space="preserve">Initial runs of the Module 2–4 pipeline against Dataset A produced two results that should be read together with the data quality notes above, since they point the same direction:</w:t>
      </w:r>
    </w:p>
    <w:p>
      <w:pPr>
        <w:pStyle w:val="ListParagraph"/>
        <w:numPr>
          <w:ilvl w:val="0"/>
          <w:numId w:val="2"/>
        </w:numPr>
        <w:spacing w:after="80"/>
      </w:pPr>
      <w:r>
        <w:t xml:space="preserve">Isolation Forest (unsupervised anomaly detection, Module 3) achieved only ~0.06 precision/recall on the sensor_fault_flag ground truth, despite a ROC-AUC of 0.73. A supervised Random Forest trained on the same features and given access to labels reached 1.00 precision / 0.50 recall on the same fault class. This gap indicates the fault signal is present in the electrical features but is not structured as a natural multivariate outlier — worth stating as a methodological finding rather than a shortfall, and worth reconsidering whether Isolation Forest is the right unsupervised choice for this fault type.</w:t>
      </w:r>
    </w:p>
    <w:p>
      <w:pPr>
        <w:pStyle w:val="ListParagraph"/>
        <w:numPr>
          <w:ilvl w:val="0"/>
          <w:numId w:val="2"/>
        </w:numPr>
        <w:spacing w:after="80"/>
      </w:pPr>
      <w:r>
        <w:t xml:space="preserve">The disturbance prediction model (Module 4, Random Forest baseline) achieved 1.00 precision/recall/F1 and ROC-AUC of 0.9999 on held-out test data, with voltage_rms_V alone carrying roughly 50% of feature importance. Perfect or near-perfect separability on a multi-class power disturbance problem is unusual for field-realistic data and is consistent with disturbance_label having been assigned via a rule applied directly to these same features during dataset construction, rather than reflecting the natural difficulty of real-world prediction. This should be disclosed as a limitation, and validation against a second, independently-labeled dataset is recommended before reporting these numbers as representative performance.</w:t>
      </w:r>
    </w:p>
    <w:p>
      <w:pPr>
        <w:pStyle w:val="Heading1"/>
        <w:spacing w:after="150" w:before="300"/>
      </w:pPr>
      <w:r>
        <w:t xml:space="preserve">7. Open Items</w:t>
      </w:r>
    </w:p>
    <w:p>
      <w:pPr>
        <w:pStyle w:val="ListParagraph"/>
        <w:numPr>
          <w:ilvl w:val="0"/>
          <w:numId w:val="2"/>
        </w:numPr>
        <w:spacing w:after="80"/>
      </w:pPr>
      <w:r>
        <w:t xml:space="preserve">Confirm with the teammate whether any handoff artifact exists (email, file transfer log, shared drive link) naming the source plant or contact.</w:t>
      </w:r>
    </w:p>
    <w:p>
      <w:pPr>
        <w:pStyle w:val="ListParagraph"/>
        <w:numPr>
          <w:ilvl w:val="0"/>
          <w:numId w:val="2"/>
        </w:numPr>
        <w:spacing w:after="80"/>
      </w:pPr>
      <w:r>
        <w:t xml:space="preserve">If no such artifact exists, consider formally re-classifying Dataset A as "synthetic, generated to reflect field-realistic power quality disturbance scenarios" — which fits the proposal's Module 1 description without requiring any changes to downstream code.</w:t>
      </w:r>
    </w:p>
    <w:p>
      <w:pPr>
        <w:pStyle w:val="ListParagraph"/>
        <w:numPr>
          <w:ilvl w:val="0"/>
          <w:numId w:val="2"/>
        </w:numPr>
        <w:spacing w:after="80"/>
      </w:pPr>
      <w:r>
        <w:t xml:space="preserve">Decide before submission which classification will appear in the manuscript, and keep it consistent across the abstract, methodology, and data availability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2026-07-22T10:21:19.476Z</dcterms:created>
  <dcterms:modified xsi:type="dcterms:W3CDTF">2026-07-22T10:21:19.477Z</dcterms:modified>
</cp:coreProperties>
</file>

<file path=docProps/custom.xml><?xml version="1.0" encoding="utf-8"?>
<Properties xmlns="http://schemas.openxmlformats.org/officeDocument/2006/custom-properties" xmlns:vt="http://schemas.openxmlformats.org/officeDocument/2006/docPropsVTypes"/>
</file>