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28"/>
        </w:rPr>
        <w:t>Hybrid Islamic Jurisprudence Retrieval via BM25, Sentence-BERT, and Reciprocal Rank Fusion</w:t>
      </w:r>
    </w:p>
    <w:p>
      <w:pPr>
        <w:spacing w:before="0" w:after="80"/>
        <w:jc w:val="center"/>
      </w:pPr>
      <w:r>
        <w:rPr>
          <w:rFonts w:ascii="Times New Roman" w:hAnsi="Times New Roman"/>
          <w:b/>
          <w:sz w:val="20"/>
        </w:rPr>
        <w:t>Fahreza Hesa Jaya 1), Safwandi 2), Nunsina 3)</w:t>
      </w:r>
    </w:p>
    <w:p>
      <w:pPr>
        <w:spacing w:before="0" w:after="40"/>
        <w:jc w:val="center"/>
      </w:pPr>
      <w:r>
        <w:rPr>
          <w:rFonts w:ascii="Times New Roman" w:hAnsi="Times New Roman"/>
          <w:sz w:val="18"/>
        </w:rPr>
        <w:t>1,2,3) Program Studi Teknik Informatika, Fakultas Teknik, Universitas Malikussaleh</w:t>
      </w:r>
    </w:p>
    <w:p>
      <w:pPr>
        <w:spacing w:before="0" w:after="40"/>
        <w:jc w:val="center"/>
      </w:pPr>
      <w:r>
        <w:rPr>
          <w:rFonts w:ascii="Times New Roman" w:hAnsi="Times New Roman"/>
          <w:sz w:val="18"/>
        </w:rPr>
        <w:t>Jl. Kampus Bukit Indah, Blang Pulo, Kota Lhokseumawe, Aceh 24355, Indonesia</w:t>
      </w:r>
    </w:p>
    <w:p>
      <w:pPr>
        <w:spacing w:before="0" w:after="240"/>
        <w:jc w:val="center"/>
      </w:pPr>
      <w:r>
        <w:rPr>
          <w:rFonts w:ascii="Times New Roman" w:hAnsi="Times New Roman"/>
          <w:sz w:val="18"/>
        </w:rPr>
        <w:t>E-Mail: fahreza.220170117@mhs.unimal.ac.id 1); safwandi@unimal.ac.id 2); nunsina@unimal.ac.id 3);</w:t>
      </w:r>
    </w:p>
    <w:p>
      <w:pPr>
        <w:spacing w:before="80" w:after="80"/>
        <w:jc w:val="center"/>
      </w:pPr>
      <w:r>
        <w:rPr>
          <w:rFonts w:ascii="Times New Roman" w:hAnsi="Times New Roman"/>
          <w:b/>
          <w:sz w:val="20"/>
        </w:rPr>
        <w:t>ABSTRACT</w:t>
      </w:r>
    </w:p>
    <w:p>
      <w:pPr>
        <w:spacing w:before="0" w:after="120" w:line="240" w:lineRule="auto"/>
        <w:jc w:val="both"/>
      </w:pPr>
      <w:r>
        <w:rPr>
          <w:rFonts w:ascii="Times New Roman" w:hAnsi="Times New Roman"/>
          <w:i/>
          <w:sz w:val="19"/>
        </w:rPr>
        <w:t>Public access to authoritative Islamic jurisprudence (fiqh) fatwas is frequently hindered by vocabulary mismatch between colloquial queries posed by everyday users and the formal Arabic-Indonesian terminology recorded in religious legal texts. Traditional lexical retrieval models such as Okapi BM25 struggle with morphological variations and synonyms, while dense semantic models like Sentence-BERT are susceptible to semantic drift across dense religious document clusters. This study develops a robust Hybrid Retrieval architecture combining Okapi BM25 and Multilingual Sentence-BERT (paraphrase-multilingual-MiniLM-L12-v2), reinforced by Dynamic Per-Query Min-Max Normalization, Specificity-Aware Topic Bonus, and Soft Hierarchical Category Gating. The empirical evaluation was conducted following the Cranfield Information Retrieval Paradigm on a verified corpus of 500 comparative ubudiyyah fatwas from Nahdlatul Ulama and Majelis Tarjih Muhammadiyah. A comprehensive benchmark of 1,000 empirical queries—comprising 500 out-of-sample unseen formal queries and 500 colloquial chat and typographical error stress-test queries—was evaluated across a grid search of 13 fusion weight configurations (w_BM25 : w_SBERT). The empirical results demonstrate that a balanced 50:50 fusion achieves superior performance as the primary target in known-item retrieval, securing a Precision@1 of 75.00%, Recall@5 of 93.80%, and MRR of 0.8319 on formal queries, alongside a Precision@1 of 64.20%, Recall@5 of 92.60%, and MRR of 0.7670 on colloquial typo queries. An ablation study reveals that the proposed Soft Category Gating significantly elevates standalone BM25 by +20.60% and standalone Sentence-BERT by +15.40% in Precision@1, proving that lightweight domain-adaptive heuristics effectively resolve religious retrieval noise without incurring high computational latency (average latency 2.30–2.48 ms per query).</w:t>
      </w:r>
    </w:p>
    <w:p>
      <w:pPr>
        <w:spacing w:before="0" w:after="280"/>
      </w:pPr>
      <w:r>
        <w:rPr>
          <w:b/>
          <w:sz w:val="19"/>
        </w:rPr>
        <w:t xml:space="preserve">Keywords — </w:t>
      </w:r>
      <w:r>
        <w:rPr>
          <w:i/>
          <w:sz w:val="19"/>
        </w:rPr>
        <w:t>Islamic Jurisprudence, Hybrid Retrieval, BM25, Sentence-BERT, Reciprocal Rank Fusion, Fatwa Search</w:t>
      </w:r>
    </w:p>
    <w:p>
      <w:pPr>
        <w:sectPr>
          <w:pgSz w:w="12240" w:h="15840"/>
          <w:pgMar w:top="1134" w:right="1134" w:bottom="1134" w:left="1701" w:header="720" w:footer="720" w:gutter="0"/>
          <w:cols w:space="720"/>
          <w:docGrid w:linePitch="360"/>
        </w:sectPr>
      </w:pPr>
    </w:p>
    <w:p>
      <w:pPr>
        <w:spacing w:before="200" w:after="80"/>
      </w:pPr>
      <w:r>
        <w:rPr>
          <w:rFonts w:ascii="Times New Roman" w:hAnsi="Times New Roman"/>
          <w:b/>
          <w:sz w:val="20"/>
        </w:rPr>
        <w:t>1. INTRODUCTION</w:t>
      </w:r>
    </w:p>
    <w:p>
      <w:pPr>
        <w:spacing w:line="240" w:lineRule="auto" w:before="0" w:after="60"/>
        <w:ind w:firstLine="425"/>
        <w:jc w:val="both"/>
      </w:pPr>
      <w:r>
        <w:rPr>
          <w:rFonts w:ascii="Times New Roman" w:hAnsi="Times New Roman"/>
          <w:sz w:val="20"/>
        </w:rPr>
        <w:t>The pervasive adoption of digital technology has transformed religious inquiry, enabling Indonesian Muslims to seek everyday Islamic legal rulings (fatwas) through mobile applications and conversational search engines (Kurniawan &amp; Syarif, 2023). However, digital information retrieval in Islamic jurisprudence encounters a severe vocabulary mismatch problem (term mismatch). Everyday users typically express their concerns using colloquial language, regional vernacular, abbreviations, and informal descriptions (e.g., querying "hukum solat keluar mimisan" or "wudhu btl ga kl abis donor drh"), whereas authentic fatwa documents compiled by established Islamic organizations such as Nahdlatul Ulama (LBM-NU) and Muhammadiyah (Majelis Tarjih dan Tajdid) employ formal religious terminology derived from classical jurisprudence (al-kutub al-mu'tabarah), such as dam kharij min ghair al-sabilain (blood exiting from areas other than the primary orifices) and najis mutawassithah (moderate impurities) (Arifin et al., 2022).</w:t>
      </w:r>
    </w:p>
    <w:p>
      <w:pPr>
        <w:spacing w:line="240" w:lineRule="auto" w:before="0" w:after="60"/>
        <w:ind w:firstLine="425"/>
        <w:jc w:val="both"/>
      </w:pPr>
      <w:r>
        <w:rPr>
          <w:rFonts w:ascii="Times New Roman" w:hAnsi="Times New Roman"/>
          <w:sz w:val="20"/>
        </w:rPr>
        <w:t>Conventional lexical information retrieval algorithms, most notably Okapi BM25, rely heavily on exact term frequency and inverse document frequency (IDF) matches (Robertson &amp; Zaragoza, 2009). When colloquial search terms fail to appear verbatim in document indices, lexical search engines suffer from term mismatch, leading to zero-score retrievals or irrelevant outputs (Zheng et al., 2021). Conversely, dense semantic retrieval powered by Transformer-based Pretrained Language Models, such as Sentence-BERT (Reimers &amp; Gurevych, 2019), maps queries and passages into dense embedding spaces to capture conceptual meaning. Nonetheless, standalone dense retrieval models often exhibit semantic drift in specialized religious domains; because religious fatwas across various chapters share a dense background of sacred and legal vocabulary (shalat, wajib, batal, sah), dense vector similarities often fail to distinguish fine-grained procedural boundaries, conflating unrelated rulings within overlapping contexts (Zhang et al., 2023).</w:t>
      </w:r>
    </w:p>
    <w:p>
      <w:pPr>
        <w:spacing w:line="240" w:lineRule="auto" w:before="0" w:after="60"/>
        <w:ind w:firstLine="425"/>
        <w:jc w:val="both"/>
      </w:pPr>
      <w:r>
        <w:rPr>
          <w:rFonts w:ascii="Times New Roman" w:hAnsi="Times New Roman"/>
          <w:sz w:val="20"/>
        </w:rPr>
        <w:t>To mitigate these bilateral limitations, recent information retrieval research has explored hybrid retrieval paradigms combining sparse lexical scoring with dense semantic vector similarity (Karpukhin et al., 2020; Luan et al., 2021). Nevertheless, standard hybrid fusion techniques often treat document collections as uniform text blocks, neglecting domain-specific hierarchical structures and cross-chapter interactions. In Islamic jurisprudence, a single real-world problem frequently intersects multiple legal chapters—such as bodily impurities breaking ablution (Thaharah) directly impacting the validity of prayer (Shalat). Conventional hard filtering abruptly discards candidate documents across adjacent chapters, precipitating catastrophic false exclusions.</w:t>
      </w:r>
    </w:p>
    <w:p>
      <w:pPr>
        <w:spacing w:line="240" w:lineRule="auto" w:before="0" w:after="60"/>
        <w:ind w:firstLine="425"/>
        <w:jc w:val="both"/>
      </w:pPr>
      <w:r>
        <w:rPr>
          <w:rFonts w:ascii="Times New Roman" w:hAnsi="Times New Roman"/>
          <w:sz w:val="20"/>
        </w:rPr>
        <w:t>This study proposes an enhanced Hybrid Islamic Jurisprudence Retrieval architecture that integrates Okapi BM25 and Multilingual Sentence-BERT through Dynamic Min-Max Score Normalization, Specificity-Aware Topic Bonus, and a non-destructive Soft Hierarchical Category Gating mechanism. The proposed system is implemented and evaluated on a bilingual comparative dataset of 500 authentic ubudiyyah fatwas representing Nahdlatul Ulama and Muhammadiyah.</w:t>
      </w:r>
    </w:p>
    <w:p>
      <w:pPr>
        <w:spacing w:before="200" w:after="80"/>
      </w:pPr>
      <w:r>
        <w:rPr>
          <w:rFonts w:ascii="Times New Roman" w:hAnsi="Times New Roman"/>
          <w:b/>
          <w:sz w:val="20"/>
        </w:rPr>
        <w:t>2. LITERATURE REVIEW</w:t>
      </w:r>
    </w:p>
    <w:p>
      <w:pPr>
        <w:spacing w:before="120" w:after="40"/>
      </w:pPr>
      <w:r>
        <w:rPr>
          <w:rFonts w:ascii="Times New Roman" w:hAnsi="Times New Roman"/>
          <w:b/>
          <w:sz w:val="20"/>
        </w:rPr>
        <w:t>A. Comparative Islamic Jurisprudence Corpus</w:t>
      </w:r>
    </w:p>
    <w:p>
      <w:pPr>
        <w:spacing w:line="240" w:lineRule="auto" w:before="0" w:after="60"/>
        <w:ind w:firstLine="425"/>
        <w:jc w:val="both"/>
      </w:pPr>
      <w:r>
        <w:rPr>
          <w:rFonts w:ascii="Times New Roman" w:hAnsi="Times New Roman"/>
          <w:sz w:val="20"/>
        </w:rPr>
        <w:t>Islamic jurisprudence (fiqh) regarding daily worship (ubudiyyah) serves as the legal foundation for Muslim religious practice. In Indonesia, two major Islamic organizations, Nahdlatul Ulama (founded in 1926) and Muhammadiyah (founded in 1912), provide legal guidance through distinct methodological frameworks (manhaj). Nahdlatul Ulama predominantly adheres to the Shafi'i legal school (madhhab) using the consensus-driven Bahtsul Masail mechanism (Fauzi, 2021), whereas Muhammadiyah employs the Manhaj Tarjih, utilizing contextual ijtihad directly anchored in the Qur'an and authentic Sunnah through a maqashid al-shari'ah lens (Huda et al., 2022). Constructing a bilingual, comparative corpus addressing both perspectives is essential for balanced, objective religious information access.</w:t>
      </w:r>
    </w:p>
    <w:p>
      <w:pPr>
        <w:spacing w:before="120" w:after="40"/>
      </w:pPr>
      <w:r>
        <w:rPr>
          <w:rFonts w:ascii="Times New Roman" w:hAnsi="Times New Roman"/>
          <w:b/>
          <w:sz w:val="20"/>
        </w:rPr>
        <w:t>B. Lexical Retrieval and Okapi BM25</w:t>
      </w:r>
    </w:p>
    <w:p>
      <w:pPr>
        <w:spacing w:line="240" w:lineRule="auto" w:before="0" w:after="60"/>
        <w:ind w:firstLine="425"/>
        <w:jc w:val="both"/>
      </w:pPr>
      <w:r>
        <w:rPr>
          <w:rFonts w:ascii="Times New Roman" w:hAnsi="Times New Roman"/>
          <w:sz w:val="20"/>
        </w:rPr>
        <w:t>Okapi BM25 remains the predominant baseline in lexical information retrieval due to its solid probabilistic foundation and computational efficiency (Robertson &amp; Zaragoza, 2009). The retrieval score of document D for query Q is formulated as:</w:t>
      </w:r>
    </w:p>
    <w:p>
      <w:pPr>
        <w:spacing w:before="80" w:after="80"/>
        <w:jc w:val="center"/>
      </w:pPr>
      <w:r>
        <w:rPr>
          <w:rFonts w:ascii="Times New Roman" w:hAnsi="Times New Roman"/>
          <w:i/>
          <w:sz w:val="19"/>
        </w:rPr>
        <w:t>Score_BM25(D, Q) = ∑ IDF(q_i) · [f(q_i, D) · (k_1 + 1)] / [f(q_i, D) + k_1 · (1 - b + b · (|D| / avgdl))]</w:t>
      </w:r>
    </w:p>
    <w:p>
      <w:pPr>
        <w:spacing w:line="240" w:lineRule="auto" w:before="0" w:after="60"/>
        <w:ind w:firstLine="425"/>
        <w:jc w:val="both"/>
      </w:pPr>
      <w:r>
        <w:rPr>
          <w:rFonts w:ascii="Times New Roman" w:hAnsi="Times New Roman"/>
          <w:sz w:val="20"/>
        </w:rPr>
        <w:t>where f(q_i, D) is the term frequency of q_i in document D, |D| is the document length, avgdl is the average document length, k_1 = 1.5 regulates term frequency saturation, and b = 0.75 controls length normalization. Although BM25 provides precise lexical anchoring for exact legal terms (sujud sahwi, zakat fitrah), it suffers from severe recall degradation when queries involve informal phrasing or typos.</w:t>
      </w:r>
    </w:p>
    <w:p>
      <w:pPr>
        <w:spacing w:before="120" w:after="40"/>
      </w:pPr>
      <w:r>
        <w:rPr>
          <w:rFonts w:ascii="Times New Roman" w:hAnsi="Times New Roman"/>
          <w:b/>
          <w:sz w:val="20"/>
        </w:rPr>
        <w:t>C. Dense Semantic Retrieval via Sentence-BERT</w:t>
      </w:r>
    </w:p>
    <w:p>
      <w:pPr>
        <w:spacing w:line="240" w:lineRule="auto" w:before="0" w:after="60"/>
        <w:ind w:firstLine="425"/>
        <w:jc w:val="both"/>
      </w:pPr>
      <w:r>
        <w:rPr>
          <w:rFonts w:ascii="Times New Roman" w:hAnsi="Times New Roman"/>
          <w:sz w:val="20"/>
        </w:rPr>
        <w:t>Dense semantic retrieval maps queries and documents into continuous vector representations, capturing latent semantic relationships beyond surface lexical forms (Karpukhin et al., 2020). Sentence-BERT modifies pretrained Transformer networks using siamese structures to generate sentence embeddings compared using cosine similarity (Reimers &amp; Gurevych, 2019):</w:t>
      </w:r>
    </w:p>
    <w:p>
      <w:pPr>
        <w:spacing w:before="80" w:after="80"/>
        <w:jc w:val="center"/>
      </w:pPr>
      <w:r>
        <w:rPr>
          <w:rFonts w:ascii="Times New Roman" w:hAnsi="Times New Roman"/>
          <w:i/>
          <w:sz w:val="19"/>
        </w:rPr>
        <w:t>Sim_cos(u, v) = (u · v) / (||u||_2 · ||v||_2)</w:t>
      </w:r>
    </w:p>
    <w:p>
      <w:pPr>
        <w:spacing w:line="240" w:lineRule="auto" w:before="0" w:after="60"/>
        <w:ind w:firstLine="425"/>
        <w:jc w:val="both"/>
      </w:pPr>
      <w:r>
        <w:rPr>
          <w:rFonts w:ascii="Times New Roman" w:hAnsi="Times New Roman"/>
          <w:sz w:val="20"/>
        </w:rPr>
        <w:t>In multilingual and low-resource domain settings, paraphrase-multilingual-MiniLM-L12-v2 offers an optimal balance between semantic capacity and computational footprint (Wang et al., 2020). However, dense models frequently exhibit semantic drift in specialized domains: because religious texts share ubiquitous spiritual terms, cosine similarities across documents often concentrate within narrow bands (e.g., [0.65, 0.90]), diluting top-1 precision without lexical guidance.</w:t>
      </w:r>
    </w:p>
    <w:p>
      <w:pPr>
        <w:spacing w:before="120" w:after="40"/>
      </w:pPr>
      <w:r>
        <w:rPr>
          <w:rFonts w:ascii="Times New Roman" w:hAnsi="Times New Roman"/>
          <w:b/>
          <w:sz w:val="20"/>
        </w:rPr>
        <w:t>D. Hybrid Fusion Strategies</w:t>
      </w:r>
    </w:p>
    <w:p>
      <w:pPr>
        <w:spacing w:line="240" w:lineRule="auto" w:before="0" w:after="60"/>
        <w:ind w:firstLine="425"/>
        <w:jc w:val="both"/>
      </w:pPr>
      <w:r>
        <w:rPr>
          <w:rFonts w:ascii="Times New Roman" w:hAnsi="Times New Roman"/>
          <w:sz w:val="20"/>
        </w:rPr>
        <w:t>Hybrid retrieval unifies sparse lexical scores and dense vector representations to optimize both precision and recall (Luan et al., 2021). Weighted Linear Score Fusion normalizes and combines continuous scores directly:</w:t>
      </w:r>
    </w:p>
    <w:p>
      <w:pPr>
        <w:spacing w:before="80" w:after="80"/>
        <w:jc w:val="center"/>
      </w:pPr>
      <w:r>
        <w:rPr>
          <w:rFonts w:ascii="Times New Roman" w:hAnsi="Times New Roman"/>
          <w:i/>
          <w:sz w:val="19"/>
        </w:rPr>
        <w:t>S_hybrid(d, q) = w_BM25 · Ŝ_BM25(d, q) + w_SBERT · Ŝ_SBERT(d, q)</w:t>
      </w:r>
    </w:p>
    <w:p>
      <w:pPr>
        <w:spacing w:line="240" w:lineRule="auto" w:before="0" w:after="60"/>
        <w:ind w:firstLine="425"/>
        <w:jc w:val="both"/>
      </w:pPr>
      <w:r>
        <w:rPr>
          <w:rFonts w:ascii="Times New Roman" w:hAnsi="Times New Roman"/>
          <w:sz w:val="20"/>
        </w:rPr>
        <w:t>Linear score fusion retains fine-grained margin information between candidate documents, provided that incommensurable score ranges are dynamically normalized (Zheng et al., 2021).</w:t>
      </w:r>
    </w:p>
    <w:p>
      <w:pPr>
        <w:spacing w:before="200" w:after="80"/>
      </w:pPr>
      <w:r>
        <w:rPr>
          <w:rFonts w:ascii="Times New Roman" w:hAnsi="Times New Roman"/>
          <w:b/>
          <w:sz w:val="20"/>
        </w:rPr>
        <w:t>3. RESEARCH METHOD</w:t>
      </w:r>
    </w:p>
    <w:p>
      <w:pPr>
        <w:spacing w:before="120" w:after="40"/>
      </w:pPr>
      <w:r>
        <w:rPr>
          <w:rFonts w:ascii="Times New Roman" w:hAnsi="Times New Roman"/>
          <w:b/>
          <w:sz w:val="20"/>
        </w:rPr>
        <w:t>A. Corpus Characteristics</w:t>
      </w:r>
    </w:p>
    <w:p>
      <w:pPr>
        <w:spacing w:line="240" w:lineRule="auto" w:before="0" w:after="60"/>
        <w:ind w:firstLine="425"/>
        <w:jc w:val="both"/>
      </w:pPr>
      <w:r>
        <w:rPr>
          <w:rFonts w:ascii="Times New Roman" w:hAnsi="Times New Roman"/>
          <w:sz w:val="20"/>
        </w:rPr>
        <w:t>The corpus comprises 500 verified fatwa rulings spanning five daily worship (ubudiyyah) chapters: Thaharah (100 fatwas, 20%), Shalat (200 fatwas, 40%), Puasa (100 fatwas, 20%), Zakat (80 fatwas, 16%), and Haji &amp; Umrah (20 fatwas, 4%). Each record contains the ruling title, category, full fatwa content from Nahdlatul Ulama, full fatwa content from Muhammadiyah, source URLs, and legal consensus classifications.</w:t>
      </w:r>
    </w:p>
    <w:p>
      <w:pPr>
        <w:spacing w:before="120" w:after="40"/>
      </w:pPr>
      <w:r>
        <w:rPr>
          <w:rFonts w:ascii="Times New Roman" w:hAnsi="Times New Roman"/>
          <w:b/>
          <w:sz w:val="20"/>
        </w:rPr>
        <w:t>B. Multi-Tier Query Expansion Pipeline</w:t>
      </w:r>
    </w:p>
    <w:p>
      <w:pPr>
        <w:spacing w:line="240" w:lineRule="auto" w:before="0" w:after="60"/>
        <w:ind w:firstLine="425"/>
        <w:jc w:val="both"/>
      </w:pPr>
      <w:r>
        <w:rPr>
          <w:rFonts w:ascii="Times New Roman" w:hAnsi="Times New Roman"/>
          <w:sz w:val="20"/>
        </w:rPr>
        <w:t>To bridge the vocabulary gap, a multi-tier query expansion pipeline is executed prior to retrieval: Tier 1 executes colloquial slang normalization (shlt -&gt; shalat, aer -&gt; air, poso -&gt; puasa); Tier 2 queries the canonical fiqh thesaurus (mimisan -&gt; darah, najis darah, batal wudhu); and Tier 3 applies context intent regex rules injecting concepts such as 'darah keluar ketika shalat batal wudhu pakaian terkena darah najis'.</w:t>
      </w:r>
    </w:p>
    <w:p>
      <w:pPr>
        <w:spacing w:before="120" w:after="40"/>
      </w:pPr>
      <w:r>
        <w:rPr>
          <w:rFonts w:ascii="Times New Roman" w:hAnsi="Times New Roman"/>
          <w:b/>
          <w:sz w:val="20"/>
        </w:rPr>
        <w:t>C. Scoring Formulation</w:t>
      </w:r>
    </w:p>
    <w:p>
      <w:pPr>
        <w:spacing w:line="240" w:lineRule="auto" w:before="0" w:after="60"/>
        <w:ind w:firstLine="425"/>
        <w:jc w:val="both"/>
      </w:pPr>
      <w:r>
        <w:rPr>
          <w:rFonts w:ascii="Times New Roman" w:hAnsi="Times New Roman"/>
          <w:sz w:val="20"/>
        </w:rPr>
        <w:t>The composite ranking function incorporates Dynamic Min-Max Normalization, Specificity-Aware Topic Bonus (S_topic), and Soft Hierarchical Category Gating (S_cat):</w:t>
      </w:r>
    </w:p>
    <w:p>
      <w:pPr>
        <w:spacing w:before="80" w:after="80"/>
        <w:jc w:val="center"/>
      </w:pPr>
      <w:r>
        <w:rPr>
          <w:rFonts w:ascii="Times New Roman" w:hAnsi="Times New Roman"/>
          <w:i/>
          <w:sz w:val="19"/>
        </w:rPr>
        <w:t>S_final(d, q) = w_BM25 · Ŝ_BM25(d, q) + w_SBERT · Ŝ_SBERT(d, q) + S_topic(d, q) + S_cat(d, q)</w:t>
      </w:r>
    </w:p>
    <w:p>
      <w:pPr>
        <w:spacing w:line="240" w:lineRule="auto" w:before="0" w:after="60"/>
        <w:ind w:firstLine="425"/>
        <w:jc w:val="both"/>
      </w:pPr>
      <w:r>
        <w:rPr>
          <w:rFonts w:ascii="Times New Roman" w:hAnsi="Times New Roman"/>
          <w:sz w:val="20"/>
        </w:rPr>
        <w:t>where S_cat provides +0.20 for matching categories and -0.05 to -0.25 for non-matching categories without hard pruning.</w:t>
      </w:r>
    </w:p>
    <w:p>
      <w:pPr>
        <w:spacing w:before="200" w:after="80"/>
      </w:pPr>
      <w:r>
        <w:rPr>
          <w:rFonts w:ascii="Times New Roman" w:hAnsi="Times New Roman"/>
          <w:b/>
          <w:sz w:val="20"/>
        </w:rPr>
        <w:t>4. RESULTS AND DISCUSSION</w:t>
      </w:r>
    </w:p>
    <w:p>
      <w:pPr>
        <w:spacing w:before="120" w:after="40"/>
      </w:pPr>
      <w:r>
        <w:rPr>
          <w:rFonts w:ascii="Times New Roman" w:hAnsi="Times New Roman"/>
          <w:b/>
          <w:sz w:val="20"/>
        </w:rPr>
        <w:t>A. Benchmark Evaluation across 13 Fusion Weight Configurations</w:t>
      </w:r>
    </w:p>
    <w:p>
      <w:pPr>
        <w:spacing w:line="240" w:lineRule="auto" w:before="0" w:after="60"/>
        <w:ind w:firstLine="425"/>
        <w:jc w:val="both"/>
      </w:pPr>
      <w:r>
        <w:rPr>
          <w:rFonts w:ascii="Times New Roman" w:hAnsi="Times New Roman"/>
          <w:sz w:val="20"/>
        </w:rPr>
        <w:t>The system was evaluated following the Cranfield paradigm on 1,000 queries (500 unseen formal queries and 500 colloquial chat and typo queries) across 13 fusion weight configurations. In known-item fatwa search, Precision@1 (P@1) and Mean Reciprocal Rank (MRR) serve as primary performance indicators.</w:t>
      </w:r>
    </w:p>
    <w:p>
      <w:pPr>
        <w:spacing w:line="240" w:lineRule="auto" w:before="0" w:after="60"/>
        <w:jc w:val="both"/>
      </w:pPr>
      <w:r>
        <w:rPr>
          <w:rFonts w:ascii="Times New Roman" w:hAnsi="Times New Roman"/>
          <w:sz w:val="20"/>
        </w:rPr>
        <w:t>Table 2 summarizes results for Regime 1 (500 Unseen Formal Queries):</w:t>
      </w:r>
    </w:p>
    <w:tbl>
      <w:tblPr>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sz w:val="17"/>
              </w:rPr>
              <w:t>Configuration</w:t>
            </w:r>
          </w:p>
        </w:tc>
        <w:tc>
          <w:tcPr>
            <w:tcW w:type="dxa" w:w="1176"/>
          </w:tcPr>
          <w:p>
            <w:r>
              <w:rPr>
                <w:b/>
                <w:sz w:val="17"/>
              </w:rPr>
              <w:t>w_BM</w:t>
            </w:r>
          </w:p>
        </w:tc>
        <w:tc>
          <w:tcPr>
            <w:tcW w:type="dxa" w:w="1176"/>
          </w:tcPr>
          <w:p>
            <w:r>
              <w:rPr>
                <w:b/>
                <w:sz w:val="17"/>
              </w:rPr>
              <w:t>w_SB</w:t>
            </w:r>
          </w:p>
        </w:tc>
        <w:tc>
          <w:tcPr>
            <w:tcW w:type="dxa" w:w="1176"/>
          </w:tcPr>
          <w:p>
            <w:r>
              <w:rPr>
                <w:b/>
                <w:sz w:val="17"/>
              </w:rPr>
              <w:t>P@1 (%)</w:t>
            </w:r>
          </w:p>
        </w:tc>
        <w:tc>
          <w:tcPr>
            <w:tcW w:type="dxa" w:w="1176"/>
          </w:tcPr>
          <w:p>
            <w:r>
              <w:rPr>
                <w:b/>
                <w:sz w:val="17"/>
              </w:rPr>
              <w:t>R@3 (%)</w:t>
            </w:r>
          </w:p>
        </w:tc>
        <w:tc>
          <w:tcPr>
            <w:tcW w:type="dxa" w:w="1176"/>
          </w:tcPr>
          <w:p>
            <w:r>
              <w:rPr>
                <w:b/>
                <w:sz w:val="17"/>
              </w:rPr>
              <w:t>R@5 (%)</w:t>
            </w:r>
          </w:p>
        </w:tc>
        <w:tc>
          <w:tcPr>
            <w:tcW w:type="dxa" w:w="1176"/>
          </w:tcPr>
          <w:p>
            <w:r>
              <w:rPr>
                <w:b/>
                <w:sz w:val="17"/>
              </w:rPr>
              <w:t>MRR</w:t>
            </w:r>
          </w:p>
        </w:tc>
        <w:tc>
          <w:tcPr>
            <w:tcW w:type="dxa" w:w="1176"/>
          </w:tcPr>
          <w:p>
            <w:r>
              <w:rPr>
                <w:b/>
                <w:sz w:val="17"/>
              </w:rPr>
              <w:t>NDCG@5</w:t>
            </w:r>
          </w:p>
        </w:tc>
      </w:tr>
      <w:tr>
        <w:tc>
          <w:tcPr>
            <w:tcW w:type="dxa" w:w="1176"/>
          </w:tcPr>
          <w:p>
            <w:r>
              <w:rPr>
                <w:sz w:val="16"/>
              </w:rPr>
              <w:t>Pure BM25 (100:0)</w:t>
            </w:r>
          </w:p>
        </w:tc>
        <w:tc>
          <w:tcPr>
            <w:tcW w:type="dxa" w:w="1176"/>
          </w:tcPr>
          <w:p>
            <w:r>
              <w:rPr>
                <w:sz w:val="16"/>
              </w:rPr>
              <w:t>1.00</w:t>
            </w:r>
          </w:p>
        </w:tc>
        <w:tc>
          <w:tcPr>
            <w:tcW w:type="dxa" w:w="1176"/>
          </w:tcPr>
          <w:p>
            <w:r>
              <w:rPr>
                <w:sz w:val="16"/>
              </w:rPr>
              <w:t>0.00</w:t>
            </w:r>
          </w:p>
        </w:tc>
        <w:tc>
          <w:tcPr>
            <w:tcW w:type="dxa" w:w="1176"/>
          </w:tcPr>
          <w:p>
            <w:r>
              <w:rPr>
                <w:sz w:val="16"/>
              </w:rPr>
              <w:t>64.00</w:t>
            </w:r>
          </w:p>
        </w:tc>
        <w:tc>
          <w:tcPr>
            <w:tcW w:type="dxa" w:w="1176"/>
          </w:tcPr>
          <w:p>
            <w:r>
              <w:rPr>
                <w:sz w:val="16"/>
              </w:rPr>
              <w:t>82.00</w:t>
            </w:r>
          </w:p>
        </w:tc>
        <w:tc>
          <w:tcPr>
            <w:tcW w:type="dxa" w:w="1176"/>
          </w:tcPr>
          <w:p>
            <w:r>
              <w:rPr>
                <w:sz w:val="16"/>
              </w:rPr>
              <w:t>88.00</w:t>
            </w:r>
          </w:p>
        </w:tc>
        <w:tc>
          <w:tcPr>
            <w:tcW w:type="dxa" w:w="1176"/>
          </w:tcPr>
          <w:p>
            <w:r>
              <w:rPr>
                <w:sz w:val="16"/>
              </w:rPr>
              <w:t>0.7470</w:t>
            </w:r>
          </w:p>
        </w:tc>
        <w:tc>
          <w:tcPr>
            <w:tcW w:type="dxa" w:w="1176"/>
          </w:tcPr>
          <w:p>
            <w:r>
              <w:rPr>
                <w:sz w:val="16"/>
              </w:rPr>
              <w:t>0.7721</w:t>
            </w:r>
          </w:p>
        </w:tc>
      </w:tr>
      <w:tr>
        <w:tc>
          <w:tcPr>
            <w:tcW w:type="dxa" w:w="1176"/>
          </w:tcPr>
          <w:p>
            <w:r>
              <w:rPr>
                <w:sz w:val="16"/>
              </w:rPr>
              <w:t>Weight 90:10</w:t>
            </w:r>
          </w:p>
        </w:tc>
        <w:tc>
          <w:tcPr>
            <w:tcW w:type="dxa" w:w="1176"/>
          </w:tcPr>
          <w:p>
            <w:r>
              <w:rPr>
                <w:sz w:val="16"/>
              </w:rPr>
              <w:t>0.90</w:t>
            </w:r>
          </w:p>
        </w:tc>
        <w:tc>
          <w:tcPr>
            <w:tcW w:type="dxa" w:w="1176"/>
          </w:tcPr>
          <w:p>
            <w:r>
              <w:rPr>
                <w:sz w:val="16"/>
              </w:rPr>
              <w:t>0.10</w:t>
            </w:r>
          </w:p>
        </w:tc>
        <w:tc>
          <w:tcPr>
            <w:tcW w:type="dxa" w:w="1176"/>
          </w:tcPr>
          <w:p>
            <w:r>
              <w:rPr>
                <w:sz w:val="16"/>
              </w:rPr>
              <w:t>66.40</w:t>
            </w:r>
          </w:p>
        </w:tc>
        <w:tc>
          <w:tcPr>
            <w:tcW w:type="dxa" w:w="1176"/>
          </w:tcPr>
          <w:p>
            <w:r>
              <w:rPr>
                <w:sz w:val="16"/>
              </w:rPr>
              <w:t>84.20</w:t>
            </w:r>
          </w:p>
        </w:tc>
        <w:tc>
          <w:tcPr>
            <w:tcW w:type="dxa" w:w="1176"/>
          </w:tcPr>
          <w:p>
            <w:r>
              <w:rPr>
                <w:sz w:val="16"/>
              </w:rPr>
              <w:t>90.00</w:t>
            </w:r>
          </w:p>
        </w:tc>
        <w:tc>
          <w:tcPr>
            <w:tcW w:type="dxa" w:w="1176"/>
          </w:tcPr>
          <w:p>
            <w:r>
              <w:rPr>
                <w:sz w:val="16"/>
              </w:rPr>
              <w:t>0.7687</w:t>
            </w:r>
          </w:p>
        </w:tc>
        <w:tc>
          <w:tcPr>
            <w:tcW w:type="dxa" w:w="1176"/>
          </w:tcPr>
          <w:p>
            <w:r>
              <w:rPr>
                <w:sz w:val="16"/>
              </w:rPr>
              <w:t>0.7947</w:t>
            </w:r>
          </w:p>
        </w:tc>
      </w:tr>
      <w:tr>
        <w:tc>
          <w:tcPr>
            <w:tcW w:type="dxa" w:w="1176"/>
          </w:tcPr>
          <w:p>
            <w:r>
              <w:rPr>
                <w:sz w:val="16"/>
              </w:rPr>
              <w:t>Weight 80:20</w:t>
            </w:r>
          </w:p>
        </w:tc>
        <w:tc>
          <w:tcPr>
            <w:tcW w:type="dxa" w:w="1176"/>
          </w:tcPr>
          <w:p>
            <w:r>
              <w:rPr>
                <w:sz w:val="16"/>
              </w:rPr>
              <w:t>0.80</w:t>
            </w:r>
          </w:p>
        </w:tc>
        <w:tc>
          <w:tcPr>
            <w:tcW w:type="dxa" w:w="1176"/>
          </w:tcPr>
          <w:p>
            <w:r>
              <w:rPr>
                <w:sz w:val="16"/>
              </w:rPr>
              <w:t>0.20</w:t>
            </w:r>
          </w:p>
        </w:tc>
        <w:tc>
          <w:tcPr>
            <w:tcW w:type="dxa" w:w="1176"/>
          </w:tcPr>
          <w:p>
            <w:r>
              <w:rPr>
                <w:sz w:val="16"/>
              </w:rPr>
              <w:t>69.40</w:t>
            </w:r>
          </w:p>
        </w:tc>
        <w:tc>
          <w:tcPr>
            <w:tcW w:type="dxa" w:w="1176"/>
          </w:tcPr>
          <w:p>
            <w:r>
              <w:rPr>
                <w:sz w:val="16"/>
              </w:rPr>
              <w:t>85.40</w:t>
            </w:r>
          </w:p>
        </w:tc>
        <w:tc>
          <w:tcPr>
            <w:tcW w:type="dxa" w:w="1176"/>
          </w:tcPr>
          <w:p>
            <w:r>
              <w:rPr>
                <w:sz w:val="16"/>
              </w:rPr>
              <w:t>92.20</w:t>
            </w:r>
          </w:p>
        </w:tc>
        <w:tc>
          <w:tcPr>
            <w:tcW w:type="dxa" w:w="1176"/>
          </w:tcPr>
          <w:p>
            <w:r>
              <w:rPr>
                <w:sz w:val="16"/>
              </w:rPr>
              <w:t>0.7897</w:t>
            </w:r>
          </w:p>
        </w:tc>
        <w:tc>
          <w:tcPr>
            <w:tcW w:type="dxa" w:w="1176"/>
          </w:tcPr>
          <w:p>
            <w:r>
              <w:rPr>
                <w:sz w:val="16"/>
              </w:rPr>
              <w:t>0.8179</w:t>
            </w:r>
          </w:p>
        </w:tc>
      </w:tr>
      <w:tr>
        <w:tc>
          <w:tcPr>
            <w:tcW w:type="dxa" w:w="1176"/>
          </w:tcPr>
          <w:p>
            <w:r>
              <w:rPr>
                <w:sz w:val="16"/>
              </w:rPr>
              <w:t>Weight 75:25</w:t>
            </w:r>
          </w:p>
        </w:tc>
        <w:tc>
          <w:tcPr>
            <w:tcW w:type="dxa" w:w="1176"/>
          </w:tcPr>
          <w:p>
            <w:r>
              <w:rPr>
                <w:sz w:val="16"/>
              </w:rPr>
              <w:t>0.75</w:t>
            </w:r>
          </w:p>
        </w:tc>
        <w:tc>
          <w:tcPr>
            <w:tcW w:type="dxa" w:w="1176"/>
          </w:tcPr>
          <w:p>
            <w:r>
              <w:rPr>
                <w:sz w:val="16"/>
              </w:rPr>
              <w:t>0.25</w:t>
            </w:r>
          </w:p>
        </w:tc>
        <w:tc>
          <w:tcPr>
            <w:tcW w:type="dxa" w:w="1176"/>
          </w:tcPr>
          <w:p>
            <w:r>
              <w:rPr>
                <w:sz w:val="16"/>
              </w:rPr>
              <w:t>71.00</w:t>
            </w:r>
          </w:p>
        </w:tc>
        <w:tc>
          <w:tcPr>
            <w:tcW w:type="dxa" w:w="1176"/>
          </w:tcPr>
          <w:p>
            <w:r>
              <w:rPr>
                <w:sz w:val="16"/>
              </w:rPr>
              <w:t>87.00</w:t>
            </w:r>
          </w:p>
        </w:tc>
        <w:tc>
          <w:tcPr>
            <w:tcW w:type="dxa" w:w="1176"/>
          </w:tcPr>
          <w:p>
            <w:r>
              <w:rPr>
                <w:sz w:val="16"/>
              </w:rPr>
              <w:t>92.40</w:t>
            </w:r>
          </w:p>
        </w:tc>
        <w:tc>
          <w:tcPr>
            <w:tcW w:type="dxa" w:w="1176"/>
          </w:tcPr>
          <w:p>
            <w:r>
              <w:rPr>
                <w:sz w:val="16"/>
              </w:rPr>
              <w:t>0.8013</w:t>
            </w:r>
          </w:p>
        </w:tc>
        <w:tc>
          <w:tcPr>
            <w:tcW w:type="dxa" w:w="1176"/>
          </w:tcPr>
          <w:p>
            <w:r>
              <w:rPr>
                <w:sz w:val="16"/>
              </w:rPr>
              <w:t>0.8273</w:t>
            </w:r>
          </w:p>
        </w:tc>
      </w:tr>
      <w:tr>
        <w:tc>
          <w:tcPr>
            <w:tcW w:type="dxa" w:w="1176"/>
          </w:tcPr>
          <w:p>
            <w:r>
              <w:rPr>
                <w:sz w:val="16"/>
              </w:rPr>
              <w:t>Weight 70:30</w:t>
            </w:r>
          </w:p>
        </w:tc>
        <w:tc>
          <w:tcPr>
            <w:tcW w:type="dxa" w:w="1176"/>
          </w:tcPr>
          <w:p>
            <w:r>
              <w:rPr>
                <w:sz w:val="16"/>
              </w:rPr>
              <w:t>0.70</w:t>
            </w:r>
          </w:p>
        </w:tc>
        <w:tc>
          <w:tcPr>
            <w:tcW w:type="dxa" w:w="1176"/>
          </w:tcPr>
          <w:p>
            <w:r>
              <w:rPr>
                <w:sz w:val="16"/>
              </w:rPr>
              <w:t>0.30</w:t>
            </w:r>
          </w:p>
        </w:tc>
        <w:tc>
          <w:tcPr>
            <w:tcW w:type="dxa" w:w="1176"/>
          </w:tcPr>
          <w:p>
            <w:r>
              <w:rPr>
                <w:sz w:val="16"/>
              </w:rPr>
              <w:t>72.20</w:t>
            </w:r>
          </w:p>
        </w:tc>
        <w:tc>
          <w:tcPr>
            <w:tcW w:type="dxa" w:w="1176"/>
          </w:tcPr>
          <w:p>
            <w:r>
              <w:rPr>
                <w:sz w:val="16"/>
              </w:rPr>
              <w:t>88.20</w:t>
            </w:r>
          </w:p>
        </w:tc>
        <w:tc>
          <w:tcPr>
            <w:tcW w:type="dxa" w:w="1176"/>
          </w:tcPr>
          <w:p>
            <w:r>
              <w:rPr>
                <w:sz w:val="16"/>
              </w:rPr>
              <w:t>92.20</w:t>
            </w:r>
          </w:p>
        </w:tc>
        <w:tc>
          <w:tcPr>
            <w:tcW w:type="dxa" w:w="1176"/>
          </w:tcPr>
          <w:p>
            <w:r>
              <w:rPr>
                <w:sz w:val="16"/>
              </w:rPr>
              <w:t>0.8108</w:t>
            </w:r>
          </w:p>
        </w:tc>
        <w:tc>
          <w:tcPr>
            <w:tcW w:type="dxa" w:w="1176"/>
          </w:tcPr>
          <w:p>
            <w:r>
              <w:rPr>
                <w:sz w:val="16"/>
              </w:rPr>
              <w:t>0.8336</w:t>
            </w:r>
          </w:p>
        </w:tc>
      </w:tr>
      <w:tr>
        <w:tc>
          <w:tcPr>
            <w:tcW w:type="dxa" w:w="1176"/>
          </w:tcPr>
          <w:p>
            <w:r>
              <w:rPr>
                <w:sz w:val="16"/>
              </w:rPr>
              <w:t>Weight 60:40</w:t>
            </w:r>
          </w:p>
        </w:tc>
        <w:tc>
          <w:tcPr>
            <w:tcW w:type="dxa" w:w="1176"/>
          </w:tcPr>
          <w:p>
            <w:r>
              <w:rPr>
                <w:sz w:val="16"/>
              </w:rPr>
              <w:t>0.60</w:t>
            </w:r>
          </w:p>
        </w:tc>
        <w:tc>
          <w:tcPr>
            <w:tcW w:type="dxa" w:w="1176"/>
          </w:tcPr>
          <w:p>
            <w:r>
              <w:rPr>
                <w:sz w:val="16"/>
              </w:rPr>
              <w:t>0.40</w:t>
            </w:r>
          </w:p>
        </w:tc>
        <w:tc>
          <w:tcPr>
            <w:tcW w:type="dxa" w:w="1176"/>
          </w:tcPr>
          <w:p>
            <w:r>
              <w:rPr>
                <w:sz w:val="16"/>
              </w:rPr>
              <w:t>73.80</w:t>
            </w:r>
          </w:p>
        </w:tc>
        <w:tc>
          <w:tcPr>
            <w:tcW w:type="dxa" w:w="1176"/>
          </w:tcPr>
          <w:p>
            <w:r>
              <w:rPr>
                <w:sz w:val="16"/>
              </w:rPr>
              <w:t>88.20</w:t>
            </w:r>
          </w:p>
        </w:tc>
        <w:tc>
          <w:tcPr>
            <w:tcW w:type="dxa" w:w="1176"/>
          </w:tcPr>
          <w:p>
            <w:r>
              <w:rPr>
                <w:sz w:val="16"/>
              </w:rPr>
              <w:t>93.00</w:t>
            </w:r>
          </w:p>
        </w:tc>
        <w:tc>
          <w:tcPr>
            <w:tcW w:type="dxa" w:w="1176"/>
          </w:tcPr>
          <w:p>
            <w:r>
              <w:rPr>
                <w:sz w:val="16"/>
              </w:rPr>
              <w:t>0.8233</w:t>
            </w:r>
          </w:p>
        </w:tc>
        <w:tc>
          <w:tcPr>
            <w:tcW w:type="dxa" w:w="1176"/>
          </w:tcPr>
          <w:p>
            <w:r>
              <w:rPr>
                <w:sz w:val="16"/>
              </w:rPr>
              <w:t>0.8454</w:t>
            </w:r>
          </w:p>
        </w:tc>
      </w:tr>
      <w:tr>
        <w:tc>
          <w:tcPr>
            <w:tcW w:type="dxa" w:w="1176"/>
          </w:tcPr>
          <w:p>
            <w:r>
              <w:rPr>
                <w:b/>
                <w:sz w:val="16"/>
              </w:rPr>
              <w:t>Proposed 50:50</w:t>
            </w:r>
          </w:p>
        </w:tc>
        <w:tc>
          <w:tcPr>
            <w:tcW w:type="dxa" w:w="1176"/>
          </w:tcPr>
          <w:p>
            <w:r>
              <w:rPr>
                <w:b/>
                <w:sz w:val="16"/>
              </w:rPr>
              <w:t>0.50</w:t>
            </w:r>
          </w:p>
        </w:tc>
        <w:tc>
          <w:tcPr>
            <w:tcW w:type="dxa" w:w="1176"/>
          </w:tcPr>
          <w:p>
            <w:r>
              <w:rPr>
                <w:b/>
                <w:sz w:val="16"/>
              </w:rPr>
              <w:t>0.50</w:t>
            </w:r>
          </w:p>
        </w:tc>
        <w:tc>
          <w:tcPr>
            <w:tcW w:type="dxa" w:w="1176"/>
          </w:tcPr>
          <w:p>
            <w:r>
              <w:rPr>
                <w:b/>
                <w:sz w:val="16"/>
              </w:rPr>
              <w:t>75.00 *</w:t>
            </w:r>
          </w:p>
        </w:tc>
        <w:tc>
          <w:tcPr>
            <w:tcW w:type="dxa" w:w="1176"/>
          </w:tcPr>
          <w:p>
            <w:r>
              <w:rPr>
                <w:b/>
                <w:sz w:val="16"/>
              </w:rPr>
              <w:t>89.80 *</w:t>
            </w:r>
          </w:p>
        </w:tc>
        <w:tc>
          <w:tcPr>
            <w:tcW w:type="dxa" w:w="1176"/>
          </w:tcPr>
          <w:p>
            <w:r>
              <w:rPr>
                <w:b/>
                <w:sz w:val="16"/>
              </w:rPr>
              <w:t>93.80 *</w:t>
            </w:r>
          </w:p>
        </w:tc>
        <w:tc>
          <w:tcPr>
            <w:tcW w:type="dxa" w:w="1176"/>
          </w:tcPr>
          <w:p>
            <w:r>
              <w:rPr>
                <w:b/>
                <w:sz w:val="16"/>
              </w:rPr>
              <w:t>0.8319 *</w:t>
            </w:r>
          </w:p>
        </w:tc>
        <w:tc>
          <w:tcPr>
            <w:tcW w:type="dxa" w:w="1176"/>
          </w:tcPr>
          <w:p>
            <w:r>
              <w:rPr>
                <w:b/>
                <w:sz w:val="16"/>
              </w:rPr>
              <w:t>0.8546 *</w:t>
            </w:r>
          </w:p>
        </w:tc>
      </w:tr>
      <w:tr>
        <w:tc>
          <w:tcPr>
            <w:tcW w:type="dxa" w:w="1176"/>
          </w:tcPr>
          <w:p>
            <w:r>
              <w:rPr>
                <w:sz w:val="16"/>
              </w:rPr>
              <w:t>Weight 40:60</w:t>
            </w:r>
          </w:p>
        </w:tc>
        <w:tc>
          <w:tcPr>
            <w:tcW w:type="dxa" w:w="1176"/>
          </w:tcPr>
          <w:p>
            <w:r>
              <w:rPr>
                <w:sz w:val="16"/>
              </w:rPr>
              <w:t>0.40</w:t>
            </w:r>
          </w:p>
        </w:tc>
        <w:tc>
          <w:tcPr>
            <w:tcW w:type="dxa" w:w="1176"/>
          </w:tcPr>
          <w:p>
            <w:r>
              <w:rPr>
                <w:sz w:val="16"/>
              </w:rPr>
              <w:t>0.60</w:t>
            </w:r>
          </w:p>
        </w:tc>
        <w:tc>
          <w:tcPr>
            <w:tcW w:type="dxa" w:w="1176"/>
          </w:tcPr>
          <w:p>
            <w:r>
              <w:rPr>
                <w:sz w:val="16"/>
              </w:rPr>
              <w:t>74.80</w:t>
            </w:r>
          </w:p>
        </w:tc>
        <w:tc>
          <w:tcPr>
            <w:tcW w:type="dxa" w:w="1176"/>
          </w:tcPr>
          <w:p>
            <w:r>
              <w:rPr>
                <w:sz w:val="16"/>
              </w:rPr>
              <w:t>88.40</w:t>
            </w:r>
          </w:p>
        </w:tc>
        <w:tc>
          <w:tcPr>
            <w:tcW w:type="dxa" w:w="1176"/>
          </w:tcPr>
          <w:p>
            <w:r>
              <w:rPr>
                <w:sz w:val="16"/>
              </w:rPr>
              <w:t>93.60</w:t>
            </w:r>
          </w:p>
        </w:tc>
        <w:tc>
          <w:tcPr>
            <w:tcW w:type="dxa" w:w="1176"/>
          </w:tcPr>
          <w:p>
            <w:r>
              <w:rPr>
                <w:sz w:val="16"/>
              </w:rPr>
              <w:t>0.8259</w:t>
            </w:r>
          </w:p>
        </w:tc>
        <w:tc>
          <w:tcPr>
            <w:tcW w:type="dxa" w:w="1176"/>
          </w:tcPr>
          <w:p>
            <w:r>
              <w:rPr>
                <w:sz w:val="16"/>
              </w:rPr>
              <w:t>0.8492</w:t>
            </w:r>
          </w:p>
        </w:tc>
      </w:tr>
      <w:tr>
        <w:tc>
          <w:tcPr>
            <w:tcW w:type="dxa" w:w="1176"/>
          </w:tcPr>
          <w:p>
            <w:r>
              <w:rPr>
                <w:sz w:val="16"/>
              </w:rPr>
              <w:t>Weight 30:70</w:t>
            </w:r>
          </w:p>
        </w:tc>
        <w:tc>
          <w:tcPr>
            <w:tcW w:type="dxa" w:w="1176"/>
          </w:tcPr>
          <w:p>
            <w:r>
              <w:rPr>
                <w:sz w:val="16"/>
              </w:rPr>
              <w:t>0.30</w:t>
            </w:r>
          </w:p>
        </w:tc>
        <w:tc>
          <w:tcPr>
            <w:tcW w:type="dxa" w:w="1176"/>
          </w:tcPr>
          <w:p>
            <w:r>
              <w:rPr>
                <w:sz w:val="16"/>
              </w:rPr>
              <w:t>0.70</w:t>
            </w:r>
          </w:p>
        </w:tc>
        <w:tc>
          <w:tcPr>
            <w:tcW w:type="dxa" w:w="1176"/>
          </w:tcPr>
          <w:p>
            <w:r>
              <w:rPr>
                <w:sz w:val="16"/>
              </w:rPr>
              <w:t>71.20</w:t>
            </w:r>
          </w:p>
        </w:tc>
        <w:tc>
          <w:tcPr>
            <w:tcW w:type="dxa" w:w="1176"/>
          </w:tcPr>
          <w:p>
            <w:r>
              <w:rPr>
                <w:sz w:val="16"/>
              </w:rPr>
              <w:t>86.80</w:t>
            </w:r>
          </w:p>
        </w:tc>
        <w:tc>
          <w:tcPr>
            <w:tcW w:type="dxa" w:w="1176"/>
          </w:tcPr>
          <w:p>
            <w:r>
              <w:rPr>
                <w:sz w:val="16"/>
              </w:rPr>
              <w:t>91.80</w:t>
            </w:r>
          </w:p>
        </w:tc>
        <w:tc>
          <w:tcPr>
            <w:tcW w:type="dxa" w:w="1176"/>
          </w:tcPr>
          <w:p>
            <w:r>
              <w:rPr>
                <w:sz w:val="16"/>
              </w:rPr>
              <w:t>0.8022</w:t>
            </w:r>
          </w:p>
        </w:tc>
        <w:tc>
          <w:tcPr>
            <w:tcW w:type="dxa" w:w="1176"/>
          </w:tcPr>
          <w:p>
            <w:r>
              <w:rPr>
                <w:sz w:val="16"/>
              </w:rPr>
              <w:t>0.8258</w:t>
            </w:r>
          </w:p>
        </w:tc>
      </w:tr>
      <w:tr>
        <w:tc>
          <w:tcPr>
            <w:tcW w:type="dxa" w:w="1176"/>
          </w:tcPr>
          <w:p>
            <w:r>
              <w:rPr>
                <w:sz w:val="16"/>
              </w:rPr>
              <w:t>Weight 25:75</w:t>
            </w:r>
          </w:p>
        </w:tc>
        <w:tc>
          <w:tcPr>
            <w:tcW w:type="dxa" w:w="1176"/>
          </w:tcPr>
          <w:p>
            <w:r>
              <w:rPr>
                <w:sz w:val="16"/>
              </w:rPr>
              <w:t>0.25</w:t>
            </w:r>
          </w:p>
        </w:tc>
        <w:tc>
          <w:tcPr>
            <w:tcW w:type="dxa" w:w="1176"/>
          </w:tcPr>
          <w:p>
            <w:r>
              <w:rPr>
                <w:sz w:val="16"/>
              </w:rPr>
              <w:t>0.75</w:t>
            </w:r>
          </w:p>
        </w:tc>
        <w:tc>
          <w:tcPr>
            <w:tcW w:type="dxa" w:w="1176"/>
          </w:tcPr>
          <w:p>
            <w:r>
              <w:rPr>
                <w:sz w:val="16"/>
              </w:rPr>
              <w:t>70.00</w:t>
            </w:r>
          </w:p>
        </w:tc>
        <w:tc>
          <w:tcPr>
            <w:tcW w:type="dxa" w:w="1176"/>
          </w:tcPr>
          <w:p>
            <w:r>
              <w:rPr>
                <w:sz w:val="16"/>
              </w:rPr>
              <w:t>85.40</w:t>
            </w:r>
          </w:p>
        </w:tc>
        <w:tc>
          <w:tcPr>
            <w:tcW w:type="dxa" w:w="1176"/>
          </w:tcPr>
          <w:p>
            <w:r>
              <w:rPr>
                <w:sz w:val="16"/>
              </w:rPr>
              <w:t>90.60</w:t>
            </w:r>
          </w:p>
        </w:tc>
        <w:tc>
          <w:tcPr>
            <w:tcW w:type="dxa" w:w="1176"/>
          </w:tcPr>
          <w:p>
            <w:r>
              <w:rPr>
                <w:sz w:val="16"/>
              </w:rPr>
              <w:t>0.7913</w:t>
            </w:r>
          </w:p>
        </w:tc>
        <w:tc>
          <w:tcPr>
            <w:tcW w:type="dxa" w:w="1176"/>
          </w:tcPr>
          <w:p>
            <w:r>
              <w:rPr>
                <w:sz w:val="16"/>
              </w:rPr>
              <w:t>0.8140</w:t>
            </w:r>
          </w:p>
        </w:tc>
      </w:tr>
      <w:tr>
        <w:tc>
          <w:tcPr>
            <w:tcW w:type="dxa" w:w="1176"/>
          </w:tcPr>
          <w:p>
            <w:r>
              <w:rPr>
                <w:sz w:val="16"/>
              </w:rPr>
              <w:t>Weight 20:80</w:t>
            </w:r>
          </w:p>
        </w:tc>
        <w:tc>
          <w:tcPr>
            <w:tcW w:type="dxa" w:w="1176"/>
          </w:tcPr>
          <w:p>
            <w:r>
              <w:rPr>
                <w:sz w:val="16"/>
              </w:rPr>
              <w:t>0.20</w:t>
            </w:r>
          </w:p>
        </w:tc>
        <w:tc>
          <w:tcPr>
            <w:tcW w:type="dxa" w:w="1176"/>
          </w:tcPr>
          <w:p>
            <w:r>
              <w:rPr>
                <w:sz w:val="16"/>
              </w:rPr>
              <w:t>0.80</w:t>
            </w:r>
          </w:p>
        </w:tc>
        <w:tc>
          <w:tcPr>
            <w:tcW w:type="dxa" w:w="1176"/>
          </w:tcPr>
          <w:p>
            <w:r>
              <w:rPr>
                <w:sz w:val="16"/>
              </w:rPr>
              <w:t>67.40</w:t>
            </w:r>
          </w:p>
        </w:tc>
        <w:tc>
          <w:tcPr>
            <w:tcW w:type="dxa" w:w="1176"/>
          </w:tcPr>
          <w:p>
            <w:r>
              <w:rPr>
                <w:sz w:val="16"/>
              </w:rPr>
              <w:t>84.00</w:t>
            </w:r>
          </w:p>
        </w:tc>
        <w:tc>
          <w:tcPr>
            <w:tcW w:type="dxa" w:w="1176"/>
          </w:tcPr>
          <w:p>
            <w:r>
              <w:rPr>
                <w:sz w:val="16"/>
              </w:rPr>
              <w:t>90.00</w:t>
            </w:r>
          </w:p>
        </w:tc>
        <w:tc>
          <w:tcPr>
            <w:tcW w:type="dxa" w:w="1176"/>
          </w:tcPr>
          <w:p>
            <w:r>
              <w:rPr>
                <w:sz w:val="16"/>
              </w:rPr>
              <w:t>0.7703</w:t>
            </w:r>
          </w:p>
        </w:tc>
        <w:tc>
          <w:tcPr>
            <w:tcW w:type="dxa" w:w="1176"/>
          </w:tcPr>
          <w:p>
            <w:r>
              <w:rPr>
                <w:sz w:val="16"/>
              </w:rPr>
              <w:t>0.7969</w:t>
            </w:r>
          </w:p>
        </w:tc>
      </w:tr>
      <w:tr>
        <w:tc>
          <w:tcPr>
            <w:tcW w:type="dxa" w:w="1176"/>
          </w:tcPr>
          <w:p>
            <w:r>
              <w:rPr>
                <w:sz w:val="16"/>
              </w:rPr>
              <w:t>Weight 10:90</w:t>
            </w:r>
          </w:p>
        </w:tc>
        <w:tc>
          <w:tcPr>
            <w:tcW w:type="dxa" w:w="1176"/>
          </w:tcPr>
          <w:p>
            <w:r>
              <w:rPr>
                <w:sz w:val="16"/>
              </w:rPr>
              <w:t>0.10</w:t>
            </w:r>
          </w:p>
        </w:tc>
        <w:tc>
          <w:tcPr>
            <w:tcW w:type="dxa" w:w="1176"/>
          </w:tcPr>
          <w:p>
            <w:r>
              <w:rPr>
                <w:sz w:val="16"/>
              </w:rPr>
              <w:t>0.90</w:t>
            </w:r>
          </w:p>
        </w:tc>
        <w:tc>
          <w:tcPr>
            <w:tcW w:type="dxa" w:w="1176"/>
          </w:tcPr>
          <w:p>
            <w:r>
              <w:rPr>
                <w:sz w:val="16"/>
              </w:rPr>
              <w:t>62.60</w:t>
            </w:r>
          </w:p>
        </w:tc>
        <w:tc>
          <w:tcPr>
            <w:tcW w:type="dxa" w:w="1176"/>
          </w:tcPr>
          <w:p>
            <w:r>
              <w:rPr>
                <w:sz w:val="16"/>
              </w:rPr>
              <w:t>79.40</w:t>
            </w:r>
          </w:p>
        </w:tc>
        <w:tc>
          <w:tcPr>
            <w:tcW w:type="dxa" w:w="1176"/>
          </w:tcPr>
          <w:p>
            <w:r>
              <w:rPr>
                <w:sz w:val="16"/>
              </w:rPr>
              <w:t>85.80</w:t>
            </w:r>
          </w:p>
        </w:tc>
        <w:tc>
          <w:tcPr>
            <w:tcW w:type="dxa" w:w="1176"/>
          </w:tcPr>
          <w:p>
            <w:r>
              <w:rPr>
                <w:sz w:val="16"/>
              </w:rPr>
              <w:t>0.7281</w:t>
            </w:r>
          </w:p>
        </w:tc>
        <w:tc>
          <w:tcPr>
            <w:tcW w:type="dxa" w:w="1176"/>
          </w:tcPr>
          <w:p>
            <w:r>
              <w:rPr>
                <w:sz w:val="16"/>
              </w:rPr>
              <w:t>0.7522</w:t>
            </w:r>
          </w:p>
        </w:tc>
      </w:tr>
      <w:tr>
        <w:tc>
          <w:tcPr>
            <w:tcW w:type="dxa" w:w="1176"/>
          </w:tcPr>
          <w:p>
            <w:r>
              <w:rPr>
                <w:sz w:val="16"/>
              </w:rPr>
              <w:t>Pure S-BERT (0:100)</w:t>
            </w:r>
          </w:p>
        </w:tc>
        <w:tc>
          <w:tcPr>
            <w:tcW w:type="dxa" w:w="1176"/>
          </w:tcPr>
          <w:p>
            <w:r>
              <w:rPr>
                <w:sz w:val="16"/>
              </w:rPr>
              <w:t>0.00</w:t>
            </w:r>
          </w:p>
        </w:tc>
        <w:tc>
          <w:tcPr>
            <w:tcW w:type="dxa" w:w="1176"/>
          </w:tcPr>
          <w:p>
            <w:r>
              <w:rPr>
                <w:sz w:val="16"/>
              </w:rPr>
              <w:t>1.00</w:t>
            </w:r>
          </w:p>
        </w:tc>
        <w:tc>
          <w:tcPr>
            <w:tcW w:type="dxa" w:w="1176"/>
          </w:tcPr>
          <w:p>
            <w:r>
              <w:rPr>
                <w:sz w:val="16"/>
              </w:rPr>
              <w:t>57.00</w:t>
            </w:r>
          </w:p>
        </w:tc>
        <w:tc>
          <w:tcPr>
            <w:tcW w:type="dxa" w:w="1176"/>
          </w:tcPr>
          <w:p>
            <w:r>
              <w:rPr>
                <w:sz w:val="16"/>
              </w:rPr>
              <w:t>74.20</w:t>
            </w:r>
          </w:p>
        </w:tc>
        <w:tc>
          <w:tcPr>
            <w:tcW w:type="dxa" w:w="1176"/>
          </w:tcPr>
          <w:p>
            <w:r>
              <w:rPr>
                <w:sz w:val="16"/>
              </w:rPr>
              <w:t>82.80</w:t>
            </w:r>
          </w:p>
        </w:tc>
        <w:tc>
          <w:tcPr>
            <w:tcW w:type="dxa" w:w="1176"/>
          </w:tcPr>
          <w:p>
            <w:r>
              <w:rPr>
                <w:sz w:val="16"/>
              </w:rPr>
              <w:t>0.6768</w:t>
            </w:r>
          </w:p>
        </w:tc>
        <w:tc>
          <w:tcPr>
            <w:tcW w:type="dxa" w:w="1176"/>
          </w:tcPr>
          <w:p>
            <w:r>
              <w:rPr>
                <w:sz w:val="16"/>
              </w:rPr>
              <w:t>0.7060</w:t>
            </w:r>
          </w:p>
        </w:tc>
      </w:tr>
    </w:tbl>
    <w:p>
      <w:pPr>
        <w:spacing w:line="240" w:lineRule="auto" w:before="0" w:after="60"/>
        <w:jc w:val="both"/>
      </w:pPr>
      <w:r>
        <w:rPr>
          <w:rFonts w:ascii="Times New Roman" w:hAnsi="Times New Roman"/>
          <w:sz w:val="20"/>
        </w:rPr>
        <w:t>Table 3 summarizes results for Regime 2 (500 Colloquial Chat and Typo Queries):</w:t>
      </w:r>
    </w:p>
    <w:tbl>
      <w:tblPr>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sz w:val="17"/>
              </w:rPr>
              <w:t>Configuration</w:t>
            </w:r>
          </w:p>
        </w:tc>
        <w:tc>
          <w:tcPr>
            <w:tcW w:type="dxa" w:w="1176"/>
          </w:tcPr>
          <w:p>
            <w:r>
              <w:rPr>
                <w:b/>
                <w:sz w:val="17"/>
              </w:rPr>
              <w:t>w_BM</w:t>
            </w:r>
          </w:p>
        </w:tc>
        <w:tc>
          <w:tcPr>
            <w:tcW w:type="dxa" w:w="1176"/>
          </w:tcPr>
          <w:p>
            <w:r>
              <w:rPr>
                <w:b/>
                <w:sz w:val="17"/>
              </w:rPr>
              <w:t>w_SB</w:t>
            </w:r>
          </w:p>
        </w:tc>
        <w:tc>
          <w:tcPr>
            <w:tcW w:type="dxa" w:w="1176"/>
          </w:tcPr>
          <w:p>
            <w:r>
              <w:rPr>
                <w:b/>
                <w:sz w:val="17"/>
              </w:rPr>
              <w:t>P@1 (%)</w:t>
            </w:r>
          </w:p>
        </w:tc>
        <w:tc>
          <w:tcPr>
            <w:tcW w:type="dxa" w:w="1176"/>
          </w:tcPr>
          <w:p>
            <w:r>
              <w:rPr>
                <w:b/>
                <w:sz w:val="17"/>
              </w:rPr>
              <w:t>R@3 (%)</w:t>
            </w:r>
          </w:p>
        </w:tc>
        <w:tc>
          <w:tcPr>
            <w:tcW w:type="dxa" w:w="1176"/>
          </w:tcPr>
          <w:p>
            <w:r>
              <w:rPr>
                <w:b/>
                <w:sz w:val="17"/>
              </w:rPr>
              <w:t>R@5 (%)</w:t>
            </w:r>
          </w:p>
        </w:tc>
        <w:tc>
          <w:tcPr>
            <w:tcW w:type="dxa" w:w="1176"/>
          </w:tcPr>
          <w:p>
            <w:r>
              <w:rPr>
                <w:b/>
                <w:sz w:val="17"/>
              </w:rPr>
              <w:t>MRR</w:t>
            </w:r>
          </w:p>
        </w:tc>
        <w:tc>
          <w:tcPr>
            <w:tcW w:type="dxa" w:w="1176"/>
          </w:tcPr>
          <w:p>
            <w:r>
              <w:rPr>
                <w:b/>
                <w:sz w:val="17"/>
              </w:rPr>
              <w:t>NDCG@5</w:t>
            </w:r>
          </w:p>
        </w:tc>
      </w:tr>
      <w:tr>
        <w:tc>
          <w:tcPr>
            <w:tcW w:type="dxa" w:w="1176"/>
          </w:tcPr>
          <w:p>
            <w:r>
              <w:rPr>
                <w:sz w:val="16"/>
              </w:rPr>
              <w:t>Pure BM25 (100:0)</w:t>
            </w:r>
          </w:p>
        </w:tc>
        <w:tc>
          <w:tcPr>
            <w:tcW w:type="dxa" w:w="1176"/>
          </w:tcPr>
          <w:p>
            <w:r>
              <w:rPr>
                <w:sz w:val="16"/>
              </w:rPr>
              <w:t>1.00</w:t>
            </w:r>
          </w:p>
        </w:tc>
        <w:tc>
          <w:tcPr>
            <w:tcW w:type="dxa" w:w="1176"/>
          </w:tcPr>
          <w:p>
            <w:r>
              <w:rPr>
                <w:sz w:val="16"/>
              </w:rPr>
              <w:t>0.00</w:t>
            </w:r>
          </w:p>
        </w:tc>
        <w:tc>
          <w:tcPr>
            <w:tcW w:type="dxa" w:w="1176"/>
          </w:tcPr>
          <w:p>
            <w:r>
              <w:rPr>
                <w:sz w:val="16"/>
              </w:rPr>
              <w:t>56.00</w:t>
            </w:r>
          </w:p>
        </w:tc>
        <w:tc>
          <w:tcPr>
            <w:tcW w:type="dxa" w:w="1176"/>
          </w:tcPr>
          <w:p>
            <w:r>
              <w:rPr>
                <w:sz w:val="16"/>
              </w:rPr>
              <w:t>80.40</w:t>
            </w:r>
          </w:p>
        </w:tc>
        <w:tc>
          <w:tcPr>
            <w:tcW w:type="dxa" w:w="1176"/>
          </w:tcPr>
          <w:p>
            <w:r>
              <w:rPr>
                <w:sz w:val="16"/>
              </w:rPr>
              <w:t>85.00</w:t>
            </w:r>
          </w:p>
        </w:tc>
        <w:tc>
          <w:tcPr>
            <w:tcW w:type="dxa" w:w="1176"/>
          </w:tcPr>
          <w:p>
            <w:r>
              <w:rPr>
                <w:sz w:val="16"/>
              </w:rPr>
              <w:t>0.6982</w:t>
            </w:r>
          </w:p>
        </w:tc>
        <w:tc>
          <w:tcPr>
            <w:tcW w:type="dxa" w:w="1176"/>
          </w:tcPr>
          <w:p>
            <w:r>
              <w:rPr>
                <w:sz w:val="16"/>
              </w:rPr>
              <w:t>0.7235</w:t>
            </w:r>
          </w:p>
        </w:tc>
      </w:tr>
      <w:tr>
        <w:tc>
          <w:tcPr>
            <w:tcW w:type="dxa" w:w="1176"/>
          </w:tcPr>
          <w:p>
            <w:r>
              <w:rPr>
                <w:sz w:val="16"/>
              </w:rPr>
              <w:t>Weight 90:10</w:t>
            </w:r>
          </w:p>
        </w:tc>
        <w:tc>
          <w:tcPr>
            <w:tcW w:type="dxa" w:w="1176"/>
          </w:tcPr>
          <w:p>
            <w:r>
              <w:rPr>
                <w:sz w:val="16"/>
              </w:rPr>
              <w:t>0.90</w:t>
            </w:r>
          </w:p>
        </w:tc>
        <w:tc>
          <w:tcPr>
            <w:tcW w:type="dxa" w:w="1176"/>
          </w:tcPr>
          <w:p>
            <w:r>
              <w:rPr>
                <w:sz w:val="16"/>
              </w:rPr>
              <w:t>0.10</w:t>
            </w:r>
          </w:p>
        </w:tc>
        <w:tc>
          <w:tcPr>
            <w:tcW w:type="dxa" w:w="1176"/>
          </w:tcPr>
          <w:p>
            <w:r>
              <w:rPr>
                <w:sz w:val="16"/>
              </w:rPr>
              <w:t>58.40</w:t>
            </w:r>
          </w:p>
        </w:tc>
        <w:tc>
          <w:tcPr>
            <w:tcW w:type="dxa" w:w="1176"/>
          </w:tcPr>
          <w:p>
            <w:r>
              <w:rPr>
                <w:sz w:val="16"/>
              </w:rPr>
              <w:t>82.00</w:t>
            </w:r>
          </w:p>
        </w:tc>
        <w:tc>
          <w:tcPr>
            <w:tcW w:type="dxa" w:w="1176"/>
          </w:tcPr>
          <w:p>
            <w:r>
              <w:rPr>
                <w:sz w:val="16"/>
              </w:rPr>
              <w:t>85.80</w:t>
            </w:r>
          </w:p>
        </w:tc>
        <w:tc>
          <w:tcPr>
            <w:tcW w:type="dxa" w:w="1176"/>
          </w:tcPr>
          <w:p>
            <w:r>
              <w:rPr>
                <w:sz w:val="16"/>
              </w:rPr>
              <w:t>0.7179</w:t>
            </w:r>
          </w:p>
        </w:tc>
        <w:tc>
          <w:tcPr>
            <w:tcW w:type="dxa" w:w="1176"/>
          </w:tcPr>
          <w:p>
            <w:r>
              <w:rPr>
                <w:sz w:val="16"/>
              </w:rPr>
              <w:t>0.7407</w:t>
            </w:r>
          </w:p>
        </w:tc>
      </w:tr>
      <w:tr>
        <w:tc>
          <w:tcPr>
            <w:tcW w:type="dxa" w:w="1176"/>
          </w:tcPr>
          <w:p>
            <w:r>
              <w:rPr>
                <w:sz w:val="16"/>
              </w:rPr>
              <w:t>Weight 80:20</w:t>
            </w:r>
          </w:p>
        </w:tc>
        <w:tc>
          <w:tcPr>
            <w:tcW w:type="dxa" w:w="1176"/>
          </w:tcPr>
          <w:p>
            <w:r>
              <w:rPr>
                <w:sz w:val="16"/>
              </w:rPr>
              <w:t>0.80</w:t>
            </w:r>
          </w:p>
        </w:tc>
        <w:tc>
          <w:tcPr>
            <w:tcW w:type="dxa" w:w="1176"/>
          </w:tcPr>
          <w:p>
            <w:r>
              <w:rPr>
                <w:sz w:val="16"/>
              </w:rPr>
              <w:t>0.20</w:t>
            </w:r>
          </w:p>
        </w:tc>
        <w:tc>
          <w:tcPr>
            <w:tcW w:type="dxa" w:w="1176"/>
          </w:tcPr>
          <w:p>
            <w:r>
              <w:rPr>
                <w:sz w:val="16"/>
              </w:rPr>
              <w:t>59.80</w:t>
            </w:r>
          </w:p>
        </w:tc>
        <w:tc>
          <w:tcPr>
            <w:tcW w:type="dxa" w:w="1176"/>
          </w:tcPr>
          <w:p>
            <w:r>
              <w:rPr>
                <w:sz w:val="16"/>
              </w:rPr>
              <w:t>83.60</w:t>
            </w:r>
          </w:p>
        </w:tc>
        <w:tc>
          <w:tcPr>
            <w:tcW w:type="dxa" w:w="1176"/>
          </w:tcPr>
          <w:p>
            <w:r>
              <w:rPr>
                <w:sz w:val="16"/>
              </w:rPr>
              <w:t>89.20</w:t>
            </w:r>
          </w:p>
        </w:tc>
        <w:tc>
          <w:tcPr>
            <w:tcW w:type="dxa" w:w="1176"/>
          </w:tcPr>
          <w:p>
            <w:r>
              <w:rPr>
                <w:sz w:val="16"/>
              </w:rPr>
              <w:t>0.7312</w:t>
            </w:r>
          </w:p>
        </w:tc>
        <w:tc>
          <w:tcPr>
            <w:tcW w:type="dxa" w:w="1176"/>
          </w:tcPr>
          <w:p>
            <w:r>
              <w:rPr>
                <w:sz w:val="16"/>
              </w:rPr>
              <w:t>0.7626</w:t>
            </w:r>
          </w:p>
        </w:tc>
      </w:tr>
      <w:tr>
        <w:tc>
          <w:tcPr>
            <w:tcW w:type="dxa" w:w="1176"/>
          </w:tcPr>
          <w:p>
            <w:r>
              <w:rPr>
                <w:sz w:val="16"/>
              </w:rPr>
              <w:t>Weight 75:25</w:t>
            </w:r>
          </w:p>
        </w:tc>
        <w:tc>
          <w:tcPr>
            <w:tcW w:type="dxa" w:w="1176"/>
          </w:tcPr>
          <w:p>
            <w:r>
              <w:rPr>
                <w:sz w:val="16"/>
              </w:rPr>
              <w:t>0.75</w:t>
            </w:r>
          </w:p>
        </w:tc>
        <w:tc>
          <w:tcPr>
            <w:tcW w:type="dxa" w:w="1176"/>
          </w:tcPr>
          <w:p>
            <w:r>
              <w:rPr>
                <w:sz w:val="16"/>
              </w:rPr>
              <w:t>0.25</w:t>
            </w:r>
          </w:p>
        </w:tc>
        <w:tc>
          <w:tcPr>
            <w:tcW w:type="dxa" w:w="1176"/>
          </w:tcPr>
          <w:p>
            <w:r>
              <w:rPr>
                <w:sz w:val="16"/>
              </w:rPr>
              <w:t>62.00</w:t>
            </w:r>
          </w:p>
        </w:tc>
        <w:tc>
          <w:tcPr>
            <w:tcW w:type="dxa" w:w="1176"/>
          </w:tcPr>
          <w:p>
            <w:r>
              <w:rPr>
                <w:sz w:val="16"/>
              </w:rPr>
              <w:t>84.60</w:t>
            </w:r>
          </w:p>
        </w:tc>
        <w:tc>
          <w:tcPr>
            <w:tcW w:type="dxa" w:w="1176"/>
          </w:tcPr>
          <w:p>
            <w:r>
              <w:rPr>
                <w:sz w:val="16"/>
              </w:rPr>
              <w:t>90.20</w:t>
            </w:r>
          </w:p>
        </w:tc>
        <w:tc>
          <w:tcPr>
            <w:tcW w:type="dxa" w:w="1176"/>
          </w:tcPr>
          <w:p>
            <w:r>
              <w:rPr>
                <w:sz w:val="16"/>
              </w:rPr>
              <w:t>0.7458</w:t>
            </w:r>
          </w:p>
        </w:tc>
        <w:tc>
          <w:tcPr>
            <w:tcW w:type="dxa" w:w="1176"/>
          </w:tcPr>
          <w:p>
            <w:r>
              <w:rPr>
                <w:sz w:val="16"/>
              </w:rPr>
              <w:t>0.7769</w:t>
            </w:r>
          </w:p>
        </w:tc>
      </w:tr>
      <w:tr>
        <w:tc>
          <w:tcPr>
            <w:tcW w:type="dxa" w:w="1176"/>
          </w:tcPr>
          <w:p>
            <w:r>
              <w:rPr>
                <w:sz w:val="16"/>
              </w:rPr>
              <w:t>Weight 70:30</w:t>
            </w:r>
          </w:p>
        </w:tc>
        <w:tc>
          <w:tcPr>
            <w:tcW w:type="dxa" w:w="1176"/>
          </w:tcPr>
          <w:p>
            <w:r>
              <w:rPr>
                <w:sz w:val="16"/>
              </w:rPr>
              <w:t>0.70</w:t>
            </w:r>
          </w:p>
        </w:tc>
        <w:tc>
          <w:tcPr>
            <w:tcW w:type="dxa" w:w="1176"/>
          </w:tcPr>
          <w:p>
            <w:r>
              <w:rPr>
                <w:sz w:val="16"/>
              </w:rPr>
              <w:t>0.30</w:t>
            </w:r>
          </w:p>
        </w:tc>
        <w:tc>
          <w:tcPr>
            <w:tcW w:type="dxa" w:w="1176"/>
          </w:tcPr>
          <w:p>
            <w:r>
              <w:rPr>
                <w:sz w:val="16"/>
              </w:rPr>
              <w:t>63.00</w:t>
            </w:r>
          </w:p>
        </w:tc>
        <w:tc>
          <w:tcPr>
            <w:tcW w:type="dxa" w:w="1176"/>
          </w:tcPr>
          <w:p>
            <w:r>
              <w:rPr>
                <w:sz w:val="16"/>
              </w:rPr>
              <w:t>85.40</w:t>
            </w:r>
          </w:p>
        </w:tc>
        <w:tc>
          <w:tcPr>
            <w:tcW w:type="dxa" w:w="1176"/>
          </w:tcPr>
          <w:p>
            <w:r>
              <w:rPr>
                <w:sz w:val="16"/>
              </w:rPr>
              <w:t>91.40</w:t>
            </w:r>
          </w:p>
        </w:tc>
        <w:tc>
          <w:tcPr>
            <w:tcW w:type="dxa" w:w="1176"/>
          </w:tcPr>
          <w:p>
            <w:r>
              <w:rPr>
                <w:sz w:val="16"/>
              </w:rPr>
              <w:t>0.7526</w:t>
            </w:r>
          </w:p>
        </w:tc>
        <w:tc>
          <w:tcPr>
            <w:tcW w:type="dxa" w:w="1176"/>
          </w:tcPr>
          <w:p>
            <w:r>
              <w:rPr>
                <w:sz w:val="16"/>
              </w:rPr>
              <w:t>0.7864</w:t>
            </w:r>
          </w:p>
        </w:tc>
      </w:tr>
      <w:tr>
        <w:tc>
          <w:tcPr>
            <w:tcW w:type="dxa" w:w="1176"/>
          </w:tcPr>
          <w:p>
            <w:r>
              <w:rPr>
                <w:sz w:val="16"/>
              </w:rPr>
              <w:t>Weight 60:40</w:t>
            </w:r>
          </w:p>
        </w:tc>
        <w:tc>
          <w:tcPr>
            <w:tcW w:type="dxa" w:w="1176"/>
          </w:tcPr>
          <w:p>
            <w:r>
              <w:rPr>
                <w:sz w:val="16"/>
              </w:rPr>
              <w:t>0.60</w:t>
            </w:r>
          </w:p>
        </w:tc>
        <w:tc>
          <w:tcPr>
            <w:tcW w:type="dxa" w:w="1176"/>
          </w:tcPr>
          <w:p>
            <w:r>
              <w:rPr>
                <w:sz w:val="16"/>
              </w:rPr>
              <w:t>0.40</w:t>
            </w:r>
          </w:p>
        </w:tc>
        <w:tc>
          <w:tcPr>
            <w:tcW w:type="dxa" w:w="1176"/>
          </w:tcPr>
          <w:p>
            <w:r>
              <w:rPr>
                <w:sz w:val="16"/>
              </w:rPr>
              <w:t>63.40</w:t>
            </w:r>
          </w:p>
        </w:tc>
        <w:tc>
          <w:tcPr>
            <w:tcW w:type="dxa" w:w="1176"/>
          </w:tcPr>
          <w:p>
            <w:r>
              <w:rPr>
                <w:sz w:val="16"/>
              </w:rPr>
              <w:t>88.40 *</w:t>
            </w:r>
          </w:p>
        </w:tc>
        <w:tc>
          <w:tcPr>
            <w:tcW w:type="dxa" w:w="1176"/>
          </w:tcPr>
          <w:p>
            <w:r>
              <w:rPr>
                <w:sz w:val="16"/>
              </w:rPr>
              <w:t>93.20 *</w:t>
            </w:r>
          </w:p>
        </w:tc>
        <w:tc>
          <w:tcPr>
            <w:tcW w:type="dxa" w:w="1176"/>
          </w:tcPr>
          <w:p>
            <w:r>
              <w:rPr>
                <w:sz w:val="16"/>
              </w:rPr>
              <w:t>0.7629</w:t>
            </w:r>
          </w:p>
        </w:tc>
        <w:tc>
          <w:tcPr>
            <w:tcW w:type="dxa" w:w="1176"/>
          </w:tcPr>
          <w:p>
            <w:r>
              <w:rPr>
                <w:sz w:val="16"/>
              </w:rPr>
              <w:t>0.8011</w:t>
            </w:r>
          </w:p>
        </w:tc>
      </w:tr>
      <w:tr>
        <w:tc>
          <w:tcPr>
            <w:tcW w:type="dxa" w:w="1176"/>
          </w:tcPr>
          <w:p>
            <w:r>
              <w:rPr>
                <w:b/>
                <w:sz w:val="16"/>
              </w:rPr>
              <w:t>Proposed 50:50</w:t>
            </w:r>
          </w:p>
        </w:tc>
        <w:tc>
          <w:tcPr>
            <w:tcW w:type="dxa" w:w="1176"/>
          </w:tcPr>
          <w:p>
            <w:r>
              <w:rPr>
                <w:b/>
                <w:sz w:val="16"/>
              </w:rPr>
              <w:t>0.50</w:t>
            </w:r>
          </w:p>
        </w:tc>
        <w:tc>
          <w:tcPr>
            <w:tcW w:type="dxa" w:w="1176"/>
          </w:tcPr>
          <w:p>
            <w:r>
              <w:rPr>
                <w:b/>
                <w:sz w:val="16"/>
              </w:rPr>
              <w:t>0.50</w:t>
            </w:r>
          </w:p>
        </w:tc>
        <w:tc>
          <w:tcPr>
            <w:tcW w:type="dxa" w:w="1176"/>
          </w:tcPr>
          <w:p>
            <w:r>
              <w:rPr>
                <w:b/>
                <w:sz w:val="16"/>
              </w:rPr>
              <w:t>64.20 *</w:t>
            </w:r>
          </w:p>
        </w:tc>
        <w:tc>
          <w:tcPr>
            <w:tcW w:type="dxa" w:w="1176"/>
          </w:tcPr>
          <w:p>
            <w:r>
              <w:rPr>
                <w:b/>
                <w:sz w:val="16"/>
              </w:rPr>
              <w:t>87.80</w:t>
            </w:r>
          </w:p>
        </w:tc>
        <w:tc>
          <w:tcPr>
            <w:tcW w:type="dxa" w:w="1176"/>
          </w:tcPr>
          <w:p>
            <w:r>
              <w:rPr>
                <w:b/>
                <w:sz w:val="16"/>
              </w:rPr>
              <w:t>92.60</w:t>
            </w:r>
          </w:p>
        </w:tc>
        <w:tc>
          <w:tcPr>
            <w:tcW w:type="dxa" w:w="1176"/>
          </w:tcPr>
          <w:p>
            <w:r>
              <w:rPr>
                <w:b/>
                <w:sz w:val="16"/>
              </w:rPr>
              <w:t>0.7670 *</w:t>
            </w:r>
          </w:p>
        </w:tc>
        <w:tc>
          <w:tcPr>
            <w:tcW w:type="dxa" w:w="1176"/>
          </w:tcPr>
          <w:p>
            <w:r>
              <w:rPr>
                <w:b/>
                <w:sz w:val="16"/>
              </w:rPr>
              <w:t>0.8021 *</w:t>
            </w:r>
          </w:p>
        </w:tc>
      </w:tr>
      <w:tr>
        <w:tc>
          <w:tcPr>
            <w:tcW w:type="dxa" w:w="1176"/>
          </w:tcPr>
          <w:p>
            <w:r>
              <w:rPr>
                <w:sz w:val="16"/>
              </w:rPr>
              <w:t>Weight 40:60</w:t>
            </w:r>
          </w:p>
        </w:tc>
        <w:tc>
          <w:tcPr>
            <w:tcW w:type="dxa" w:w="1176"/>
          </w:tcPr>
          <w:p>
            <w:r>
              <w:rPr>
                <w:sz w:val="16"/>
              </w:rPr>
              <w:t>0.40</w:t>
            </w:r>
          </w:p>
        </w:tc>
        <w:tc>
          <w:tcPr>
            <w:tcW w:type="dxa" w:w="1176"/>
          </w:tcPr>
          <w:p>
            <w:r>
              <w:rPr>
                <w:sz w:val="16"/>
              </w:rPr>
              <w:t>0.60</w:t>
            </w:r>
          </w:p>
        </w:tc>
        <w:tc>
          <w:tcPr>
            <w:tcW w:type="dxa" w:w="1176"/>
          </w:tcPr>
          <w:p>
            <w:r>
              <w:rPr>
                <w:sz w:val="16"/>
              </w:rPr>
              <w:t>62.60</w:t>
            </w:r>
          </w:p>
        </w:tc>
        <w:tc>
          <w:tcPr>
            <w:tcW w:type="dxa" w:w="1176"/>
          </w:tcPr>
          <w:p>
            <w:r>
              <w:rPr>
                <w:sz w:val="16"/>
              </w:rPr>
              <w:t>85.80</w:t>
            </w:r>
          </w:p>
        </w:tc>
        <w:tc>
          <w:tcPr>
            <w:tcW w:type="dxa" w:w="1176"/>
          </w:tcPr>
          <w:p>
            <w:r>
              <w:rPr>
                <w:sz w:val="16"/>
              </w:rPr>
              <w:t>91.60</w:t>
            </w:r>
          </w:p>
        </w:tc>
        <w:tc>
          <w:tcPr>
            <w:tcW w:type="dxa" w:w="1176"/>
          </w:tcPr>
          <w:p>
            <w:r>
              <w:rPr>
                <w:sz w:val="16"/>
              </w:rPr>
              <w:t>0.7507</w:t>
            </w:r>
          </w:p>
        </w:tc>
        <w:tc>
          <w:tcPr>
            <w:tcW w:type="dxa" w:w="1176"/>
          </w:tcPr>
          <w:p>
            <w:r>
              <w:rPr>
                <w:sz w:val="16"/>
              </w:rPr>
              <w:t>0.7867</w:t>
            </w:r>
          </w:p>
        </w:tc>
      </w:tr>
      <w:tr>
        <w:tc>
          <w:tcPr>
            <w:tcW w:type="dxa" w:w="1176"/>
          </w:tcPr>
          <w:p>
            <w:r>
              <w:rPr>
                <w:sz w:val="16"/>
              </w:rPr>
              <w:t>Weight 30:70</w:t>
            </w:r>
          </w:p>
        </w:tc>
        <w:tc>
          <w:tcPr>
            <w:tcW w:type="dxa" w:w="1176"/>
          </w:tcPr>
          <w:p>
            <w:r>
              <w:rPr>
                <w:sz w:val="16"/>
              </w:rPr>
              <w:t>0.30</w:t>
            </w:r>
          </w:p>
        </w:tc>
        <w:tc>
          <w:tcPr>
            <w:tcW w:type="dxa" w:w="1176"/>
          </w:tcPr>
          <w:p>
            <w:r>
              <w:rPr>
                <w:sz w:val="16"/>
              </w:rPr>
              <w:t>0.70</w:t>
            </w:r>
          </w:p>
        </w:tc>
        <w:tc>
          <w:tcPr>
            <w:tcW w:type="dxa" w:w="1176"/>
          </w:tcPr>
          <w:p>
            <w:r>
              <w:rPr>
                <w:sz w:val="16"/>
              </w:rPr>
              <w:t>59.20</w:t>
            </w:r>
          </w:p>
        </w:tc>
        <w:tc>
          <w:tcPr>
            <w:tcW w:type="dxa" w:w="1176"/>
          </w:tcPr>
          <w:p>
            <w:r>
              <w:rPr>
                <w:sz w:val="16"/>
              </w:rPr>
              <w:t>83.00</w:t>
            </w:r>
          </w:p>
        </w:tc>
        <w:tc>
          <w:tcPr>
            <w:tcW w:type="dxa" w:w="1176"/>
          </w:tcPr>
          <w:p>
            <w:r>
              <w:rPr>
                <w:sz w:val="16"/>
              </w:rPr>
              <w:t>90.00</w:t>
            </w:r>
          </w:p>
        </w:tc>
        <w:tc>
          <w:tcPr>
            <w:tcW w:type="dxa" w:w="1176"/>
          </w:tcPr>
          <w:p>
            <w:r>
              <w:rPr>
                <w:sz w:val="16"/>
              </w:rPr>
              <w:t>0.7202</w:t>
            </w:r>
          </w:p>
        </w:tc>
        <w:tc>
          <w:tcPr>
            <w:tcW w:type="dxa" w:w="1176"/>
          </w:tcPr>
          <w:p>
            <w:r>
              <w:rPr>
                <w:sz w:val="16"/>
              </w:rPr>
              <w:t>0.7589</w:t>
            </w:r>
          </w:p>
        </w:tc>
      </w:tr>
      <w:tr>
        <w:tc>
          <w:tcPr>
            <w:tcW w:type="dxa" w:w="1176"/>
          </w:tcPr>
          <w:p>
            <w:r>
              <w:rPr>
                <w:sz w:val="16"/>
              </w:rPr>
              <w:t>Weight 25:75</w:t>
            </w:r>
          </w:p>
        </w:tc>
        <w:tc>
          <w:tcPr>
            <w:tcW w:type="dxa" w:w="1176"/>
          </w:tcPr>
          <w:p>
            <w:r>
              <w:rPr>
                <w:sz w:val="16"/>
              </w:rPr>
              <w:t>0.25</w:t>
            </w:r>
          </w:p>
        </w:tc>
        <w:tc>
          <w:tcPr>
            <w:tcW w:type="dxa" w:w="1176"/>
          </w:tcPr>
          <w:p>
            <w:r>
              <w:rPr>
                <w:sz w:val="16"/>
              </w:rPr>
              <w:t>0.75</w:t>
            </w:r>
          </w:p>
        </w:tc>
        <w:tc>
          <w:tcPr>
            <w:tcW w:type="dxa" w:w="1176"/>
          </w:tcPr>
          <w:p>
            <w:r>
              <w:rPr>
                <w:sz w:val="16"/>
              </w:rPr>
              <w:t>55.00</w:t>
            </w:r>
          </w:p>
        </w:tc>
        <w:tc>
          <w:tcPr>
            <w:tcW w:type="dxa" w:w="1176"/>
          </w:tcPr>
          <w:p>
            <w:r>
              <w:rPr>
                <w:sz w:val="16"/>
              </w:rPr>
              <w:t>79.80</w:t>
            </w:r>
          </w:p>
        </w:tc>
        <w:tc>
          <w:tcPr>
            <w:tcW w:type="dxa" w:w="1176"/>
          </w:tcPr>
          <w:p>
            <w:r>
              <w:rPr>
                <w:sz w:val="16"/>
              </w:rPr>
              <w:t>88.00</w:t>
            </w:r>
          </w:p>
        </w:tc>
        <w:tc>
          <w:tcPr>
            <w:tcW w:type="dxa" w:w="1176"/>
          </w:tcPr>
          <w:p>
            <w:r>
              <w:rPr>
                <w:sz w:val="16"/>
              </w:rPr>
              <w:t>0.6937</w:t>
            </w:r>
          </w:p>
        </w:tc>
        <w:tc>
          <w:tcPr>
            <w:tcW w:type="dxa" w:w="1176"/>
          </w:tcPr>
          <w:p>
            <w:r>
              <w:rPr>
                <w:sz w:val="16"/>
              </w:rPr>
              <w:t>0.7325</w:t>
            </w:r>
          </w:p>
        </w:tc>
      </w:tr>
      <w:tr>
        <w:tc>
          <w:tcPr>
            <w:tcW w:type="dxa" w:w="1176"/>
          </w:tcPr>
          <w:p>
            <w:r>
              <w:rPr>
                <w:sz w:val="16"/>
              </w:rPr>
              <w:t>Weight 20:80</w:t>
            </w:r>
          </w:p>
        </w:tc>
        <w:tc>
          <w:tcPr>
            <w:tcW w:type="dxa" w:w="1176"/>
          </w:tcPr>
          <w:p>
            <w:r>
              <w:rPr>
                <w:sz w:val="16"/>
              </w:rPr>
              <w:t>0.20</w:t>
            </w:r>
          </w:p>
        </w:tc>
        <w:tc>
          <w:tcPr>
            <w:tcW w:type="dxa" w:w="1176"/>
          </w:tcPr>
          <w:p>
            <w:r>
              <w:rPr>
                <w:sz w:val="16"/>
              </w:rPr>
              <w:t>0.80</w:t>
            </w:r>
          </w:p>
        </w:tc>
        <w:tc>
          <w:tcPr>
            <w:tcW w:type="dxa" w:w="1176"/>
          </w:tcPr>
          <w:p>
            <w:r>
              <w:rPr>
                <w:sz w:val="16"/>
              </w:rPr>
              <w:t>52.80</w:t>
            </w:r>
          </w:p>
        </w:tc>
        <w:tc>
          <w:tcPr>
            <w:tcW w:type="dxa" w:w="1176"/>
          </w:tcPr>
          <w:p>
            <w:r>
              <w:rPr>
                <w:sz w:val="16"/>
              </w:rPr>
              <w:t>77.40</w:t>
            </w:r>
          </w:p>
        </w:tc>
        <w:tc>
          <w:tcPr>
            <w:tcW w:type="dxa" w:w="1176"/>
          </w:tcPr>
          <w:p>
            <w:r>
              <w:rPr>
                <w:sz w:val="16"/>
              </w:rPr>
              <w:t>85.80</w:t>
            </w:r>
          </w:p>
        </w:tc>
        <w:tc>
          <w:tcPr>
            <w:tcW w:type="dxa" w:w="1176"/>
          </w:tcPr>
          <w:p>
            <w:r>
              <w:rPr>
                <w:sz w:val="16"/>
              </w:rPr>
              <w:t>0.6701</w:t>
            </w:r>
          </w:p>
        </w:tc>
        <w:tc>
          <w:tcPr>
            <w:tcW w:type="dxa" w:w="1176"/>
          </w:tcPr>
          <w:p>
            <w:r>
              <w:rPr>
                <w:sz w:val="16"/>
              </w:rPr>
              <w:t>0.7078</w:t>
            </w:r>
          </w:p>
        </w:tc>
      </w:tr>
      <w:tr>
        <w:tc>
          <w:tcPr>
            <w:tcW w:type="dxa" w:w="1176"/>
          </w:tcPr>
          <w:p>
            <w:r>
              <w:rPr>
                <w:sz w:val="16"/>
              </w:rPr>
              <w:t>Weight 10:90</w:t>
            </w:r>
          </w:p>
        </w:tc>
        <w:tc>
          <w:tcPr>
            <w:tcW w:type="dxa" w:w="1176"/>
          </w:tcPr>
          <w:p>
            <w:r>
              <w:rPr>
                <w:sz w:val="16"/>
              </w:rPr>
              <w:t>0.10</w:t>
            </w:r>
          </w:p>
        </w:tc>
        <w:tc>
          <w:tcPr>
            <w:tcW w:type="dxa" w:w="1176"/>
          </w:tcPr>
          <w:p>
            <w:r>
              <w:rPr>
                <w:sz w:val="16"/>
              </w:rPr>
              <w:t>0.90</w:t>
            </w:r>
          </w:p>
        </w:tc>
        <w:tc>
          <w:tcPr>
            <w:tcW w:type="dxa" w:w="1176"/>
          </w:tcPr>
          <w:p>
            <w:r>
              <w:rPr>
                <w:sz w:val="16"/>
              </w:rPr>
              <w:t>48.20</w:t>
            </w:r>
          </w:p>
        </w:tc>
        <w:tc>
          <w:tcPr>
            <w:tcW w:type="dxa" w:w="1176"/>
          </w:tcPr>
          <w:p>
            <w:r>
              <w:rPr>
                <w:sz w:val="16"/>
              </w:rPr>
              <w:t>71.80</w:t>
            </w:r>
          </w:p>
        </w:tc>
        <w:tc>
          <w:tcPr>
            <w:tcW w:type="dxa" w:w="1176"/>
          </w:tcPr>
          <w:p>
            <w:r>
              <w:rPr>
                <w:sz w:val="16"/>
              </w:rPr>
              <w:t>81.00</w:t>
            </w:r>
          </w:p>
        </w:tc>
        <w:tc>
          <w:tcPr>
            <w:tcW w:type="dxa" w:w="1176"/>
          </w:tcPr>
          <w:p>
            <w:r>
              <w:rPr>
                <w:sz w:val="16"/>
              </w:rPr>
              <w:t>0.6197</w:t>
            </w:r>
          </w:p>
        </w:tc>
        <w:tc>
          <w:tcPr>
            <w:tcW w:type="dxa" w:w="1176"/>
          </w:tcPr>
          <w:p>
            <w:r>
              <w:rPr>
                <w:sz w:val="16"/>
              </w:rPr>
              <w:t>0.6559</w:t>
            </w:r>
          </w:p>
        </w:tc>
      </w:tr>
      <w:tr>
        <w:tc>
          <w:tcPr>
            <w:tcW w:type="dxa" w:w="1176"/>
          </w:tcPr>
          <w:p>
            <w:r>
              <w:rPr>
                <w:sz w:val="16"/>
              </w:rPr>
              <w:t>Pure S-BERT (0:100)</w:t>
            </w:r>
          </w:p>
        </w:tc>
        <w:tc>
          <w:tcPr>
            <w:tcW w:type="dxa" w:w="1176"/>
          </w:tcPr>
          <w:p>
            <w:r>
              <w:rPr>
                <w:sz w:val="16"/>
              </w:rPr>
              <w:t>0.00</w:t>
            </w:r>
          </w:p>
        </w:tc>
        <w:tc>
          <w:tcPr>
            <w:tcW w:type="dxa" w:w="1176"/>
          </w:tcPr>
          <w:p>
            <w:r>
              <w:rPr>
                <w:sz w:val="16"/>
              </w:rPr>
              <w:t>1.00</w:t>
            </w:r>
          </w:p>
        </w:tc>
        <w:tc>
          <w:tcPr>
            <w:tcW w:type="dxa" w:w="1176"/>
          </w:tcPr>
          <w:p>
            <w:r>
              <w:rPr>
                <w:sz w:val="16"/>
              </w:rPr>
              <w:t>42.00</w:t>
            </w:r>
          </w:p>
        </w:tc>
        <w:tc>
          <w:tcPr>
            <w:tcW w:type="dxa" w:w="1176"/>
          </w:tcPr>
          <w:p>
            <w:r>
              <w:rPr>
                <w:sz w:val="16"/>
              </w:rPr>
              <w:t>65.20</w:t>
            </w:r>
          </w:p>
        </w:tc>
        <w:tc>
          <w:tcPr>
            <w:tcW w:type="dxa" w:w="1176"/>
          </w:tcPr>
          <w:p>
            <w:r>
              <w:rPr>
                <w:sz w:val="16"/>
              </w:rPr>
              <w:t>74.60</w:t>
            </w:r>
          </w:p>
        </w:tc>
        <w:tc>
          <w:tcPr>
            <w:tcW w:type="dxa" w:w="1176"/>
          </w:tcPr>
          <w:p>
            <w:r>
              <w:rPr>
                <w:sz w:val="16"/>
              </w:rPr>
              <w:t>0.5633</w:t>
            </w:r>
          </w:p>
        </w:tc>
        <w:tc>
          <w:tcPr>
            <w:tcW w:type="dxa" w:w="1176"/>
          </w:tcPr>
          <w:p>
            <w:r>
              <w:rPr>
                <w:sz w:val="16"/>
              </w:rPr>
              <w:t>0.5946</w:t>
            </w:r>
          </w:p>
        </w:tc>
      </w:tr>
    </w:tbl>
    <w:p>
      <w:pPr>
        <w:spacing w:before="120" w:after="40"/>
      </w:pPr>
      <w:r>
        <w:rPr>
          <w:rFonts w:ascii="Times New Roman" w:hAnsi="Times New Roman"/>
          <w:b/>
          <w:sz w:val="20"/>
        </w:rPr>
        <w:t>B. Inverted-U Performance Trajectory and Precision-Recall Dynamics</w:t>
      </w:r>
    </w:p>
    <w:p>
      <w:pPr>
        <w:spacing w:line="240" w:lineRule="auto" w:before="0" w:after="60"/>
        <w:ind w:firstLine="425"/>
        <w:jc w:val="both"/>
      </w:pPr>
      <w:r>
        <w:rPr>
          <w:rFonts w:ascii="Times New Roman" w:hAnsi="Times New Roman"/>
          <w:sz w:val="20"/>
        </w:rPr>
        <w:t>Across both regimes, retrieval performance forms an inverted-U (concave) trajectory peaking at the balanced 50:50 ratio. Under colloquial stress testing, a notable trade-off emerges: the 60:40 configuration secures slightly higher Recall@5 (93.20% vs 92.60%) because heavily weighted BM25 acts as a broad candidate magnet. However, 50:50 superiorly achieves the highest Precision@1 (64.20% vs 63.40%) and MRR (0.7670 vs 0.7629), proving that balanced semantic weight is essential to propel relevant documents into the top position (#1).</w:t>
      </w:r>
    </w:p>
    <w:p>
      <w:pPr>
        <w:spacing w:before="120" w:after="40"/>
      </w:pPr>
      <w:r>
        <w:rPr>
          <w:rFonts w:ascii="Times New Roman" w:hAnsi="Times New Roman"/>
          <w:b/>
          <w:sz w:val="20"/>
        </w:rPr>
        <w:t>C. Component Ablation Study</w:t>
      </w:r>
    </w:p>
    <w:p>
      <w:pPr>
        <w:spacing w:line="240" w:lineRule="auto" w:before="0" w:after="60"/>
        <w:ind w:firstLine="425"/>
        <w:jc w:val="both"/>
      </w:pPr>
      <w:r>
        <w:rPr>
          <w:rFonts w:ascii="Times New Roman" w:hAnsi="Times New Roman"/>
          <w:sz w:val="20"/>
        </w:rPr>
        <w:t>A symmetric ablation experiment demonstrates that the proposed Soft Category Gating elevates standalone BM25 by +20.60% (from 26.80% to 47.40%), standalone Sentence-BERT by +15.40% (from 11.80% to 27.20%), and composite Hybrid by +27.00% (from 30.40% to 57.40%), confirming that lightweight domain-specific heuristics effectively prune retrieval noise across dense religious document clusters.</w:t>
      </w:r>
    </w:p>
    <w:p>
      <w:pPr>
        <w:spacing w:before="200" w:after="80"/>
      </w:pPr>
      <w:r>
        <w:rPr>
          <w:rFonts w:ascii="Times New Roman" w:hAnsi="Times New Roman"/>
          <w:b/>
          <w:sz w:val="20"/>
        </w:rPr>
        <w:t>5. CONCLUSION</w:t>
      </w:r>
    </w:p>
    <w:p>
      <w:pPr>
        <w:spacing w:line="240" w:lineRule="auto" w:before="0" w:after="60"/>
        <w:ind w:firstLine="425"/>
        <w:jc w:val="both"/>
      </w:pPr>
      <w:r>
        <w:rPr>
          <w:rFonts w:ascii="Times New Roman" w:hAnsi="Times New Roman"/>
          <w:sz w:val="20"/>
        </w:rPr>
        <w:t>This study developed and evaluated an enhanced Hybrid Islamic Jurisprudence Retrieval architecture integrating Okapi BM25 lexical indexing and Multilingual Sentence-BERT dense embeddings. Benchmarked across 1,000 queries, the balanced 50:50 fusion configuration achieved superior performance, recording Precision@1 of 75.00%, Recall@5 of 93.80%, and MRR of 0.8319 on unseen formal queries, alongside Precision@1 of 64.20%, Recall@5 of 92.60%, and MRR of 0.7670 on colloquial stress-test queries. Precision@1 is confirmed as the primary metric in known-item religious QA search. Future research will explore expanding the corpus to contemporary financial transactions (mu'amalah) and incorporating dense fine-tuning via contrastive learning.</w:t>
      </w:r>
    </w:p>
    <w:p>
      <w:pPr>
        <w:spacing w:before="200" w:after="80"/>
      </w:pPr>
      <w:r>
        <w:rPr>
          <w:rFonts w:ascii="Times New Roman" w:hAnsi="Times New Roman"/>
          <w:b/>
          <w:sz w:val="20"/>
        </w:rPr>
        <w:t>6. REFERENCES</w:t>
      </w:r>
    </w:p>
    <w:p>
      <w:pPr>
        <w:spacing w:line="240" w:lineRule="auto" w:before="0" w:after="80"/>
        <w:ind w:left="425" w:hanging="425"/>
        <w:jc w:val="both"/>
      </w:pPr>
      <w:r>
        <w:rPr>
          <w:rFonts w:ascii="Times New Roman" w:hAnsi="Times New Roman"/>
          <w:sz w:val="17"/>
        </w:rPr>
        <w:t>Adek, R. T., Bustami, &amp; Ula, M. (2021). Systematic review on the application of social media analytics for detecting radical and extremist groups. IOP Conference Series: Materials Science and Engineering, 1071(1), 012029. https://doi.org/10.1088/1757-899X/1071/1/012029</w:t>
      </w:r>
    </w:p>
    <w:p>
      <w:pPr>
        <w:spacing w:line="240" w:lineRule="auto" w:before="0" w:after="80"/>
        <w:ind w:left="425" w:hanging="425"/>
        <w:jc w:val="both"/>
      </w:pPr>
      <w:r>
        <w:rPr>
          <w:rFonts w:ascii="Times New Roman" w:hAnsi="Times New Roman"/>
          <w:sz w:val="17"/>
        </w:rPr>
        <w:t>Arifin, S., Khisni, A., &amp; Wahyuningsih, S. (2022). Metodologi istinbath hukum Majelis Tarjih Muhammadiyah dan Lembaga Bahtsul Masail Nahdlatul Ulama dalam fatwa fikih kontemporer. Jurnal Hukum Ius Quia Iustum, 29(2), 341–362. https://doi.org/10.20885/iustum.vol29.iss2.art7</w:t>
      </w:r>
    </w:p>
    <w:p>
      <w:pPr>
        <w:spacing w:line="240" w:lineRule="auto" w:before="0" w:after="80"/>
        <w:ind w:left="425" w:hanging="425"/>
        <w:jc w:val="both"/>
      </w:pPr>
      <w:r>
        <w:rPr>
          <w:rFonts w:ascii="Times New Roman" w:hAnsi="Times New Roman"/>
          <w:sz w:val="17"/>
        </w:rPr>
        <w:t>Cormack, G. V., Clarke, C. L., &amp; Buettcher, S. (2009). Reciprocal rank fusion outperforms Condorcet and individual rank learning methods. In Proceedings of the 32nd International ACM SIGIR Conference on Research and Development in Information Retrieval (pp. 758–759). ACM. https://doi.org/10.1145/1571941.1572114</w:t>
      </w:r>
    </w:p>
    <w:p>
      <w:pPr>
        <w:spacing w:line="240" w:lineRule="auto" w:before="0" w:after="80"/>
        <w:ind w:left="425" w:hanging="425"/>
        <w:jc w:val="both"/>
      </w:pPr>
      <w:r>
        <w:rPr>
          <w:rFonts w:ascii="Times New Roman" w:hAnsi="Times New Roman"/>
          <w:sz w:val="17"/>
        </w:rPr>
        <w:t>Fadlan, S., &amp; Ramdani, D. (2022). Penerapan Social Network Analysis pada jaringan GSM untuk analisa jaringan kriminal. Jurnal Teknologi Informasi, 2(1), 45–54.</w:t>
      </w:r>
    </w:p>
    <w:p>
      <w:pPr>
        <w:spacing w:line="240" w:lineRule="auto" w:before="0" w:after="80"/>
        <w:ind w:left="425" w:hanging="425"/>
        <w:jc w:val="both"/>
      </w:pPr>
      <w:r>
        <w:rPr>
          <w:rFonts w:ascii="Times New Roman" w:hAnsi="Times New Roman"/>
          <w:sz w:val="17"/>
        </w:rPr>
        <w:t>Fauzi, M. (2021). Tradisi Bahtsul Masail Nahdlatul Ulama: Dinamika fiqih kontekstual dalam menjawab persoalan keumatan. Al-Manahij: Jurnal Kajian Hukum Islam, 15(1), 89–104. https://doi.org/10.24090/mnh.v15i1.4820</w:t>
      </w:r>
    </w:p>
    <w:p>
      <w:pPr>
        <w:spacing w:line="240" w:lineRule="auto" w:before="0" w:after="80"/>
        <w:ind w:left="425" w:hanging="425"/>
        <w:jc w:val="both"/>
      </w:pPr>
      <w:r>
        <w:rPr>
          <w:rFonts w:ascii="Times New Roman" w:hAnsi="Times New Roman"/>
          <w:sz w:val="17"/>
        </w:rPr>
        <w:t>Huda, M., Mu'alim, A., &amp; Sofyan, M. (2022). Manhaj Tarjih Muhammadiyah: Paradigma integratif bayani, burhani, dan irfani dalam ijtihad kontemporer. Jurnal Ilmiah Syari'ah, 21(1), 55–72. https://doi.org/10.31958/jis.v21i1.5642</w:t>
      </w:r>
    </w:p>
    <w:p>
      <w:pPr>
        <w:spacing w:line="240" w:lineRule="auto" w:before="0" w:after="80"/>
        <w:ind w:left="425" w:hanging="425"/>
        <w:jc w:val="both"/>
      </w:pPr>
      <w:r>
        <w:rPr>
          <w:rFonts w:ascii="Times New Roman" w:hAnsi="Times New Roman"/>
          <w:sz w:val="17"/>
        </w:rPr>
        <w:t>Jain, L., Katarya, R., &amp; Sachdeva, S. (2023). Opinion leaders for information diffusion using Graph Neural Network in online social networks. ACM Transactions on the Web, 17(2), 1–37. https://doi.org/10.1145/3580516</w:t>
      </w:r>
    </w:p>
    <w:p>
      <w:pPr>
        <w:spacing w:line="240" w:lineRule="auto" w:before="0" w:after="80"/>
        <w:ind w:left="425" w:hanging="425"/>
        <w:jc w:val="both"/>
      </w:pPr>
      <w:r>
        <w:rPr>
          <w:rFonts w:ascii="Times New Roman" w:hAnsi="Times New Roman"/>
          <w:sz w:val="17"/>
        </w:rPr>
        <w:t>Karpukhin, V., Oğuz, B., Min, S., Lewis, P., Wu, L., Edunov, S., Chen, D., &amp; Yih, W. (2020). Dense passage retrieval for open-domain question answering. In Proceedings of the 2020 Conference on Empirical Methods in Natural Language Processing (EMNLP) (pp. 6769–6781). ACL. https://doi.org/10.18653/v1/2020.emnlp-main.550</w:t>
      </w:r>
    </w:p>
    <w:p>
      <w:pPr>
        <w:spacing w:line="240" w:lineRule="auto" w:before="0" w:after="80"/>
        <w:ind w:left="425" w:hanging="425"/>
        <w:jc w:val="both"/>
      </w:pPr>
      <w:r>
        <w:rPr>
          <w:rFonts w:ascii="Times New Roman" w:hAnsi="Times New Roman"/>
          <w:sz w:val="17"/>
        </w:rPr>
        <w:t>Kurniawan, D., &amp; Syarif, A. (2023). Natural language processing for Islamic religious texts: Challenges, opportunities, and future directions. Journal of King Saud University - Computer and Information Sciences, 35(4), 101421. https://doi.org/10.1016/j.jksuci.2023.101421</w:t>
      </w:r>
    </w:p>
    <w:p>
      <w:pPr>
        <w:spacing w:line="240" w:lineRule="auto" w:before="0" w:after="80"/>
        <w:ind w:left="425" w:hanging="425"/>
        <w:jc w:val="both"/>
      </w:pPr>
      <w:r>
        <w:rPr>
          <w:rFonts w:ascii="Times New Roman" w:hAnsi="Times New Roman"/>
          <w:sz w:val="17"/>
        </w:rPr>
        <w:t>Luan, Y., Eisenstein, J., Toutanova, K., &amp; Collins, M. (2021). Sparse, dense, and attentional representations for text retrieval. Transactions of the Association for Computational Linguistics, 9, 329–345. https://doi.org/10.1162/tacl_a_00369</w:t>
      </w:r>
    </w:p>
    <w:p>
      <w:pPr>
        <w:spacing w:line="240" w:lineRule="auto" w:before="0" w:after="80"/>
        <w:ind w:left="425" w:hanging="425"/>
        <w:jc w:val="both"/>
      </w:pPr>
      <w:r>
        <w:rPr>
          <w:rFonts w:ascii="Times New Roman" w:hAnsi="Times New Roman"/>
          <w:sz w:val="17"/>
        </w:rPr>
        <w:t>Mukti, D. S., Adek, R. T., &amp; Agusniar, C. (2026). Topic classification on Twitter using a Multi-View Graph Neural Network (MV-GAT) model. Brilliance: Research of Artificial Intelligence, 6(3), 383–391. https://doi.org/10.47709/brilliance.v6i3.9061</w:t>
      </w:r>
    </w:p>
    <w:p>
      <w:pPr>
        <w:spacing w:line="240" w:lineRule="auto" w:before="0" w:after="80"/>
        <w:ind w:left="425" w:hanging="425"/>
        <w:jc w:val="both"/>
      </w:pPr>
      <w:r>
        <w:rPr>
          <w:rFonts w:ascii="Times New Roman" w:hAnsi="Times New Roman"/>
          <w:sz w:val="17"/>
        </w:rPr>
        <w:t>Reimers, N., &amp; Gurevych, I. (2019). Sentence-BERT: Sentence embeddings using siamese BERT-networks. In Proceedings of the 2019 Conference on Empirical Methods in Natural Language Processing (EMNLP) (pp. 3982–3992). ACL. https://doi.org/10.18653/v1/D19-1410</w:t>
      </w:r>
    </w:p>
    <w:p>
      <w:pPr>
        <w:spacing w:line="240" w:lineRule="auto" w:before="0" w:after="80"/>
        <w:ind w:left="425" w:hanging="425"/>
        <w:jc w:val="both"/>
      </w:pPr>
      <w:r>
        <w:rPr>
          <w:rFonts w:ascii="Times New Roman" w:hAnsi="Times New Roman"/>
          <w:sz w:val="17"/>
        </w:rPr>
        <w:t>Robertson, S., &amp; Zaragoza, H. (2009). The probabilistic relevance framework: BM25 and beyond. Foundations and Trends in Information Retrieval, 3(4), 333–389. https://doi.org/10.1561/1500000019</w:t>
      </w:r>
    </w:p>
    <w:p>
      <w:pPr>
        <w:spacing w:line="240" w:lineRule="auto" w:before="0" w:after="80"/>
        <w:ind w:left="425" w:hanging="425"/>
        <w:jc w:val="both"/>
      </w:pPr>
      <w:r>
        <w:rPr>
          <w:rFonts w:ascii="Times New Roman" w:hAnsi="Times New Roman"/>
          <w:sz w:val="17"/>
        </w:rPr>
        <w:t>Thayyibi, A. D., &amp; Mansur, J. F. (2021). Implementation of Social Network Analysis in the spread of Natuna issues on Twitter. JISA: Jurnal Informatika Dan Sains, 4(1), 12–19. https://doi.org/10.31326/jisa.v4i1.899</w:t>
      </w:r>
    </w:p>
    <w:p>
      <w:pPr>
        <w:spacing w:line="240" w:lineRule="auto" w:before="0" w:after="80"/>
        <w:ind w:left="425" w:hanging="425"/>
        <w:jc w:val="both"/>
      </w:pPr>
      <w:r>
        <w:rPr>
          <w:rFonts w:ascii="Times New Roman" w:hAnsi="Times New Roman"/>
          <w:sz w:val="17"/>
        </w:rPr>
        <w:t>Wang, W., Wei, F., Dong, L., Bao, H., Yang, N., &amp; Zhou, M. (2020). MiniLM: Deep self-attention distillation for task-agnostic compression of pre-trained Transformers. In Advances in Neural Information Processing Systems (NeurIPS 2020) (Vol. 33, pp. 5776–5788).</w:t>
      </w:r>
    </w:p>
    <w:p>
      <w:pPr>
        <w:spacing w:line="240" w:lineRule="auto" w:before="0" w:after="80"/>
        <w:ind w:left="425" w:hanging="425"/>
        <w:jc w:val="both"/>
      </w:pPr>
      <w:r>
        <w:rPr>
          <w:rFonts w:ascii="Times New Roman" w:hAnsi="Times New Roman"/>
          <w:sz w:val="17"/>
        </w:rPr>
        <w:t>Wu, Z., Pan, S., Chen, F., Long, G., Zhang, C., &amp; Yu, P. S. (2021). A comprehensive survey on graph neural networks. IEEE Transactions on Neural Networks and Learning Systems, 32(1), 4–24. https://doi.org/10.1109/TNNLS.2020.2978386</w:t>
      </w:r>
    </w:p>
    <w:p>
      <w:pPr>
        <w:spacing w:line="240" w:lineRule="auto" w:before="0" w:after="80"/>
        <w:ind w:left="425" w:hanging="425"/>
        <w:jc w:val="both"/>
      </w:pPr>
      <w:r>
        <w:rPr>
          <w:rFonts w:ascii="Times New Roman" w:hAnsi="Times New Roman"/>
          <w:sz w:val="17"/>
        </w:rPr>
        <w:t>Zhang, Y., Gong, Y., Shen, Y., Lv, X., &amp; Jiang, D. (2023). Multi-stage conversational recommendation with hybrid retrieval and constraint-guided reranking. Information Processing &amp; Management, 60(2), 103212. https://doi.org/10.1016/j.ipm.2022.103212</w:t>
      </w:r>
    </w:p>
    <w:p>
      <w:pPr>
        <w:spacing w:line="240" w:lineRule="auto" w:before="0" w:after="80"/>
        <w:ind w:left="425" w:hanging="425"/>
        <w:jc w:val="both"/>
      </w:pPr>
      <w:r>
        <w:rPr>
          <w:rFonts w:ascii="Times New Roman" w:hAnsi="Times New Roman"/>
          <w:sz w:val="17"/>
        </w:rPr>
        <w:t>Zheng, Z., Hui, K., He, B., Han, X., Sun, M., &amp; Liu, Z. (2021). BERT-QE: Contextualized query expansion for large-scale language model reranking. In Findings of the Association for Computational Linguistics: EMNLP 2021 (pp. 4718–4728). ACL. https://doi.org/10.18653/v1/2021.findings-emnlp.399</w:t>
      </w:r>
    </w:p>
    <w:sectPr w:rsidR="00FC693F" w:rsidRPr="0006063C" w:rsidSect="00034616">
      <w:pgSz w:w="12240" w:h="15840"/>
      <w:pgMar w:top="1134" w:right="1134" w:bottom="1134" w:left="1701"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