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more the merrier! Simply select one of the five special addition choices from the website, and go!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Response Options: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follow the website's "Materials" instructions in one of these areas: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Choice A: "Management" - Roles, schedule, and budget.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Choice B: "Multiplayer" - Mode, style, and kind.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Choice C: "Monitization" - How will/could your game make money?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Choice D: "Mystery" - Unlockable or hidden content, alternate endings.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Choice E: "Mastery" - Achievements, trophies, or awards.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make sure you carefully read your choice's requirements. Some require images!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Research: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Doing your own research was important here (using the website's Assignment area is plenty). Your above response should have some thought behind it!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Part 1: Response (":Quantity" and ":Quality")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Depending on the student's choice, the response should contain three points: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Choice A: (1) List of 3-5 roles, (2) month-based schedule, (3) budget of 5+ items.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Choice B: (1) Connection type, (2) style of play, (3) multiplayer mode.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Choice C: (1) Monitization business model, (2) availability, (3) consumer cost.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Choice D: (1) Bonus type, (2) location/requirements, (3) how it effects gameplay.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Choice E: (1) 3+ achievement with names, (2) their conditions, (3) imagery.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These three response points should also be creative or professional, clearly referencing their purpose to the game.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 2: Research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response is appropriate, and it appears that the student did their own research and/or brought their own experiences to the assignment.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