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last proposal portions... Can you even believe it? Portions 09 and10 are all about nabbing and keeping your viewer. Create a eye-catching cover page, and finish with a total K.O. of a closer.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staring, consider and create a mock ESRB or PEGI rating for your game. This is a fake rating; in real life, you would apply with the ERSB (for example), who would review your game and assign it a score.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Download either the ESRB or PEGI Rating Graphics Set: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 ESRB Category Images ] Icons for the ESRB rating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PEGI Category Images ] Icons for the PEGI rating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the image of the overall category rating for your game to your Title Page. (i.e. M or PEGI 16.)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 any content descriptors. This means text written as a list for an ESRB, or icons and text for a PEGI.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Category:</w:t>
        <w:tab/>
        <w:t xml:space="preserve">Content Descriptors: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Rated for cartoon violence, mild crude humor, and comic mischief. Online Interactions not Rated by the ESRB.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Contains: Light comic violence and scary situations.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Title Page: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title page that matches the aesthetics of your game. For example, keep it minimal for a minimal experience, or give us a visual bang! for your character-driven hyper-realistic stunner. Be sure to include all of the necessities listed on the website.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Conclusion: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a separate, second page, in a paragraph or two, make sure to reiterate what makes your game unique, exciting, and important to the medium. Wrap it all up, and sell the experience!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