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i w:val="0"/>
          <w:color w:val="1B365D"/>
          <w:sz w:val="36"/>
        </w:rPr>
        <w:t>FAIAZ BEN REZA</w:t>
      </w:r>
    </w:p>
    <w:p>
      <w:pPr>
        <w:spacing w:after="240"/>
        <w:jc w:val="center"/>
      </w:pPr>
      <w:r>
        <w:rPr>
          <w:rFonts w:ascii="Calibri" w:hAnsi="Calibri"/>
          <w:b w:val="0"/>
          <w:i w:val="0"/>
          <w:color w:val="4A5568"/>
          <w:sz w:val="19"/>
        </w:rPr>
        <w:t>+8801531962475 | faiaz.reza@brainstation-23.com | linkedin.com/in/faiaz-ben-reza | faiazbenreza.netlify.app</w:t>
      </w:r>
    </w:p>
    <w:p>
      <w:pPr>
        <w:keepNext/>
        <w:spacing w:before="280" w:after="80"/>
        <w:pBdr>
          <w:bottom w:val="single" w:sz="6" w:space="1" w:color="1B365D"/>
        </w:pBdr>
      </w:pPr>
      <w:r>
        <w:rPr>
          <w:rFonts w:ascii="Calibri" w:hAnsi="Calibri"/>
          <w:b/>
          <w:i w:val="0"/>
          <w:color w:val="1B365D"/>
          <w:sz w:val="24"/>
        </w:rPr>
        <w:t>PROFESSIONAL SUMMARY</w:t>
      </w:r>
    </w:p>
    <w:p>
      <w:pPr>
        <w:spacing w:after="160" w:line="276" w:lineRule="auto"/>
      </w:pPr>
      <w:r>
        <w:rPr>
          <w:rFonts w:ascii="Calibri" w:hAnsi="Calibri"/>
          <w:b w:val="0"/>
          <w:i w:val="0"/>
          <w:color w:val="2D3748"/>
          <w:sz w:val="22"/>
        </w:rPr>
        <w:t>Versatile, results-oriented Business Analyst and Product Owner with a solid foundation in software requirements engineering, agile project management, and cross-functional team collaboration. Proven track record of driving successful enterprise solutions, managing client accounts, and optimizing digital experiences within high-growth environments. Adept at breaking down technical complexities into clear, actionable business strategies for stakeholders while leveraging advanced AI and analytical tools to streamline lifecycle development.</w:t>
      </w:r>
    </w:p>
    <w:p>
      <w:pPr>
        <w:keepNext/>
        <w:spacing w:before="280" w:after="80"/>
        <w:pBdr>
          <w:bottom w:val="single" w:sz="6" w:space="1" w:color="1B365D"/>
        </w:pBdr>
      </w:pPr>
      <w:r>
        <w:rPr>
          <w:rFonts w:ascii="Calibri" w:hAnsi="Calibri"/>
          <w:b/>
          <w:i w:val="0"/>
          <w:color w:val="1B365D"/>
          <w:sz w:val="24"/>
        </w:rPr>
        <w:t>KEY SKILLS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i w:val="0"/>
          <w:color w:val="2D3748"/>
          <w:sz w:val="21"/>
        </w:rPr>
        <w:t xml:space="preserve">Business Analysis &amp; Product Ownership: </w:t>
      </w:r>
      <w:r>
        <w:rPr>
          <w:rFonts w:ascii="Calibri" w:hAnsi="Calibri"/>
          <w:b w:val="0"/>
          <w:i w:val="0"/>
          <w:color w:val="2D3748"/>
          <w:sz w:val="21"/>
        </w:rPr>
        <w:t>Requirement gathering, Agile product management, Software Requirements Specification (SRS), Business Requirement Documents (BRD), user stories, user manuals, and scoping.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i w:val="0"/>
          <w:color w:val="2D3748"/>
          <w:sz w:val="21"/>
        </w:rPr>
        <w:t xml:space="preserve">User Experience &amp; Process Mapping: </w:t>
      </w:r>
      <w:r>
        <w:rPr>
          <w:rFonts w:ascii="Calibri" w:hAnsi="Calibri"/>
          <w:b w:val="0"/>
          <w:i w:val="0"/>
          <w:color w:val="2D3748"/>
          <w:sz w:val="21"/>
        </w:rPr>
        <w:t>Process flow design (BPMN), wireframing, user journey mapping, and UI mockups to align design and technical teams.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i w:val="0"/>
          <w:color w:val="2D3748"/>
          <w:sz w:val="21"/>
        </w:rPr>
        <w:t xml:space="preserve">AI &amp; Productivity Acceleration: </w:t>
      </w:r>
      <w:r>
        <w:rPr>
          <w:rFonts w:ascii="Calibri" w:hAnsi="Calibri"/>
          <w:b w:val="0"/>
          <w:i w:val="0"/>
          <w:color w:val="2D3748"/>
          <w:sz w:val="21"/>
        </w:rPr>
        <w:t>Advanced prompt engineering for requirement extraction, workflow optimization, content creation, and analytical modeling.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i w:val="0"/>
          <w:color w:val="2D3748"/>
          <w:sz w:val="21"/>
        </w:rPr>
        <w:t xml:space="preserve">Project Management &amp; Delivery: </w:t>
      </w:r>
      <w:r>
        <w:rPr>
          <w:rFonts w:ascii="Calibri" w:hAnsi="Calibri"/>
          <w:b w:val="0"/>
          <w:i w:val="0"/>
          <w:color w:val="2D3748"/>
          <w:sz w:val="21"/>
        </w:rPr>
        <w:t>SDLC methodologies (Scrum, Kanban), sprint planning, task tracking, timeline alignment, and cross-functional leadership.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i w:val="0"/>
          <w:color w:val="2D3748"/>
          <w:sz w:val="21"/>
        </w:rPr>
        <w:t xml:space="preserve">Presales &amp; Stakeholder Engagement: </w:t>
      </w:r>
      <w:r>
        <w:rPr>
          <w:rFonts w:ascii="Calibri" w:hAnsi="Calibri"/>
          <w:b w:val="0"/>
          <w:i w:val="0"/>
          <w:color w:val="2D3748"/>
          <w:sz w:val="21"/>
        </w:rPr>
        <w:t>Preparing high-impact pitch decks, client proposals, stakeholder presentations, market research, and competitive intelligence.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i w:val="0"/>
          <w:color w:val="2D3748"/>
          <w:sz w:val="21"/>
        </w:rPr>
        <w:t xml:space="preserve">Tools &amp; Frameworks: </w:t>
      </w:r>
      <w:r>
        <w:rPr>
          <w:rFonts w:ascii="Calibri" w:hAnsi="Calibri"/>
          <w:b w:val="0"/>
          <w:i w:val="0"/>
          <w:color w:val="2D3748"/>
          <w:sz w:val="21"/>
        </w:rPr>
        <w:t>MS Office, Google Workspace, Jira, Trello, Slack, Git, Draw.io, Lucidchart, Figma, Canva, Adobe Creative Suite.</w:t>
      </w:r>
    </w:p>
    <w:p>
      <w:pPr>
        <w:keepNext/>
        <w:spacing w:before="280" w:after="80"/>
        <w:pBdr>
          <w:bottom w:val="single" w:sz="6" w:space="1" w:color="1B365D"/>
        </w:pBdr>
      </w:pPr>
      <w:r>
        <w:rPr>
          <w:rFonts w:ascii="Calibri" w:hAnsi="Calibri"/>
          <w:b/>
          <w:i w:val="0"/>
          <w:color w:val="1B365D"/>
          <w:sz w:val="24"/>
        </w:rPr>
        <w:t>PROFESSIONAL EXPERIENCE</w:t>
      </w:r>
    </w:p>
    <w:p>
      <w:pPr>
        <w:keepNext/>
        <w:spacing w:before="120" w:after="40"/>
      </w:pPr>
      <w:r>
        <w:rPr>
          <w:rFonts w:ascii="Calibri" w:hAnsi="Calibri"/>
          <w:b/>
          <w:i w:val="0"/>
          <w:color w:val="1B365D"/>
          <w:sz w:val="22"/>
        </w:rPr>
        <w:t>Business Analyst &amp; Product Owner</w:t>
      </w:r>
      <w:r>
        <w:rPr>
          <w:rFonts w:ascii="Calibri" w:hAnsi="Calibri"/>
          <w:b/>
          <w:i w:val="0"/>
          <w:color w:val="2D3748"/>
          <w:sz w:val="22"/>
        </w:rPr>
        <w:t xml:space="preserve"> | Brain Station 23 Ltd., Dhaka, Bangladesh</w:t>
      </w:r>
    </w:p>
    <w:p>
      <w:pPr>
        <w:keepNext/>
        <w:spacing w:after="80"/>
      </w:pPr>
      <w:r>
        <w:rPr>
          <w:rFonts w:ascii="Calibri" w:hAnsi="Calibri"/>
          <w:b w:val="0"/>
          <w:i/>
          <w:color w:val="4A5568"/>
          <w:sz w:val="20"/>
        </w:rPr>
        <w:t>August 2025 – Present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2D3748"/>
          <w:sz w:val="21"/>
        </w:rPr>
        <w:t>Lead requirement elicitation and product ownership for enterprise-grade software solutions, specializing in Mobile Sales Force Automation (MSFA) and portfolio systems.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2D3748"/>
          <w:sz w:val="21"/>
        </w:rPr>
        <w:t>Successfully managed the end-to-end MSFA Redevelopment Project for Popular Pharmaceuticals, conducting the kick-off, defining scope boundaries, and establishing core project milestones.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2D3748"/>
          <w:sz w:val="21"/>
        </w:rPr>
        <w:t>Draft comprehensive project documentation including detailed Software Requirements Specifications (SRS), Business Requirement Documents (BRDs), user stories, process diagrams, and functional guides.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2D3748"/>
          <w:sz w:val="21"/>
        </w:rPr>
        <w:t>Designed and delivered professional collateral, posters, leaflets, and video scripts to showcase the company's MSFA and AI capabilities at international tech exhibitions, including GITEX Asia in Singapore.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2D3748"/>
          <w:sz w:val="21"/>
        </w:rPr>
        <w:t>Conduct comprehensive competitor analysis, market research, and strategic presales assessments to identify market opportunities, construct high-impact client pitch decks, and accelerate lead generation.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2D3748"/>
          <w:sz w:val="21"/>
        </w:rPr>
        <w:t>Spearheaded internal training programs, including the 'Gemini Session for BAs', educating peers on integrating advanced artificial intelligence tools to optimize analysis and documentation workflows.</w:t>
      </w:r>
    </w:p>
    <w:p>
      <w:pPr>
        <w:keepNext/>
        <w:spacing w:before="160" w:after="40"/>
      </w:pPr>
      <w:r>
        <w:rPr>
          <w:rFonts w:ascii="Calibri" w:hAnsi="Calibri"/>
          <w:b/>
          <w:i w:val="0"/>
          <w:color w:val="1B365D"/>
          <w:sz w:val="22"/>
        </w:rPr>
        <w:t>Marketing Business Analyst (Contract)</w:t>
      </w:r>
      <w:r>
        <w:rPr>
          <w:rFonts w:ascii="Calibri" w:hAnsi="Calibri"/>
          <w:b/>
          <w:i w:val="0"/>
          <w:color w:val="2D3748"/>
          <w:sz w:val="22"/>
        </w:rPr>
        <w:t xml:space="preserve"> | Rain71 Technology, USA</w:t>
      </w:r>
    </w:p>
    <w:p>
      <w:pPr>
        <w:keepNext/>
        <w:spacing w:after="80"/>
      </w:pPr>
      <w:r>
        <w:rPr>
          <w:rFonts w:ascii="Calibri" w:hAnsi="Calibri"/>
          <w:b w:val="0"/>
          <w:i/>
          <w:color w:val="4A5568"/>
          <w:sz w:val="20"/>
        </w:rPr>
        <w:t>January 2025 – August 2025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2D3748"/>
          <w:sz w:val="21"/>
        </w:rPr>
        <w:t>Partnered with clients to define project scope, deliverables, and timelines, ensuring alignment with business objectives.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2D3748"/>
          <w:sz w:val="21"/>
        </w:rPr>
        <w:t>Developed comprehensive requirement documents, including BRDs and user stories, for marketing initiatives.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2D3748"/>
          <w:sz w:val="21"/>
        </w:rPr>
        <w:t>Conducted market and competitor research to extract insights and support lead generation and strategic planning.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2D3748"/>
          <w:sz w:val="21"/>
        </w:rPr>
        <w:t>Prepared and presented pitch decks for marketing campaigns and client proposals.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2D3748"/>
          <w:sz w:val="21"/>
        </w:rPr>
        <w:t>Created basic process flows, wireframes, and diagrams to support communication of proposed solutions.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2D3748"/>
          <w:sz w:val="21"/>
        </w:rPr>
        <w:t>Utilized AI tools and creative platforms to develop marketing visuals and high-fidelity demonstration content.</w:t>
      </w:r>
    </w:p>
    <w:p>
      <w:pPr>
        <w:keepNext/>
        <w:spacing w:before="280" w:after="80"/>
        <w:pBdr>
          <w:bottom w:val="single" w:sz="6" w:space="1" w:color="1B365D"/>
        </w:pBdr>
      </w:pPr>
      <w:r>
        <w:rPr>
          <w:rFonts w:ascii="Calibri" w:hAnsi="Calibri"/>
          <w:b/>
          <w:i w:val="0"/>
          <w:color w:val="1B365D"/>
          <w:sz w:val="24"/>
        </w:rPr>
        <w:t>EDUCATION</w:t>
      </w:r>
    </w:p>
    <w:p>
      <w:pPr>
        <w:spacing w:before="80" w:after="20"/>
      </w:pPr>
      <w:r>
        <w:rPr>
          <w:rFonts w:ascii="Calibri" w:hAnsi="Calibri"/>
          <w:b/>
          <w:i w:val="0"/>
          <w:color w:val="2D3748"/>
          <w:sz w:val="22"/>
        </w:rPr>
        <w:t>BSc in Computer Science &amp; Engineering</w:t>
      </w:r>
      <w:r>
        <w:rPr>
          <w:rFonts w:ascii="Calibri" w:hAnsi="Calibri"/>
          <w:b w:val="0"/>
          <w:i w:val="0"/>
          <w:color w:val="2D3748"/>
          <w:sz w:val="22"/>
        </w:rPr>
        <w:t xml:space="preserve"> – American International University-Bangladesh (AIUB)</w:t>
      </w:r>
    </w:p>
    <w:p>
      <w:pPr>
        <w:spacing w:after="80"/>
      </w:pPr>
      <w:r>
        <w:rPr>
          <w:rFonts w:ascii="Calibri" w:hAnsi="Calibri"/>
          <w:b w:val="0"/>
          <w:i w:val="0"/>
          <w:color w:val="4A5568"/>
          <w:sz w:val="20"/>
        </w:rPr>
        <w:t>Graduation: 2023 | CGPA: 3.30/4.00</w:t>
        <w:br/>
        <w:t>Thesis: "A Comparison of Low-Code Development Platforms in Terms of Convenience"</w:t>
      </w:r>
    </w:p>
    <w:p>
      <w:pPr>
        <w:spacing w:after="20"/>
      </w:pPr>
      <w:r>
        <w:rPr>
          <w:rFonts w:ascii="Calibri" w:hAnsi="Calibri"/>
          <w:b/>
          <w:i w:val="0"/>
          <w:color w:val="2D3748"/>
          <w:sz w:val="22"/>
        </w:rPr>
        <w:t>Higher Secondary Certificate (Science)</w:t>
      </w:r>
      <w:r>
        <w:rPr>
          <w:rFonts w:ascii="Calibri" w:hAnsi="Calibri"/>
          <w:b w:val="0"/>
          <w:i w:val="0"/>
          <w:color w:val="2D3748"/>
          <w:sz w:val="22"/>
        </w:rPr>
        <w:t xml:space="preserve"> – Government Science College, Dhaka</w:t>
      </w:r>
    </w:p>
    <w:p>
      <w:pPr>
        <w:spacing w:after="80"/>
      </w:pPr>
      <w:r>
        <w:rPr>
          <w:rFonts w:ascii="Calibri" w:hAnsi="Calibri"/>
          <w:b w:val="0"/>
          <w:i w:val="0"/>
          <w:color w:val="4A5568"/>
          <w:sz w:val="20"/>
        </w:rPr>
        <w:t>Passing Year: 2017 | GPA: 4.42/5.00</w:t>
      </w:r>
    </w:p>
    <w:p>
      <w:pPr>
        <w:spacing w:after="20"/>
      </w:pPr>
      <w:r>
        <w:rPr>
          <w:rFonts w:ascii="Calibri" w:hAnsi="Calibri"/>
          <w:b/>
          <w:i w:val="0"/>
          <w:color w:val="2D3748"/>
          <w:sz w:val="22"/>
        </w:rPr>
        <w:t>Secondary School Certificate (Science)</w:t>
      </w:r>
      <w:r>
        <w:rPr>
          <w:rFonts w:ascii="Calibri" w:hAnsi="Calibri"/>
          <w:b w:val="0"/>
          <w:i w:val="0"/>
          <w:color w:val="2D3748"/>
          <w:sz w:val="22"/>
        </w:rPr>
        <w:t xml:space="preserve"> – Government Laboratory High School, Dhaka</w:t>
      </w:r>
    </w:p>
    <w:p>
      <w:pPr>
        <w:spacing w:after="120"/>
      </w:pPr>
      <w:r>
        <w:rPr>
          <w:rFonts w:ascii="Calibri" w:hAnsi="Calibri"/>
          <w:b w:val="0"/>
          <w:i w:val="0"/>
          <w:color w:val="4A5568"/>
          <w:sz w:val="20"/>
        </w:rPr>
        <w:t>Passing Year: 2015 | GPA: 5.00/5.00</w:t>
      </w:r>
    </w:p>
    <w:p>
      <w:pPr>
        <w:keepNext/>
        <w:spacing w:before="280" w:after="80"/>
        <w:pBdr>
          <w:bottom w:val="single" w:sz="6" w:space="1" w:color="1B365D"/>
        </w:pBdr>
      </w:pPr>
      <w:r>
        <w:rPr>
          <w:rFonts w:ascii="Calibri" w:hAnsi="Calibri"/>
          <w:b/>
          <w:i w:val="0"/>
          <w:color w:val="1B365D"/>
          <w:sz w:val="24"/>
        </w:rPr>
        <w:t>CERTIFICATIONS</w:t>
      </w:r>
    </w:p>
    <w:p>
      <w:pPr>
        <w:pStyle w:val="ListBullet"/>
        <w:spacing w:after="120"/>
      </w:pPr>
      <w:r>
        <w:rPr>
          <w:rFonts w:ascii="Calibri" w:hAnsi="Calibri"/>
          <w:b w:val="0"/>
          <w:i w:val="0"/>
          <w:color w:val="2D3748"/>
          <w:sz w:val="21"/>
        </w:rPr>
        <w:t>PHP with Laravel Framework – BASIS Institute of Technology &amp; Management (BITM) | 2022</w:t>
      </w:r>
    </w:p>
    <w:p>
      <w:pPr>
        <w:keepNext/>
        <w:spacing w:before="280" w:after="80"/>
        <w:pBdr>
          <w:bottom w:val="single" w:sz="6" w:space="1" w:color="1B365D"/>
        </w:pBdr>
      </w:pPr>
      <w:r>
        <w:rPr>
          <w:rFonts w:ascii="Calibri" w:hAnsi="Calibri"/>
          <w:b/>
          <w:i w:val="0"/>
          <w:color w:val="1B365D"/>
          <w:sz w:val="24"/>
        </w:rPr>
        <w:t>EXTRACURRICULAR ACTIVITIES</w:t>
      </w:r>
    </w:p>
    <w:p>
      <w:pPr>
        <w:keepNext/>
        <w:spacing w:after="40"/>
      </w:pPr>
      <w:r>
        <w:rPr>
          <w:rFonts w:ascii="Calibri" w:hAnsi="Calibri"/>
          <w:b/>
          <w:i w:val="0"/>
          <w:color w:val="2D3748"/>
          <w:sz w:val="22"/>
        </w:rPr>
        <w:t>Assistant General Secretary – AIUB Computer Club (ACC)</w:t>
      </w:r>
    </w:p>
    <w:p>
      <w:pPr>
        <w:keepNext/>
        <w:spacing w:after="80"/>
      </w:pPr>
      <w:r>
        <w:rPr>
          <w:rFonts w:ascii="Calibri" w:hAnsi="Calibri"/>
          <w:b w:val="0"/>
          <w:i/>
          <w:color w:val="4A5568"/>
          <w:sz w:val="20"/>
        </w:rPr>
        <w:t>January 2022 – December 2023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2D3748"/>
          <w:sz w:val="21"/>
        </w:rPr>
        <w:t>Organized major national and international tech events, including the Blockchain Olympiad Bangladesh 2022 and the International Conference on Computing Advancements (ICCA) 2022.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2D3748"/>
          <w:sz w:val="21"/>
        </w:rPr>
        <w:t>Coordinated practical technical workshops and professional development seminars to upskill over 500+ student club members.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2D3748"/>
          <w:sz w:val="21"/>
        </w:rPr>
        <w:t>Built and maintained strong professional relationships with corporate sponsors, industry speakers, and tech leaders to provide student networking opportunities.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