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Evaluation d’un projet</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Préface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révision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Contrats</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Livrable complet-</w:t>
        </w:r>
      </w:hyperlink>
      <w:r w:rsidRPr="00000000" w:rsidR="00000000" w:rsidDel="00000000">
        <w:rPr>
          <w:rtl w:val="0"/>
        </w:rPr>
      </w:r>
    </w:p>
    <w:p w:rsidP="00000000" w:rsidRPr="00000000" w:rsidR="00000000" w:rsidDel="00000000" w:rsidRDefault="00000000">
      <w:pPr>
        <w:ind w:left="1080" w:firstLine="0"/>
        <w:contextualSpacing w:val="0"/>
      </w:pPr>
      <w:hyperlink w:anchor="h.173uapiwo85w">
        <w:r w:rsidRPr="00000000" w:rsidR="00000000" w:rsidDel="00000000">
          <w:rPr>
            <w:rFonts w:cs="Calibri" w:hAnsi="Calibri" w:eastAsia="Calibri" w:ascii="Calibri"/>
            <w:color w:val="1155cc"/>
            <w:u w:val="single"/>
            <w:rtl w:val="0"/>
          </w:rPr>
          <w:t xml:space="preserve">2.1.1.  Modèle embarqué</w:t>
        </w:r>
      </w:hyperlink>
      <w:r w:rsidRPr="00000000" w:rsidR="00000000" w:rsidDel="00000000">
        <w:rPr>
          <w:rtl w:val="0"/>
        </w:rPr>
      </w:r>
    </w:p>
    <w:p w:rsidP="00000000" w:rsidRPr="00000000" w:rsidR="00000000" w:rsidDel="00000000" w:rsidRDefault="00000000">
      <w:pPr>
        <w:ind w:left="1080" w:firstLine="0"/>
        <w:contextualSpacing w:val="0"/>
      </w:pPr>
      <w:hyperlink w:anchor="h.dc8mshnu8gsg">
        <w:r w:rsidRPr="00000000" w:rsidR="00000000" w:rsidDel="00000000">
          <w:rPr>
            <w:rFonts w:cs="Calibri" w:hAnsi="Calibri" w:eastAsia="Calibri" w:ascii="Calibri"/>
            <w:color w:val="1155cc"/>
            <w:u w:val="single"/>
            <w:rtl w:val="0"/>
          </w:rPr>
          <w:t xml:space="preserve">2.1.2.  Modèle débarqué</w:t>
        </w:r>
      </w:hyperlink>
      <w:r w:rsidRPr="00000000" w:rsidR="00000000" w:rsidDel="00000000">
        <w:rPr>
          <w:rtl w:val="0"/>
        </w:rPr>
      </w:r>
    </w:p>
    <w:p w:rsidP="00000000" w:rsidRPr="00000000" w:rsidR="00000000" w:rsidDel="00000000" w:rsidRDefault="00000000">
      <w:pPr>
        <w:ind w:left="1080" w:firstLine="0"/>
        <w:contextualSpacing w:val="0"/>
      </w:pPr>
      <w:hyperlink w:anchor="h.dsgkxft0ygrc">
        <w:r w:rsidRPr="00000000" w:rsidR="00000000" w:rsidDel="00000000">
          <w:rPr>
            <w:rFonts w:cs="Calibri" w:hAnsi="Calibri" w:eastAsia="Calibri" w:ascii="Calibri"/>
            <w:color w:val="1155cc"/>
            <w:u w:val="single"/>
            <w:rtl w:val="0"/>
          </w:rPr>
          <w:t xml:space="preserve">2.2.2. Modèle mixte</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Livrable partiel</w:t>
        </w:r>
      </w:hyperlink>
      <w:r w:rsidRPr="00000000" w:rsidR="00000000" w:rsidDel="00000000">
        <w:rPr>
          <w:rtl w:val="0"/>
        </w:rPr>
      </w:r>
    </w:p>
    <w:p w:rsidP="00000000" w:rsidRPr="00000000" w:rsidR="00000000" w:rsidDel="00000000" w:rsidRDefault="00000000">
      <w:pPr>
        <w:ind w:left="1080" w:firstLine="0"/>
        <w:contextualSpacing w:val="0"/>
      </w:pPr>
      <w:hyperlink w:anchor="h.52u26efuircj">
        <w:r w:rsidRPr="00000000" w:rsidR="00000000" w:rsidDel="00000000">
          <w:rPr>
            <w:rFonts w:cs="Calibri" w:hAnsi="Calibri" w:eastAsia="Calibri" w:ascii="Calibri"/>
            <w:color w:val="1155cc"/>
            <w:u w:val="single"/>
            <w:rtl w:val="0"/>
          </w:rPr>
          <w:t xml:space="preserve">2.2.1.  Modèle embarqué</w:t>
        </w:r>
      </w:hyperlink>
      <w:r w:rsidRPr="00000000" w:rsidR="00000000" w:rsidDel="00000000">
        <w:rPr>
          <w:rtl w:val="0"/>
        </w:rPr>
      </w:r>
    </w:p>
    <w:p w:rsidP="00000000" w:rsidRPr="00000000" w:rsidR="00000000" w:rsidDel="00000000" w:rsidRDefault="00000000">
      <w:pPr>
        <w:ind w:left="1080" w:firstLine="0"/>
        <w:contextualSpacing w:val="0"/>
      </w:pPr>
      <w:hyperlink w:anchor="h.rzv3bc6r72yz">
        <w:r w:rsidRPr="00000000" w:rsidR="00000000" w:rsidDel="00000000">
          <w:rPr>
            <w:rFonts w:cs="Calibri" w:hAnsi="Calibri" w:eastAsia="Calibri" w:ascii="Calibri"/>
            <w:color w:val="1155cc"/>
            <w:u w:val="single"/>
            <w:rtl w:val="0"/>
          </w:rPr>
          <w:t xml:space="preserve">2.2.2.  Modèle débarqué</w:t>
        </w:r>
      </w:hyperlink>
      <w:r w:rsidRPr="00000000" w:rsidR="00000000" w:rsidDel="00000000">
        <w:rPr>
          <w:rtl w:val="0"/>
        </w:rPr>
      </w:r>
    </w:p>
    <w:p w:rsidP="00000000" w:rsidRPr="00000000" w:rsidR="00000000" w:rsidDel="00000000" w:rsidRDefault="00000000">
      <w:pPr>
        <w:ind w:left="1080" w:firstLine="0"/>
        <w:contextualSpacing w:val="0"/>
      </w:pPr>
      <w:hyperlink w:anchor="h.krox27w9ysmh">
        <w:r w:rsidRPr="00000000" w:rsidR="00000000" w:rsidDel="00000000">
          <w:rPr>
            <w:rFonts w:cs="Calibri" w:hAnsi="Calibri" w:eastAsia="Calibri" w:ascii="Calibri"/>
            <w:color w:val="1155cc"/>
            <w:u w:val="single"/>
            <w:rtl w:val="0"/>
          </w:rPr>
          <w:t xml:space="preserve">2.2.2. Modèle mixte</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Package</w:t>
        </w:r>
      </w:hyperlink>
      <w:r w:rsidRPr="00000000" w:rsidR="00000000" w:rsidDel="00000000">
        <w:rPr>
          <w:rtl w:val="0"/>
        </w:rPr>
      </w:r>
    </w:p>
    <w:p w:rsidP="00000000" w:rsidRPr="00000000" w:rsidR="00000000" w:rsidDel="00000000" w:rsidRDefault="00000000">
      <w:pPr>
        <w:ind w:left="720" w:firstLine="0"/>
        <w:contextualSpacing w:val="0"/>
      </w:pPr>
      <w:hyperlink w:anchor="h.57bd0is0zmv3">
        <w:r w:rsidRPr="00000000" w:rsidR="00000000" w:rsidDel="00000000">
          <w:rPr>
            <w:rFonts w:cs="Calibri" w:hAnsi="Calibri" w:eastAsia="Calibri" w:ascii="Calibri"/>
            <w:color w:val="1155cc"/>
            <w:u w:val="single"/>
            <w:rtl w:val="0"/>
          </w:rPr>
          <w:t xml:space="preserve">3.1. Complet-</w:t>
        </w:r>
      </w:hyperlink>
      <w:r w:rsidRPr="00000000" w:rsidR="00000000" w:rsidDel="00000000">
        <w:rPr>
          <w:rtl w:val="0"/>
        </w:rPr>
      </w:r>
    </w:p>
    <w:p w:rsidP="00000000" w:rsidRPr="00000000" w:rsidR="00000000" w:rsidDel="00000000" w:rsidRDefault="00000000">
      <w:pPr>
        <w:ind w:left="720" w:firstLine="0"/>
        <w:contextualSpacing w:val="0"/>
      </w:pPr>
      <w:hyperlink w:anchor="h.7e3f3lxrm7hc">
        <w:r w:rsidRPr="00000000" w:rsidR="00000000" w:rsidDel="00000000">
          <w:rPr>
            <w:rFonts w:cs="Calibri" w:hAnsi="Calibri" w:eastAsia="Calibri" w:ascii="Calibri"/>
            <w:color w:val="1155cc"/>
            <w:u w:val="single"/>
            <w:rtl w:val="0"/>
          </w:rPr>
          <w:t xml:space="preserve">3.2. Frontend - Natif uniquement</w:t>
        </w:r>
      </w:hyperlink>
      <w:r w:rsidRPr="00000000" w:rsidR="00000000" w:rsidDel="00000000">
        <w:rPr>
          <w:rtl w:val="0"/>
        </w:rPr>
      </w:r>
    </w:p>
    <w:p w:rsidP="00000000" w:rsidRPr="00000000" w:rsidR="00000000" w:rsidDel="00000000" w:rsidRDefault="00000000">
      <w:pPr>
        <w:ind w:left="720" w:firstLine="0"/>
        <w:contextualSpacing w:val="0"/>
      </w:pPr>
      <w:hyperlink w:anchor="h.xz92ysopomy8">
        <w:r w:rsidRPr="00000000" w:rsidR="00000000" w:rsidDel="00000000">
          <w:rPr>
            <w:rFonts w:cs="Calibri" w:hAnsi="Calibri" w:eastAsia="Calibri" w:ascii="Calibri"/>
            <w:color w:val="1155cc"/>
            <w:u w:val="single"/>
            <w:rtl w:val="0"/>
          </w:rPr>
          <w:t xml:space="preserve">3.3. Frontend - Web uniquement</w:t>
        </w:r>
      </w:hyperlink>
      <w:r w:rsidRPr="00000000" w:rsidR="00000000" w:rsidDel="00000000">
        <w:rPr>
          <w:rtl w:val="0"/>
        </w:rPr>
      </w:r>
    </w:p>
    <w:p w:rsidP="00000000" w:rsidRPr="00000000" w:rsidR="00000000" w:rsidDel="00000000" w:rsidRDefault="00000000">
      <w:pPr>
        <w:ind w:left="720" w:firstLine="0"/>
        <w:contextualSpacing w:val="0"/>
      </w:pPr>
      <w:hyperlink w:anchor="h.ufiy8cisapvi">
        <w:r w:rsidRPr="00000000" w:rsidR="00000000" w:rsidDel="00000000">
          <w:rPr>
            <w:rFonts w:cs="Calibri" w:hAnsi="Calibri" w:eastAsia="Calibri" w:ascii="Calibri"/>
            <w:color w:val="1155cc"/>
            <w:u w:val="single"/>
            <w:rtl w:val="0"/>
          </w:rPr>
          <w:t xml:space="preserve">3.2. Backend uniquement</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Support</w:t>
        </w:r>
      </w:hyperlink>
      <w:r w:rsidRPr="00000000" w:rsidR="00000000" w:rsidDel="00000000">
        <w:rPr>
          <w:rtl w:val="0"/>
        </w:rPr>
      </w:r>
    </w:p>
    <w:p w:rsidP="00000000" w:rsidRPr="00000000" w:rsidR="00000000" w:rsidDel="00000000" w:rsidRDefault="00000000">
      <w:pPr>
        <w:ind w:left="720" w:firstLine="0"/>
        <w:contextualSpacing w:val="0"/>
      </w:pPr>
      <w:hyperlink w:anchor="h.1iedchgq1x9k">
        <w:r w:rsidRPr="00000000" w:rsidR="00000000" w:rsidDel="00000000">
          <w:rPr>
            <w:rFonts w:cs="Calibri" w:hAnsi="Calibri" w:eastAsia="Calibri" w:ascii="Calibri"/>
            <w:color w:val="1155cc"/>
            <w:u w:val="single"/>
            <w:rtl w:val="0"/>
          </w:rPr>
          <w:t xml:space="preserve">4.1. Maintenance, Restauration et Mise a niveau-</w:t>
        </w:r>
      </w:hyperlink>
      <w:r w:rsidRPr="00000000" w:rsidR="00000000" w:rsidDel="00000000">
        <w:rPr>
          <w:rtl w:val="0"/>
        </w:rPr>
      </w:r>
    </w:p>
    <w:p w:rsidP="00000000" w:rsidRPr="00000000" w:rsidR="00000000" w:rsidDel="00000000" w:rsidRDefault="00000000">
      <w:pPr>
        <w:ind w:left="720" w:firstLine="0"/>
        <w:contextualSpacing w:val="0"/>
      </w:pPr>
      <w:hyperlink w:anchor="h.gk7j3ikqhthw">
        <w:r w:rsidRPr="00000000" w:rsidR="00000000" w:rsidDel="00000000">
          <w:rPr>
            <w:rFonts w:cs="Calibri" w:hAnsi="Calibri" w:eastAsia="Calibri" w:ascii="Calibri"/>
            <w:color w:val="1155cc"/>
            <w:u w:val="single"/>
            <w:rtl w:val="0"/>
          </w:rPr>
          <w:t xml:space="preserve">4.2. Formation</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rr4eh63ogx7i"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a pour intention de définir la tarification des services chez Kugri Technologies. Il donne une estimation des parties mais aussi une estimation globale de la solution proposée.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guide met en place les normes a choisir pour pouvoir évaluer un projet. Il présente aussi les types de contrats possibles.</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la direction de l’entreprise uniquement. C’est le partie charge de l'évaluation des coûts d’un projet.</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Dimanche 2 Fevrier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Contrats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Chez Kugri Technologies il y a deux types de contrats de projets. Cette partie les détails et définit les tarifications par type.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Livrable complet</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C’est le type de livrable qui inclue a la fois la livraison de la solution mais également sa maintenance. La tarification de la mise a niveau est de 5% de la tarification du package par mois.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9" w:colFirst="0" w:name="h.173uapiwo85w" w:colLast="0"/>
      <w:bookmarkEnd w:id="9"/>
      <w:r w:rsidRPr="00000000" w:rsidR="00000000" w:rsidDel="00000000">
        <w:rPr>
          <w:rtl w:val="0"/>
        </w:rPr>
        <w:t xml:space="preserve">2.1.1.  Modèle embarqué</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le cas du modèle embarque un tarif supplémentaire d'hébergement est facture. Il est de: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-10000 CFA/ 1GB de data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-10000 CFA/10GB de trafic</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Ou de 5000 CFA/ Employer utilisant le service.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Il faudra également ajoute 20000 CFA pour la maintenance par moi. Dans le cas de la création d’un nom de domaine a part ainsi qu’un serveur d’application propre garder par nos soins sera de 75000 CFA par mois.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0" w:colFirst="0" w:name="h.dc8mshnu8gsg" w:colLast="0"/>
      <w:bookmarkEnd w:id="10"/>
      <w:r w:rsidRPr="00000000" w:rsidR="00000000" w:rsidDel="00000000">
        <w:rPr>
          <w:rtl w:val="0"/>
        </w:rPr>
        <w:t xml:space="preserve">2.1.2.  Modèle débarqué</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ce modèle il est a paye forfaitairement la somme de 30000 CFA par mois pour la maintenance. Ce modèle est fait pour ceux qui veulent prendre soin de l’hébergement eux même mais qui veulent avoir un suivi du produit. Cela implique avoir les accès serveurs a leur infrastructure ou se trouve la solution.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1" w:colFirst="0" w:name="h.dsgkxft0ygrc" w:colLast="0"/>
      <w:bookmarkEnd w:id="11"/>
      <w:r w:rsidRPr="00000000" w:rsidR="00000000" w:rsidDel="00000000">
        <w:rPr>
          <w:rtl w:val="0"/>
        </w:rPr>
        <w:t xml:space="preserve">2.2.2. Modèle mixte</w:t>
      </w:r>
    </w:p>
    <w:p w:rsidP="00000000" w:rsidRPr="00000000" w:rsidR="00000000" w:rsidDel="00000000" w:rsidRDefault="00000000">
      <w:pPr>
        <w:ind w:left="720" w:firstLine="0"/>
        <w:contextualSpacing w:val="0"/>
        <w:rPr/>
      </w:pPr>
      <w:r w:rsidRPr="00000000" w:rsidR="00000000" w:rsidDel="00000000">
        <w:rPr>
          <w:rtl w:val="0"/>
        </w:rPr>
        <w:t xml:space="preserve">Dans le cas du modèle mixte, il s’agit de la conjugaison des deux systèmes de tarifs précédent. Ceci du fait de la complexité de cette architecture. Il est fait pour ceux qui veulent hébergé une partie de leur service (Web service/Site Web) en embarque et l’autre en débarqué.</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12" w:colFirst="0" w:name="h.ks8c4glcvolo" w:colLast="0"/>
      <w:bookmarkEnd w:id="12"/>
      <w:r w:rsidRPr="00000000" w:rsidR="00000000" w:rsidDel="00000000">
        <w:rPr>
          <w:rtl w:val="0"/>
        </w:rPr>
        <w:t xml:space="preserve">2.2. Livrable partiel</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la cas d’un livrable partiel le client ne veux pas de mise a niveau de notre part. Et Kugri ne peut maintenir une infrastructure qui n’est pas mise a niveau par nous. Cela est justifie par le fait que maintenir ne peut se faire sans adapter et corriger. Nous ne prenons ici que le tarifs du package. Dans le cas d’un problème dans le cycle de vie de l’infrastructure, si le client veut recourir a de la maintenance des tarifs de supports lui seront appliques même si la structure est hébergé sur les serveurs de Kugri Technologies.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3" w:colFirst="0" w:name="h.52u26efuircj" w:colLast="0"/>
      <w:bookmarkEnd w:id="13"/>
      <w:r w:rsidRPr="00000000" w:rsidR="00000000" w:rsidDel="00000000">
        <w:rPr>
          <w:rtl w:val="0"/>
        </w:rPr>
        <w:t xml:space="preserve">2.2.1.  Modèle embarqué</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le cas du modèle embarque, nous ferons payer uniquement les tarifs lies a l'hébergement. Soit:</w:t>
      </w:r>
    </w:p>
    <w:p w:rsidP="00000000" w:rsidRPr="00000000" w:rsidR="00000000" w:rsidDel="00000000" w:rsidRDefault="00000000">
      <w:pPr>
        <w:ind w:left="720" w:firstLine="0"/>
        <w:contextualSpacing w:val="0"/>
        <w:rPr/>
      </w:pPr>
      <w:r w:rsidRPr="00000000" w:rsidR="00000000" w:rsidDel="00000000">
        <w:rPr>
          <w:rtl w:val="0"/>
        </w:rPr>
        <w:t xml:space="preserve">-10000 CFA/ 1GB de data</w:t>
      </w:r>
    </w:p>
    <w:p w:rsidP="00000000" w:rsidRPr="00000000" w:rsidR="00000000" w:rsidDel="00000000" w:rsidRDefault="00000000">
      <w:pPr>
        <w:ind w:left="720" w:firstLine="0"/>
        <w:contextualSpacing w:val="0"/>
      </w:pPr>
      <w:r w:rsidRPr="00000000" w:rsidR="00000000" w:rsidDel="00000000">
        <w:rPr>
          <w:rtl w:val="0"/>
        </w:rPr>
        <w:t xml:space="preserve">-10000 CFA/10GB de trafic</w:t>
      </w:r>
    </w:p>
    <w:p w:rsidP="00000000" w:rsidRPr="00000000" w:rsidR="00000000" w:rsidDel="00000000" w:rsidRDefault="00000000">
      <w:pPr>
        <w:ind w:left="720" w:firstLine="0"/>
        <w:contextualSpacing w:val="0"/>
        <w:rPr/>
      </w:pPr>
      <w:r w:rsidRPr="00000000" w:rsidR="00000000" w:rsidDel="00000000">
        <w:rPr>
          <w:rtl w:val="0"/>
        </w:rPr>
        <w:t xml:space="preserve">Ou le meme modele de 5000 CFA/ Employer utilisant le service.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Également, dans le cas de la création d’un nom de domaine a part ainsi qu’un serveur d’application propre garder par nos soins sera de 50000 CFA par mois. Aucune maintenance n’est prise en compte.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4" w:colFirst="0" w:name="h.rzv3bc6r72yz" w:colLast="0"/>
      <w:bookmarkEnd w:id="14"/>
      <w:r w:rsidRPr="00000000" w:rsidR="00000000" w:rsidDel="00000000">
        <w:rPr>
          <w:rtl w:val="0"/>
        </w:rPr>
        <w:t xml:space="preserve">2.2.2.  Modèle débarqué</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le cas du modèle débarqué aucun paiement n’est demande a l’utilisateur en dehors des tarifs du package.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5" w:colFirst="0" w:name="h.krox27w9ysmh" w:colLast="0"/>
      <w:bookmarkEnd w:id="15"/>
      <w:r w:rsidRPr="00000000" w:rsidR="00000000" w:rsidDel="00000000">
        <w:rPr>
          <w:rtl w:val="0"/>
        </w:rPr>
        <w:t xml:space="preserve">2.2.2. Modèle mixte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le cas d’un modèle mixte, seul les tarifs de la partie embarqué (hébergée) seront factures au client.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6" w:colFirst="0" w:name="h.gq9idm7kgj5j" w:colLast="0"/>
      <w:bookmarkEnd w:id="16"/>
      <w:r w:rsidRPr="00000000" w:rsidR="00000000" w:rsidDel="00000000">
        <w:rPr>
          <w:rtl w:val="0"/>
        </w:rPr>
        <w:t xml:space="preserve">3. Package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Cette section définie le contenu de Livrable et les tarifs lies. On décomptera chez Kugri quatre type de packages dont certains on des variantes.</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3.1. Complet</w:t>
      </w:r>
    </w:p>
    <w:p w:rsidP="00000000" w:rsidRPr="00000000" w:rsidR="00000000" w:rsidDel="00000000" w:rsidRDefault="00000000">
      <w:pPr>
        <w:ind w:left="450" w:firstLine="0"/>
        <w:contextualSpacing w:val="0"/>
      </w:pPr>
      <w:r w:rsidRPr="00000000" w:rsidR="00000000" w:rsidDel="00000000">
        <w:rPr>
          <w:rtl w:val="0"/>
        </w:rPr>
        <w:t xml:space="preserve">Un package complet contient: Un web service, Un client web et un Client natif.</w:t>
      </w:r>
    </w:p>
    <w:p w:rsidP="00000000" w:rsidRPr="00000000" w:rsidR="00000000" w:rsidDel="00000000" w:rsidRDefault="00000000">
      <w:pPr>
        <w:ind w:left="450" w:firstLine="0"/>
        <w:contextualSpacing w:val="0"/>
      </w:pPr>
      <w:r w:rsidRPr="00000000" w:rsidR="00000000" w:rsidDel="00000000">
        <w:rPr>
          <w:rtl w:val="0"/>
        </w:rPr>
        <w:t xml:space="preserve">La premiere formule avec un Landing Page et un client mobile est: 50000 CFA.</w:t>
      </w:r>
    </w:p>
    <w:p w:rsidP="00000000" w:rsidRPr="00000000" w:rsidR="00000000" w:rsidDel="00000000" w:rsidRDefault="00000000">
      <w:pPr>
        <w:ind w:left="450" w:firstLine="0"/>
        <w:contextualSpacing w:val="0"/>
      </w:pPr>
      <w:r w:rsidRPr="00000000" w:rsidR="00000000" w:rsidDel="00000000">
        <w:rPr>
          <w:rtl w:val="0"/>
        </w:rPr>
        <w:t xml:space="preserve">La deuxieme formule avec une App web et un client mobile est: 70000 CFA.</w:t>
      </w:r>
    </w:p>
    <w:p w:rsidP="00000000" w:rsidRPr="00000000" w:rsidR="00000000" w:rsidDel="00000000" w:rsidRDefault="00000000">
      <w:pPr>
        <w:ind w:left="450" w:firstLine="0"/>
        <w:contextualSpacing w:val="0"/>
      </w:pPr>
      <w:r w:rsidRPr="00000000" w:rsidR="00000000" w:rsidDel="00000000">
        <w:rPr>
          <w:rtl w:val="0"/>
        </w:rPr>
        <w:t xml:space="preserve">La troisieme formule avec  un Landing Page et client desktop/server est: 100000 CFA.</w:t>
      </w:r>
    </w:p>
    <w:p w:rsidP="00000000" w:rsidRPr="00000000" w:rsidR="00000000" w:rsidDel="00000000" w:rsidRDefault="00000000">
      <w:pPr>
        <w:ind w:left="450" w:firstLine="0"/>
        <w:contextualSpacing w:val="0"/>
      </w:pPr>
      <w:r w:rsidRPr="00000000" w:rsidR="00000000" w:rsidDel="00000000">
        <w:rPr>
          <w:rtl w:val="0"/>
        </w:rPr>
        <w:t xml:space="preserve">La quatrieme formule avec une App web et client desktop/server est: 120000 CFA.</w:t>
      </w:r>
    </w:p>
    <w:p w:rsidP="00000000" w:rsidRPr="00000000" w:rsidR="00000000" w:rsidDel="00000000" w:rsidRDefault="00000000">
      <w:pPr>
        <w:ind w:left="450" w:firstLine="0"/>
        <w:contextualSpacing w:val="0"/>
      </w:pPr>
      <w:r w:rsidRPr="00000000" w:rsidR="00000000" w:rsidDel="00000000">
        <w:rPr>
          <w:rtl w:val="0"/>
        </w:rPr>
        <w:t xml:space="preserve">La cinquieme formule avec un Landing Page et un client emarque est de 70000 CFA.</w:t>
      </w:r>
    </w:p>
    <w:p w:rsidP="00000000" w:rsidRPr="00000000" w:rsidR="00000000" w:rsidDel="00000000" w:rsidRDefault="00000000">
      <w:pPr>
        <w:ind w:left="450" w:firstLine="0"/>
        <w:contextualSpacing w:val="0"/>
        <w:rPr/>
      </w:pPr>
      <w:r w:rsidRPr="00000000" w:rsidR="00000000" w:rsidDel="00000000">
        <w:rPr>
          <w:rtl w:val="0"/>
        </w:rPr>
        <w:t xml:space="preserve">La sixieme formule avec une App web et un client embarque est de 90000 CFA.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18" w:colFirst="0" w:name="h.7e3f3lxrm7hc" w:colLast="0"/>
      <w:bookmarkEnd w:id="18"/>
      <w:r w:rsidRPr="00000000" w:rsidR="00000000" w:rsidDel="00000000">
        <w:rPr>
          <w:rtl w:val="0"/>
        </w:rPr>
        <w:t xml:space="preserve">3.2. Frontend - Natif uniquement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Dans ce package Natif uniquement il faudra determiner si le natif viens seul ou avec un web service associe. Ce qui se propose en plusieurs formules.</w:t>
      </w:r>
    </w:p>
    <w:p w:rsidP="00000000" w:rsidRPr="00000000" w:rsidR="00000000" w:rsidDel="00000000" w:rsidRDefault="00000000">
      <w:pPr>
        <w:ind w:left="450" w:firstLine="0"/>
        <w:contextualSpacing w:val="0"/>
      </w:pPr>
      <w:r w:rsidRPr="00000000" w:rsidR="00000000" w:rsidDel="00000000">
        <w:rPr>
          <w:rtl w:val="0"/>
        </w:rPr>
        <w:t xml:space="preserve">La premiere formule avec un Web service et un natif mobile est: 50000 CFA.</w:t>
      </w:r>
    </w:p>
    <w:p w:rsidP="00000000" w:rsidRPr="00000000" w:rsidR="00000000" w:rsidDel="00000000" w:rsidRDefault="00000000">
      <w:pPr>
        <w:ind w:left="450" w:firstLine="0"/>
        <w:contextualSpacing w:val="0"/>
      </w:pPr>
      <w:r w:rsidRPr="00000000" w:rsidR="00000000" w:rsidDel="00000000">
        <w:rPr>
          <w:rtl w:val="0"/>
        </w:rPr>
        <w:t xml:space="preserve">La deuxieme formule avec un Web service et un natif desktop/server est: 100000 CFA.</w:t>
      </w:r>
    </w:p>
    <w:p w:rsidP="00000000" w:rsidRPr="00000000" w:rsidR="00000000" w:rsidDel="00000000" w:rsidRDefault="00000000">
      <w:pPr>
        <w:ind w:left="450" w:firstLine="0"/>
        <w:contextualSpacing w:val="0"/>
      </w:pPr>
      <w:r w:rsidRPr="00000000" w:rsidR="00000000" w:rsidDel="00000000">
        <w:rPr>
          <w:rtl w:val="0"/>
        </w:rPr>
        <w:t xml:space="preserve">La troisieme formule avec un Web service et un natif embarque est: 70000 CFA.</w:t>
      </w:r>
    </w:p>
    <w:p w:rsidP="00000000" w:rsidRPr="00000000" w:rsidR="00000000" w:rsidDel="00000000" w:rsidRDefault="00000000">
      <w:pPr>
        <w:ind w:left="450" w:firstLine="0"/>
        <w:contextualSpacing w:val="0"/>
        <w:rPr/>
      </w:pPr>
      <w:r w:rsidRPr="00000000" w:rsidR="00000000" w:rsidDel="00000000">
        <w:rPr>
          <w:rtl w:val="0"/>
        </w:rPr>
        <w:t xml:space="preserve">Dans la cas des formules sans Web services ilf faudra retirer 50% du prix des formules avec 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19" w:colFirst="0" w:name="h.xz92ysopomy8" w:colLast="0"/>
      <w:bookmarkEnd w:id="19"/>
      <w:r w:rsidRPr="00000000" w:rsidR="00000000" w:rsidDel="00000000">
        <w:rPr>
          <w:rtl w:val="0"/>
        </w:rPr>
        <w:t xml:space="preserve">3.3. Frontend - Web uniquement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Dans le cas de ce package il faudra egalement determiner si le client web vient avec ou sans Web service. Cela definit egalement les formules associees.</w:t>
      </w:r>
    </w:p>
    <w:p w:rsidP="00000000" w:rsidRPr="00000000" w:rsidR="00000000" w:rsidDel="00000000" w:rsidRDefault="00000000">
      <w:pPr>
        <w:ind w:left="450" w:firstLine="0"/>
        <w:contextualSpacing w:val="0"/>
      </w:pPr>
      <w:r w:rsidRPr="00000000" w:rsidR="00000000" w:rsidDel="00000000">
        <w:rPr>
          <w:rtl w:val="0"/>
        </w:rPr>
        <w:t xml:space="preserve">La premiere formule avec un Web service et un landing Page est : 30000 CFA.</w:t>
      </w:r>
    </w:p>
    <w:p w:rsidP="00000000" w:rsidRPr="00000000" w:rsidR="00000000" w:rsidDel="00000000" w:rsidRDefault="00000000">
      <w:pPr>
        <w:ind w:left="450" w:firstLine="0"/>
        <w:contextualSpacing w:val="0"/>
        <w:rPr/>
      </w:pPr>
      <w:r w:rsidRPr="00000000" w:rsidR="00000000" w:rsidDel="00000000">
        <w:rPr>
          <w:rtl w:val="0"/>
        </w:rPr>
        <w:t xml:space="preserve">La deuxieme formule avec un Web service et une App web est: 50000 CFA</w:t>
      </w:r>
    </w:p>
    <w:p w:rsidP="00000000" w:rsidRPr="00000000" w:rsidR="00000000" w:rsidDel="00000000" w:rsidRDefault="00000000">
      <w:pPr>
        <w:ind w:left="450" w:firstLine="0"/>
        <w:contextualSpacing w:val="0"/>
        <w:rPr/>
      </w:pPr>
      <w:r w:rsidRPr="00000000" w:rsidR="00000000" w:rsidDel="00000000">
        <w:rPr>
          <w:rtl w:val="0"/>
        </w:rPr>
        <w:t xml:space="preserve">La troisieme formule sans un Web service et un landing Page est: 10000 CFA.</w:t>
      </w:r>
    </w:p>
    <w:p w:rsidP="00000000" w:rsidRPr="00000000" w:rsidR="00000000" w:rsidDel="00000000" w:rsidRDefault="00000000">
      <w:pPr>
        <w:ind w:left="450" w:firstLine="0"/>
        <w:contextualSpacing w:val="0"/>
      </w:pPr>
      <w:r w:rsidRPr="00000000" w:rsidR="00000000" w:rsidDel="00000000">
        <w:rPr>
          <w:rtl w:val="0"/>
        </w:rPr>
        <w:t xml:space="preserve">La quatrieme formule sans un Web service et une App web est: 30000 CFA.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20" w:colFirst="0" w:name="h.ufiy8cisapvi" w:colLast="0"/>
      <w:bookmarkEnd w:id="20"/>
      <w:r w:rsidRPr="00000000" w:rsidR="00000000" w:rsidDel="00000000">
        <w:rPr>
          <w:rtl w:val="0"/>
        </w:rPr>
        <w:t xml:space="preserve">3.2. Backend uniquement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Dans le cas de la livraison d’un web service uniquement le tarifs est de 30000 CFA. Il faudra essaye d’expliquer en quoi ce package peut etre interessant. Un web service est un moyen d’avoir tous ce qu’on fait connecter a internet: On peut y acceder de n’importe ou tant qu’on a la connexion. Par example pour une boutique si le bosse veut savoir combien une de ses boutiques marches il peut acceder a la comptabilite et le savoir.</w:t>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21" w:colFirst="0" w:name="h.4wwbvavrf4co" w:colLast="0"/>
      <w:bookmarkEnd w:id="21"/>
      <w:r w:rsidRPr="00000000" w:rsidR="00000000" w:rsidDel="00000000">
        <w:rPr>
          <w:rtl w:val="0"/>
        </w:rPr>
        <w:t xml:space="preserve">4. Support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Dans cette section nous detaillons quelle est la tarification des services vis a vis d’une solution existante.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4.1. Maintenance, Restauration et Mise a niveau</w:t>
      </w:r>
    </w:p>
    <w:p w:rsidP="00000000" w:rsidRPr="00000000" w:rsidR="00000000" w:rsidDel="00000000" w:rsidRDefault="00000000">
      <w:pPr>
        <w:ind w:left="450" w:firstLine="0"/>
        <w:contextualSpacing w:val="0"/>
        <w:rPr/>
      </w:pPr>
      <w:r w:rsidRPr="00000000" w:rsidR="00000000" w:rsidDel="00000000">
        <w:rPr>
          <w:rtl w:val="0"/>
        </w:rPr>
        <w:t xml:space="preserve">Vis a vis d’une solution meme si fournie par Kugri Technologies ne faisant pas partie d’un livrable complet est considere exterieur a Kugri Technologies apres le premier mois de la livraison. Il faut etre claire que les trois services ici sont indiscossibale chez Kugri. La tarification est de 5000 CFA de l’heure pour de l’aide dans ces trois ou de 50000 CFA par mois pour un contrat de support avec ses trois services.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23" w:colFirst="0" w:name="h.gk7j3ikqhthw" w:colLast="0"/>
      <w:bookmarkEnd w:id="23"/>
      <w:r w:rsidRPr="00000000" w:rsidR="00000000" w:rsidDel="00000000">
        <w:rPr>
          <w:rtl w:val="0"/>
        </w:rPr>
        <w:t xml:space="preserve">4.2. Formation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Chez Kugri Technologies la formation a l’utilisation d’un produit est a tarif variable a partir de 50000 CFA/heure avec un nombre d’heures a determiner.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reservés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Janvier 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Modele de Business - Kugri Technologies.docx</dc:title>
</cp:coreProperties>
</file>