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Reliable Heart-Rate Data Delivery from a Smartwatch to a Smartphone over Bluetooth Low Energy Using a Store-and-Forward Scheme with Acknowledgement</w:t>
      </w:r>
    </w:p>
    <w:p>
      <w:pPr>
        <w:jc w:val="center"/>
      </w:pPr>
      <w:r>
        <w:t>Faik Irkham¹, [[Advisor Name]]²</w:t>
      </w:r>
    </w:p>
    <w:p>
      <w:pPr>
        <w:jc w:val="center"/>
      </w:pPr>
      <w:r>
        <w:t>¹²[[Department/Study Program, Faculty, University, City, Indonesia]]</w:t>
      </w:r>
    </w:p>
    <w:p>
      <w:pPr>
        <w:jc w:val="center"/>
      </w:pPr>
      <w:r>
        <w:t>e-mail: faikirkham@gmail.com</w:t>
      </w:r>
    </w:p>
    <w:p>
      <w:pPr>
        <w:spacing w:before="200" w:after="80"/>
      </w:pPr>
      <w:r>
        <w:t>Abstract</w:t>
      </w:r>
    </w:p>
    <w:p>
      <w:pPr>
        <w:spacing w:after="120"/>
        <w:jc w:val="both"/>
      </w:pPr>
      <w:r>
        <w:t>Continuous wearable heart-rate monitoring requires data delivery that preserves integrity despite limited BLE notification size and intermittent connectivity. This study implements two applications: a Wear OS smartwatch records one SQLite row per second and sends opcode-framed batches as a peripheral/GATT server, while an Android smartphone reassembles frames, persists records idempotently, and returns an application-level ACK. The historical evaluation comprises four initial-version sessions from 23–28 June 2026 and one ACK-revised session on 5 July 2026, totaling 25,191 records. Combined, 22,429 records were matched on the smartphone (89.04%); every matched record had identical bpm and accuracy values and no database duplicates. The initial-version sessions revealed 2,755 measurement-period records prematurely marked synced although absent from the smartphone. After markSynced was revised to wait for an ACK, Session 5 delivered 1,974 of 1,976 records (99.90%); the final two remained pending and all seven transmitted batches were acknowledged. At MTU 512, 180-record batches (8,461 bytes, 19 frames) transferred in 121.5 ± 25.5 ms. The results demonstrate high transfer integrity, while the revised version's disconnect–reconnect resilience still requires controlled evaluation.</w:t>
      </w:r>
    </w:p>
    <w:p>
      <w:r>
        <w:t>Keywords: IoMT; Bluetooth Low Energy; wearable; heart rate; store-and-forward; delivery reliability; Wear OS</w:t>
      </w:r>
    </w:p>
    <w:p>
      <w:pPr>
        <w:spacing w:before="200" w:after="80"/>
      </w:pPr>
      <w:r>
        <w:t>1. Introduction</w:t>
      </w:r>
    </w:p>
    <w:p>
      <w:pPr>
        <w:spacing w:after="120"/>
        <w:jc w:val="both"/>
      </w:pPr>
      <w:r>
        <w:t>The use of wearable devices for continuous health monitoring has grown rapidly along with the Internet of Medical Things (IoMT), a network of medical/health devices that collect and exchange physiological data [7]. A smartwatch equipped with an optical heart-rate sensor can act as a sensor node, while a smartphone serves as a gateway that collects, stores, and forwards the data for further analysis.</w:t>
      </w:r>
    </w:p>
    <w:p>
      <w:pPr>
        <w:spacing w:after="120"/>
        <w:jc w:val="both"/>
      </w:pPr>
      <w:r>
        <w:t>Bluetooth Low Energy (BLE) is a primary choice of communication channel in this scenario because of its low power consumption [1]. However, delivering complete health data over BLE faces several challenges: the size of a single notification is bounded by the Maximum Transmission Unit (MTU) [11]; BLE notifications are best-effort (no attribute-layer acknowledgement); and operating systems—especially Wear OS and phones with aggressive power management—restrict background processes [3]. In health applications, losing part of the data can degrade analysis quality, making data completeness an essential requirement.</w:t>
      </w:r>
    </w:p>
    <w:p>
      <w:pPr>
        <w:spacing w:after="120"/>
        <w:jc w:val="both"/>
      </w:pPr>
      <w:r>
        <w:t>Many prior implementations emphasize displaying the latest value in real time (e.g., sending a single reading snapshot on request); this approach does not guarantee that all readings are stored at the receiver if the connection is briefly lost or the receiver application is stopped by the system [8], [10]. A mechanism that guarantees data completeness is therefore needed, combining temporary storage (store-and-forward), delivery acknowledgement, duplicate prevention, and background operation.</w:t>
      </w:r>
    </w:p>
    <w:p>
      <w:r>
        <w:t>Several recent studies have examined aspects adjacent to this work. He et al. [7] mapped the architecture, applications, and challenges of the IoMT, including the need for reliable data delivery in remote patient monitoring. At the protocol level, Balas et al. [8] observed the behaviour of BLE in a heart-rate monitoring application and showed that connection parameters affect the quality of data delivery, while Xu et al. [11] modelled BLE performance and demonstrated the influence of link-layer parameters on throughput. At the network level, the survey by Majumdar et al. [10] summarised reliability, robustness, and energy-efficiency approaches in wireless body area networks (WBANs), and Xiong and Jiang [9] developed a delay-tolerant network (DTN) routing protocol based on the store-carry-forward paradigm for intermittently connected networks. At the device level, the validation study by Schweizer and Gilgen-Ammann [12] confirmed that the accuracy of wrist-worn heart-rate sensors varies across activity conditions, so sensor contact quality should be reported alongside the data.</w:t>
      </w:r>
    </w:p>
    <w:p>
      <w:r>
        <w:t>Nevertheless, these studies largely focus on link-layer behaviour, routing protocols, or sensor accuracy, and do not address application-level data-completeness guarantees on a consumer device pair (a Wear OS smartwatch and an Android smartphone) under disconnect–reconnect conditions — including empirical verification that every recorded reading actually arrives at the receiver without duplication. This work fills that gap through the combination of store-and-forward, application-level acknowledgement (ACK), an idempotent receiver, and completeness evaluation based on timestamp matching.</w:t>
      </w:r>
    </w:p>
    <w:p>
      <w:pPr>
        <w:spacing w:after="120"/>
        <w:jc w:val="both"/>
      </w:pPr>
      <w:r>
        <w:t>The contributions of this work are: (1) the design and implementation of a two-application Wear OS–Android system for heart-rate acquisition and delivery; (2) an opcode-framed batch protocol over BLE notifications with flow control; (3) store-and-forward, application-level ACK, and idempotent receiver mechanisms; (4) background execution using foreground services; and (5) an empirical evaluation across five sessions, including the backfill limitation found in the initial implementation, with reproducible analysis tools.</w:t>
      </w:r>
    </w:p>
    <w:p>
      <w:pPr>
        <w:spacing w:before="200" w:after="80"/>
      </w:pPr>
      <w:r>
        <w:t>2. Materials and Methods</w:t>
      </w:r>
    </w:p>
    <w:p>
      <w:pPr>
        <w:spacing w:after="120"/>
        <w:jc w:val="both"/>
      </w:pPr>
      <w:r>
        <w:t>This study follows a design-and-implementation approach, followed by testing on physical devices. This section describes the system architecture, the communication protocol, the reliability mechanisms, the application architecture, and the evaluation procedure and metrics.</w:t>
      </w:r>
    </w:p>
    <w:p>
      <w:pPr>
        <w:spacing w:before="200" w:after="80"/>
      </w:pPr>
      <w:r>
        <w:t>2.1 System Architecture</w:t>
      </w:r>
    </w:p>
    <w:p>
      <w:pPr>
        <w:spacing w:after="120"/>
        <w:jc w:val="both"/>
      </w:pPr>
      <w:r>
        <w:t>The system comprises two devices, as shown in Figure 1. The smartwatch acts as a peripheral/GATT server: the heart-rate sensor is read by native code, forwarded to the application layer, stored in a local SQLite database (sqflite library) [5], and then advertised and sent over BLE. The smartphone acts as a central/GATT client (flutter_blue_plus library) [4]: it scans, connects, subscribes to notifications, reassembles the batch, stores it in SQLite, and provides data export. The data follows a numbered “U”-shaped flow (1–10), from acquisition on the smartwatch to export on the smartphone.</w:t>
      </w:r>
    </w:p>
    <w:p>
      <w:pPr>
        <w:jc w:val="center"/>
      </w:pPr>
      <w:r/>
    </w:p>
    <w:p>
      <w:pPr>
        <w:spacing w:after="160"/>
        <w:jc w:val="center"/>
      </w:pPr>
      <w:r>
        <w:t>Figure 1. Two-device system architecture (data flow 1–10).</w:t>
      </w:r>
    </w:p>
    <w:p>
      <w:r>
        <w:t>In the figure, the left column shows the five smartwatch components — sensor, native code, application layer, SQLite, and the BLE advertiser/GATT server — flowing from acquisition to transmission (steps 1–5), while the right column shows the five smartphone components from BLE reception to data export (steps 6–10). The bridge on the bottom row depicts the two communication directions: data batches via NOTIFY from the smartwatch to the smartphone, and the ACK confirmation via WRITE in the opposite direction.</w:t>
      </w:r>
    </w:p>
    <w:p>
      <w:pPr>
        <w:spacing w:before="200" w:after="80"/>
      </w:pPr>
      <w:r>
        <w:t>2.2 Communication Protocol and Framing</w:t>
      </w:r>
    </w:p>
    <w:p>
      <w:pPr>
        <w:spacing w:after="120"/>
        <w:jc w:val="both"/>
      </w:pPr>
      <w:r>
        <w:t>Communication uses a dedicated GATT service with a “record” characteristic of the notify type. After connecting, the smartphone requests a 512-byte MTU and enables notifications. Because one batch contains many readings whose size exceeds the capacity of a single notification, the batch is fragmented into a sequence of frames, each prefixed with an opcode: START (0x01), DATA (0x02), and END (0x03), as shown in Figure 2. The data chunk per frame is MTU minus 4 bytes (3 bytes of ATT header and 1 byte of opcode). Inter-frame transmission is flow-controlled: the next frame is sent only after the send-completion callback of the previous frame. The receiver reassembles the frames into a complete JSON payload. The full interaction sequence is shown in Figure 3.</w:t>
      </w:r>
    </w:p>
    <w:p>
      <w:pPr>
        <w:jc w:val="center"/>
      </w:pPr>
      <w:r/>
    </w:p>
    <w:p>
      <w:pPr>
        <w:spacing w:after="160"/>
        <w:jc w:val="center"/>
      </w:pPr>
      <w:r>
        <w:t>Figure 2. Fragmentation of one JSON batch into BLE frames (START/DATA/END).</w:t>
      </w:r>
    </w:p>
    <w:p>
      <w:r>
        <w:t>The figure shows one batch (a JSON array of bpm, accuracy, and time) being split into a sequence of frames: opened by START, followed by a number of DATA frames each carrying one payload chunk, and closed by END. The inset at the bottom shows the structure of a single DATA frame — a one-byte opcode followed by a chunk of at most MTU − 4 bytes — and each frame is sent as one BLE notification.</w:t>
      </w:r>
    </w:p>
    <w:p>
      <w:pPr>
        <w:jc w:val="center"/>
      </w:pPr>
      <w:r/>
    </w:p>
    <w:p>
      <w:pPr>
        <w:spacing w:after="160"/>
        <w:jc w:val="center"/>
      </w:pPr>
      <w:r>
        <w:t>Figure 3. BLE communication sequence: setup, batch transfer, and ACK.</w:t>
      </w:r>
    </w:p>
    <w:p>
      <w:r>
        <w:t>The sequence diagram reads top to bottom in three phases. Connection setup: the smartwatch advertises, the smartphone scans and connects, requests a 512-byte MTU, and enables notifications. Transfer: the batch is sent as a START–DATA–END sequence. Persistence and acknowledgement: the smartphone stores the batch in its database and writes the ACK, upon which the smartwatch marks the records as sent.</w:t>
      </w:r>
    </w:p>
    <w:p>
      <w:pPr>
        <w:spacing w:before="200" w:after="80"/>
      </w:pPr>
      <w:r>
        <w:t>2.3 Store-and-Forward and Acknowledgement (ACK)</w:t>
      </w:r>
    </w:p>
    <w:p>
      <w:pPr>
        <w:spacing w:after="120"/>
        <w:jc w:val="both"/>
      </w:pPr>
      <w:r>
        <w:t>Each reading is stored on the smartwatch with synced = 0. At each selected sending interval, all unsent records are transmitted as one batch. After the database transaction completes, the smartphone writes an ACK containing the number of records processed in that batch. The smartwatch marks the records synced = 1 only after receiving an ACK; otherwise, they remain unsent and are retried at the next interval. A unique index on time with INSERT OR IGNORE makes database persistence idempotent. The current ACK confirms completion of batch processing, but it does not yet carry a batch identifier and its count is not validated against the pending batch. It therefore improves reliability rather than providing a formal failure-free guarantee.</w:t>
      </w:r>
    </w:p>
    <w:p>
      <w:pPr>
        <w:jc w:val="center"/>
      </w:pPr>
      <w:r/>
    </w:p>
    <w:p>
      <w:pPr>
        <w:spacing w:after="160"/>
        <w:jc w:val="center"/>
      </w:pPr>
      <w:r>
        <w:t>Figure 4. Store-and-forward flow with delivery acknowledgement (ACK).</w:t>
      </w:r>
    </w:p>
    <w:p>
      <w:r>
        <w:t>The flow in the figure spans two different time scales: sensor readings are stored every second (continuous), whereas fetching unsent records, sending the batch, and awaiting the ACK run per interval (3/5 minutes). The ACK decision branch captures the core of the reliability mechanism: if the ACK is received the records are marked as sent; otherwise they remain unsent and are retransmitted in the next interval.</w:t>
      </w:r>
    </w:p>
    <w:p>
      <w:pPr>
        <w:spacing w:before="200" w:after="80"/>
      </w:pPr>
      <w:r>
        <w:t>2.4 Smartwatch Application Architecture</w:t>
      </w:r>
    </w:p>
    <w:p>
      <w:pPr>
        <w:spacing w:after="120"/>
        <w:jc w:val="both"/>
      </w:pPr>
      <w:r>
        <w:t>The smartwatch application is built with Flutter, with a clear separation between the Dart layer and the native (Kotlin) layer, as shown in Figure 5. The Dart layer uses the BLoC pattern [6]: the monitoring logic (per-second sampling, per-interval sending, store-and-forward, and waiting for ACK) is separated from the user interface. The native layer hosts the sensor listener, the GATT server and advertiser, the frame queue and flow control, the ACK characteristic, and a foreground service that keeps the process alive when the application is in the background or the screen is off. The two layers communicate via platform channels.</w:t>
      </w:r>
    </w:p>
    <w:p>
      <w:pPr>
        <w:jc w:val="center"/>
      </w:pPr>
      <w:r/>
    </w:p>
    <w:p>
      <w:pPr>
        <w:spacing w:after="160"/>
        <w:jc w:val="center"/>
      </w:pPr>
      <w:r>
        <w:t>Figure 5. Internal architecture of the smartwatch application (Flutter–Native boundary).</w:t>
      </w:r>
    </w:p>
    <w:p>
      <w:r>
        <w:t>The figure separates the two layers of the smartwatch application. The Dart layer contains the user interface, the monitoring logic in the BLoC pattern (per-second sampling, per-interval sending, ACK waiting), and SQLite access; the native Kotlin layer contains the sensor listener, the GATT server with its frame queue and flow control, the ACK characteristic, and the foreground service. The two layers communicate via platform channels: commands flow down through a MethodChannel and events flow up through EventChannels.</w:t>
      </w:r>
    </w:p>
    <w:p>
      <w:pPr>
        <w:spacing w:before="200" w:after="80"/>
      </w:pPr>
      <w:r>
        <w:t>2.5 Devices and Test Scenario</w:t>
      </w:r>
    </w:p>
    <w:p>
      <w:pPr>
        <w:spacing w:after="120"/>
        <w:jc w:val="both"/>
      </w:pPr>
      <w:r>
        <w:t>Testing was conducted on physical devices. Four sessions on 23–28 June 2026 used the initial implementation, while one session on 5 July 2026 used the revised implementation that waits for an ACK before markSynced. The combined dataset contains 25,191 measurement-period readings. Because it spans two software versions, the five-session aggregate is a descriptive historical summary and must not be interpreted as the performance estimate of one implementation version.</w:t>
      </w:r>
    </w:p>
    <w:p>
      <w:pPr>
        <w:jc w:val="center"/>
      </w:pPr>
      <w:r>
        <w:t>Table 1. Device and test-environment specifications.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Component</w:t>
            </w:r>
          </w:p>
        </w:tc>
        <w:tc>
          <w:tcPr>
            <w:tcW w:type="dxa" w:w="4320"/>
          </w:tcPr>
          <w:p>
            <w:r/>
            <w:r>
              <w:rPr>
                <w:rFonts w:ascii="Times New Roman" w:hAnsi="Times New Roman"/>
                <w:b/>
                <w:i w:val="0"/>
                <w:sz w:val="20"/>
              </w:rPr>
              <w:t>Specification</w:t>
            </w:r>
          </w:p>
        </w:tc>
      </w:tr>
      <w:tr>
        <w:tc>
          <w:tcPr>
            <w:tcW w:type="dxa" w:w="4320"/>
          </w:tcPr>
          <w:p>
            <w:r/>
            <w:r>
              <w:rPr>
                <w:rFonts w:ascii="Times New Roman" w:hAnsi="Times New Roman"/>
                <w:b w:val="0"/>
                <w:i w:val="0"/>
                <w:sz w:val="20"/>
              </w:rPr>
              <w:t>Smartwatch (peripheral)</w:t>
            </w:r>
          </w:p>
        </w:tc>
        <w:tc>
          <w:tcPr>
            <w:tcW w:type="dxa" w:w="4320"/>
          </w:tcPr>
          <w:p>
            <w:r/>
            <w:r>
              <w:rPr>
                <w:rFonts w:ascii="Times New Roman" w:hAnsi="Times New Roman"/>
                <w:b w:val="0"/>
                <w:i w:val="0"/>
                <w:sz w:val="20"/>
              </w:rPr>
              <w:t>Samsung Galaxy Watch (SM-R860), Wear OS</w:t>
            </w:r>
          </w:p>
        </w:tc>
      </w:tr>
      <w:tr>
        <w:tc>
          <w:tcPr>
            <w:tcW w:type="dxa" w:w="4320"/>
          </w:tcPr>
          <w:p>
            <w:r/>
            <w:r>
              <w:rPr>
                <w:rFonts w:ascii="Times New Roman" w:hAnsi="Times New Roman"/>
                <w:b w:val="0"/>
                <w:i w:val="0"/>
                <w:sz w:val="20"/>
              </w:rPr>
              <w:t>Smartphone (central)</w:t>
            </w:r>
          </w:p>
        </w:tc>
        <w:tc>
          <w:tcPr>
            <w:tcW w:type="dxa" w:w="4320"/>
          </w:tcPr>
          <w:p>
            <w:r/>
            <w:r>
              <w:rPr>
                <w:rFonts w:ascii="Times New Roman" w:hAnsi="Times New Roman"/>
                <w:b w:val="0"/>
                <w:i w:val="0"/>
                <w:sz w:val="20"/>
              </w:rPr>
              <w:t>Xiaomi Redmi Note 10 Pro (M2101K6G), Android 13</w:t>
            </w:r>
          </w:p>
        </w:tc>
      </w:tr>
      <w:tr>
        <w:tc>
          <w:tcPr>
            <w:tcW w:type="dxa" w:w="4320"/>
          </w:tcPr>
          <w:p>
            <w:r/>
            <w:r>
              <w:rPr>
                <w:rFonts w:ascii="Times New Roman" w:hAnsi="Times New Roman"/>
                <w:b w:val="0"/>
                <w:i w:val="0"/>
                <w:sz w:val="20"/>
              </w:rPr>
              <w:t>Framework</w:t>
            </w:r>
          </w:p>
        </w:tc>
        <w:tc>
          <w:tcPr>
            <w:tcW w:type="dxa" w:w="4320"/>
          </w:tcPr>
          <w:p>
            <w:r/>
            <w:r>
              <w:rPr>
                <w:rFonts w:ascii="Times New Roman" w:hAnsi="Times New Roman"/>
                <w:b w:val="0"/>
                <w:i w:val="0"/>
                <w:sz w:val="20"/>
              </w:rPr>
              <w:t>Flutter 3.41.4; Dart SDK ^3.11.1</w:t>
            </w:r>
          </w:p>
        </w:tc>
      </w:tr>
      <w:tr>
        <w:tc>
          <w:tcPr>
            <w:tcW w:type="dxa" w:w="4320"/>
          </w:tcPr>
          <w:p>
            <w:r/>
            <w:r>
              <w:rPr>
                <w:rFonts w:ascii="Times New Roman" w:hAnsi="Times New Roman"/>
                <w:b w:val="0"/>
                <w:i w:val="0"/>
                <w:sz w:val="20"/>
              </w:rPr>
              <w:t>Main libraries</w:t>
            </w:r>
          </w:p>
        </w:tc>
        <w:tc>
          <w:tcPr>
            <w:tcW w:type="dxa" w:w="4320"/>
          </w:tcPr>
          <w:p>
            <w:r/>
            <w:r>
              <w:rPr>
                <w:rFonts w:ascii="Times New Roman" w:hAnsi="Times New Roman"/>
                <w:b w:val="0"/>
                <w:i w:val="0"/>
                <w:sz w:val="20"/>
              </w:rPr>
              <w:t>flutter_blue_plus, sqflite, flutter_bloc, permission_handler</w:t>
            </w:r>
          </w:p>
        </w:tc>
      </w:tr>
      <w:tr>
        <w:tc>
          <w:tcPr>
            <w:tcW w:type="dxa" w:w="4320"/>
          </w:tcPr>
          <w:p>
            <w:r/>
            <w:r>
              <w:rPr>
                <w:rFonts w:ascii="Times New Roman" w:hAnsi="Times New Roman"/>
                <w:b w:val="0"/>
                <w:i w:val="0"/>
                <w:sz w:val="20"/>
              </w:rPr>
              <w:t>Requested MTU</w:t>
            </w:r>
          </w:p>
        </w:tc>
        <w:tc>
          <w:tcPr>
            <w:tcW w:type="dxa" w:w="4320"/>
          </w:tcPr>
          <w:p>
            <w:r/>
            <w:r>
              <w:rPr>
                <w:rFonts w:ascii="Times New Roman" w:hAnsi="Times New Roman"/>
                <w:b w:val="0"/>
                <w:i w:val="0"/>
                <w:sz w:val="20"/>
              </w:rPr>
              <w:t>512 bytes</w:t>
            </w:r>
          </w:p>
        </w:tc>
      </w:tr>
      <w:tr>
        <w:tc>
          <w:tcPr>
            <w:tcW w:type="dxa" w:w="4320"/>
          </w:tcPr>
          <w:p>
            <w:r/>
            <w:r>
              <w:rPr>
                <w:rFonts w:ascii="Times New Roman" w:hAnsi="Times New Roman"/>
                <w:b w:val="0"/>
                <w:i w:val="0"/>
                <w:sz w:val="20"/>
              </w:rPr>
              <w:t>Sending interval</w:t>
            </w:r>
          </w:p>
        </w:tc>
        <w:tc>
          <w:tcPr>
            <w:tcW w:type="dxa" w:w="4320"/>
          </w:tcPr>
          <w:p>
            <w:r/>
            <w:r>
              <w:rPr>
                <w:rFonts w:ascii="Times New Roman" w:hAnsi="Times New Roman"/>
                <w:b w:val="0"/>
                <w:i w:val="0"/>
                <w:sz w:val="20"/>
              </w:rPr>
              <w:t>3 / 5 minutes (selectable)</w:t>
            </w:r>
          </w:p>
        </w:tc>
      </w:tr>
      <w:tr>
        <w:tc>
          <w:tcPr>
            <w:tcW w:type="dxa" w:w="4320"/>
          </w:tcPr>
          <w:p>
            <w:r>
              <w:t>Test dataset</w:t>
            </w:r>
          </w:p>
        </w:tc>
        <w:tc>
          <w:tcPr>
            <w:tcW w:type="dxa" w:w="4320"/>
          </w:tcPr>
          <w:p>
            <w:r>
              <w:t>23 Jun–5 Jul 2026; 5 sessions; 25,191 measurement readings</w:t>
            </w:r>
          </w:p>
        </w:tc>
      </w:tr>
    </w:tbl>
    <w:p>
      <w:r>
        <w:t>The table summarises the controlled test environment: a consumer device pair (Samsung Galaxy Watch SM-R860 as the peripheral and Xiaomi Redmi Note 10 Pro as the central), the Flutter framework with the applications installed in release mode, a requested MTU of 512 bytes, and a selectable 3/5-minute sending interval. The final dataset covers five sessions during 23 June–5 July 2026 with 25,191 measurement readings in total.</w:t>
      </w:r>
    </w:p>
    <w:p>
      <w:pPr>
        <w:spacing w:after="40"/>
      </w:pPr>
      <w:r/>
    </w:p>
    <w:p>
      <w:pPr>
        <w:spacing w:before="200" w:after="80"/>
      </w:pPr>
      <w:r>
        <w:t>2.6 Evaluation Metrics</w:t>
      </w:r>
    </w:p>
    <w:p>
      <w:pPr>
        <w:spacing w:after="120"/>
        <w:jc w:val="both"/>
      </w:pPr>
      <w:r>
        <w:t>The measured metrics are: (1) delivery ratio, i.e., the number of records matched at the smartphone divided by the number of records recorded by the smartwatch, with matching based on the time attribute so it does not depend on clock synchronization between devices; (2) value fidelity, i.e., the proportion of received records whose values (bpm and accuracy) are identical to the smartwatch records; (3) the number of duplicates at the receiver; (4) the sensor-accuracy distribution following the accuracy-status constants of the Android SensorManager (range -1 to 3) [2]; and (5) per-batch transfer latency and throughput recorded automatically by the application instrumentation. Throughput is computed as the payload size divided by the transfer duration.</w:t>
      </w:r>
    </w:p>
    <w:p>
      <w:pPr/>
      <w:r>
        <w:t>The time attribute above is the smartwatch application's recording timestamp, not the physiological time of a heartbeat: every second (≈1 Hz) the application records the latest sensor bpm value together with the device time at the moment of recording, stored as epoch milliseconds. This timestamp is unique per record and therefore serves as the record key as well as the basis for watch–smartphone matching and duplicate detection.</w:t>
      </w:r>
    </w:p>
    <w:p>
      <w:pPr>
        <w:spacing w:before="200" w:after="80"/>
      </w:pPr>
      <w:r>
        <w:t>3. Results and Discussion</w:t>
      </w:r>
    </w:p>
    <w:p>
      <w:pPr>
        <w:spacing w:before="200" w:after="80"/>
      </w:pPr>
      <w:r>
        <w:t>3.1 End-to-End Functional Verification</w:t>
      </w:r>
    </w:p>
    <w:p>
      <w:pPr>
        <w:spacing w:after="120"/>
        <w:jc w:val="both"/>
      </w:pPr>
      <w:r>
        <w:t>Functional testing showed that the connection sequence works as designed: the smartwatch advertises the service, the smartphone scans and connects, the 512-byte MTU negotiation succeeds, notifications are enabled, and one batch is delivered intact and then confirmed with an ACK. This demonstrates that the framing protocol and the acknowledgement mechanism work end-to-end on real devices.</w:t>
      </w:r>
    </w:p>
    <w:p>
      <w:pPr>
        <w:spacing w:before="200" w:after="80"/>
      </w:pPr>
      <w:r>
        <w:t>3.2 Delivery Ratio</w:t>
      </w:r>
    </w:p>
    <w:p>
      <w:pPr>
        <w:spacing w:after="120"/>
        <w:jc w:val="both"/>
      </w:pPr>
      <w:r>
        <w:t>The evaluation covers four initial-version sessions from 23–28 June 2026 and one ACK-revised session from 5 July 2026. Combined, 22,429 of 25,191 watch records were found on the smartphone (89.04%) with no database duplicates. This aggregate describes the experiment history rather than one software version. The June losses were temporally concentrated before the smartphone was connected; this is an association, not proof of a sole cause. All matched records had identical bpm and accuracy values (100% value fidelity). In Session 5, the revised version delivered 1,974 of 1,976 records; the final two remained pending and all seven transmitted batches received ACKs.</w:t>
      </w:r>
    </w:p>
    <w:p>
      <w:pPr>
        <w:jc w:val="center"/>
      </w:pPr>
      <w:r>
        <w:t>Table 2. Delivery results per test 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Session</w:t>
            </w:r>
          </w:p>
        </w:tc>
        <w:tc>
          <w:tcPr>
            <w:tcW w:type="dxa" w:w="1234"/>
          </w:tcPr>
          <w:p>
            <w:r>
              <w:rPr>
                <w:b/>
              </w:rPr>
              <w:t>Start (WIB)</w:t>
            </w:r>
          </w:p>
        </w:tc>
        <w:tc>
          <w:tcPr>
            <w:tcW w:type="dxa" w:w="1234"/>
          </w:tcPr>
          <w:p>
            <w:r>
              <w:rPr>
                <w:b/>
              </w:rPr>
              <w:t>Duration</w:t>
            </w:r>
          </w:p>
        </w:tc>
        <w:tc>
          <w:tcPr>
            <w:tcW w:type="dxa" w:w="1234"/>
          </w:tcPr>
          <w:p>
            <w:r>
              <w:rPr>
                <w:b/>
              </w:rPr>
              <w:t>Recorded</w:t>
            </w:r>
          </w:p>
        </w:tc>
        <w:tc>
          <w:tcPr>
            <w:tcW w:type="dxa" w:w="1234"/>
          </w:tcPr>
          <w:p>
            <w:r>
              <w:rPr>
                <w:b/>
              </w:rPr>
              <w:t>Received</w:t>
            </w:r>
          </w:p>
        </w:tc>
        <w:tc>
          <w:tcPr>
            <w:tcW w:type="dxa" w:w="1234"/>
          </w:tcPr>
          <w:p>
            <w:r>
              <w:rPr>
                <w:b/>
              </w:rPr>
              <w:t>Lost</w:t>
            </w:r>
          </w:p>
        </w:tc>
        <w:tc>
          <w:tcPr>
            <w:tcW w:type="dxa" w:w="1234"/>
          </w:tcPr>
          <w:p>
            <w:r>
              <w:rPr>
                <w:b/>
              </w:rPr>
              <w:t>Delivery</w:t>
            </w:r>
          </w:p>
        </w:tc>
      </w:tr>
      <w:tr>
        <w:tc>
          <w:tcPr>
            <w:tcW w:type="dxa" w:w="1234"/>
          </w:tcPr>
          <w:p>
            <w:r>
              <w:t>Session 1</w:t>
            </w:r>
          </w:p>
        </w:tc>
        <w:tc>
          <w:tcPr>
            <w:tcW w:type="dxa" w:w="1234"/>
          </w:tcPr>
          <w:p>
            <w:r>
              <w:t>23/06 06:38</w:t>
            </w:r>
          </w:p>
        </w:tc>
        <w:tc>
          <w:tcPr>
            <w:tcW w:type="dxa" w:w="1234"/>
          </w:tcPr>
          <w:p>
            <w:r>
              <w:t>36 min</w:t>
            </w:r>
          </w:p>
        </w:tc>
        <w:tc>
          <w:tcPr>
            <w:tcW w:type="dxa" w:w="1234"/>
          </w:tcPr>
          <w:p>
            <w:r>
              <w:t>2,177</w:t>
            </w:r>
          </w:p>
        </w:tc>
        <w:tc>
          <w:tcPr>
            <w:tcW w:type="dxa" w:w="1234"/>
          </w:tcPr>
          <w:p>
            <w:r>
              <w:t>2,164</w:t>
            </w:r>
          </w:p>
        </w:tc>
        <w:tc>
          <w:tcPr>
            <w:tcW w:type="dxa" w:w="1234"/>
          </w:tcPr>
          <w:p>
            <w:r>
              <w:t>13</w:t>
            </w:r>
          </w:p>
        </w:tc>
        <w:tc>
          <w:tcPr>
            <w:tcW w:type="dxa" w:w="1234"/>
          </w:tcPr>
          <w:p>
            <w:r>
              <w:t>99.40%</w:t>
            </w:r>
          </w:p>
        </w:tc>
      </w:tr>
      <w:tr>
        <w:tc>
          <w:tcPr>
            <w:tcW w:type="dxa" w:w="1234"/>
          </w:tcPr>
          <w:p>
            <w:r>
              <w:t>Session 2</w:t>
            </w:r>
          </w:p>
        </w:tc>
        <w:tc>
          <w:tcPr>
            <w:tcW w:type="dxa" w:w="1234"/>
          </w:tcPr>
          <w:p>
            <w:r>
              <w:t>23/06 08:41</w:t>
            </w:r>
          </w:p>
        </w:tc>
        <w:tc>
          <w:tcPr>
            <w:tcW w:type="dxa" w:w="1234"/>
          </w:tcPr>
          <w:p>
            <w:r>
              <w:t>1 min</w:t>
            </w:r>
          </w:p>
        </w:tc>
        <w:tc>
          <w:tcPr>
            <w:tcW w:type="dxa" w:w="1234"/>
          </w:tcPr>
          <w:p>
            <w:r>
              <w:t>53</w:t>
            </w:r>
          </w:p>
        </w:tc>
        <w:tc>
          <w:tcPr>
            <w:tcW w:type="dxa" w:w="1234"/>
          </w:tcPr>
          <w:p>
            <w:r>
              <w:t>0</w:t>
            </w:r>
          </w:p>
        </w:tc>
        <w:tc>
          <w:tcPr>
            <w:tcW w:type="dxa" w:w="1234"/>
          </w:tcPr>
          <w:p>
            <w:r>
              <w:t>53</w:t>
            </w:r>
          </w:p>
        </w:tc>
        <w:tc>
          <w:tcPr>
            <w:tcW w:type="dxa" w:w="1234"/>
          </w:tcPr>
          <w:p>
            <w:r>
              <w:t>0.00%</w:t>
            </w:r>
          </w:p>
        </w:tc>
      </w:tr>
      <w:tr>
        <w:tc>
          <w:tcPr>
            <w:tcW w:type="dxa" w:w="1234"/>
          </w:tcPr>
          <w:p>
            <w:r>
              <w:t>Session 3</w:t>
            </w:r>
          </w:p>
        </w:tc>
        <w:tc>
          <w:tcPr>
            <w:tcW w:type="dxa" w:w="1234"/>
          </w:tcPr>
          <w:p>
            <w:r>
              <w:t>23/06 14:15</w:t>
            </w:r>
          </w:p>
        </w:tc>
        <w:tc>
          <w:tcPr>
            <w:tcW w:type="dxa" w:w="1234"/>
          </w:tcPr>
          <w:p>
            <w:r>
              <w:t>345 min</w:t>
            </w:r>
          </w:p>
        </w:tc>
        <w:tc>
          <w:tcPr>
            <w:tcW w:type="dxa" w:w="1234"/>
          </w:tcPr>
          <w:p>
            <w:r>
              <w:t>20,702</w:t>
            </w:r>
          </w:p>
        </w:tc>
        <w:tc>
          <w:tcPr>
            <w:tcW w:type="dxa" w:w="1234"/>
          </w:tcPr>
          <w:p>
            <w:r>
              <w:t>18,013</w:t>
            </w:r>
          </w:p>
        </w:tc>
        <w:tc>
          <w:tcPr>
            <w:tcW w:type="dxa" w:w="1234"/>
          </w:tcPr>
          <w:p>
            <w:r>
              <w:t>2,689</w:t>
            </w:r>
          </w:p>
        </w:tc>
        <w:tc>
          <w:tcPr>
            <w:tcW w:type="dxa" w:w="1234"/>
          </w:tcPr>
          <w:p>
            <w:r>
              <w:t>87.01%</w:t>
            </w:r>
          </w:p>
        </w:tc>
      </w:tr>
      <w:tr>
        <w:tc>
          <w:tcPr>
            <w:tcW w:type="dxa" w:w="1234"/>
          </w:tcPr>
          <w:p>
            <w:r>
              <w:t>Session 4</w:t>
            </w:r>
          </w:p>
        </w:tc>
        <w:tc>
          <w:tcPr>
            <w:tcW w:type="dxa" w:w="1234"/>
          </w:tcPr>
          <w:p>
            <w:r>
              <w:t>28/06 21:29</w:t>
            </w:r>
          </w:p>
        </w:tc>
        <w:tc>
          <w:tcPr>
            <w:tcW w:type="dxa" w:w="1234"/>
          </w:tcPr>
          <w:p>
            <w:r>
              <w:t>5 min</w:t>
            </w:r>
          </w:p>
        </w:tc>
        <w:tc>
          <w:tcPr>
            <w:tcW w:type="dxa" w:w="1234"/>
          </w:tcPr>
          <w:p>
            <w:r>
              <w:t>283</w:t>
            </w:r>
          </w:p>
        </w:tc>
        <w:tc>
          <w:tcPr>
            <w:tcW w:type="dxa" w:w="1234"/>
          </w:tcPr>
          <w:p>
            <w:r>
              <w:t>278</w:t>
            </w:r>
          </w:p>
        </w:tc>
        <w:tc>
          <w:tcPr>
            <w:tcW w:type="dxa" w:w="1234"/>
          </w:tcPr>
          <w:p>
            <w:r>
              <w:t>5</w:t>
            </w:r>
          </w:p>
        </w:tc>
        <w:tc>
          <w:tcPr>
            <w:tcW w:type="dxa" w:w="1234"/>
          </w:tcPr>
          <w:p>
            <w:r>
              <w:t>98.23%</w:t>
            </w:r>
          </w:p>
        </w:tc>
      </w:tr>
      <w:tr>
        <w:tc>
          <w:tcPr>
            <w:tcW w:type="dxa" w:w="1234"/>
          </w:tcPr>
          <w:p>
            <w:r>
              <w:t>Session 5</w:t>
            </w:r>
          </w:p>
        </w:tc>
        <w:tc>
          <w:tcPr>
            <w:tcW w:type="dxa" w:w="1234"/>
          </w:tcPr>
          <w:p>
            <w:r>
              <w:t>05/07 23:07</w:t>
            </w:r>
          </w:p>
        </w:tc>
        <w:tc>
          <w:tcPr>
            <w:tcW w:type="dxa" w:w="1234"/>
          </w:tcPr>
          <w:p>
            <w:r>
              <w:t>33 min</w:t>
            </w:r>
          </w:p>
        </w:tc>
        <w:tc>
          <w:tcPr>
            <w:tcW w:type="dxa" w:w="1234"/>
          </w:tcPr>
          <w:p>
            <w:r>
              <w:t>1,976</w:t>
            </w:r>
          </w:p>
        </w:tc>
        <w:tc>
          <w:tcPr>
            <w:tcW w:type="dxa" w:w="1234"/>
          </w:tcPr>
          <w:p>
            <w:r>
              <w:t>1,974</w:t>
            </w:r>
          </w:p>
        </w:tc>
        <w:tc>
          <w:tcPr>
            <w:tcW w:type="dxa" w:w="1234"/>
          </w:tcPr>
          <w:p>
            <w:r>
              <w:t>2</w:t>
            </w:r>
          </w:p>
        </w:tc>
        <w:tc>
          <w:tcPr>
            <w:tcW w:type="dxa" w:w="1234"/>
          </w:tcPr>
          <w:p>
            <w:r>
              <w:t>99.90%</w:t>
            </w:r>
          </w:p>
        </w:tc>
      </w:tr>
      <w:tr>
        <w:tc>
          <w:tcPr>
            <w:tcW w:type="dxa" w:w="1234"/>
          </w:tcPr>
          <w:p>
            <w:r>
              <w:rPr>
                <w:b/>
              </w:rPr>
              <w:t>Total</w:t>
            </w:r>
          </w:p>
        </w:tc>
        <w:tc>
          <w:tcPr>
            <w:tcW w:type="dxa" w:w="1234"/>
          </w:tcPr>
          <w:p>
            <w:r>
              <w:rPr>
                <w:b/>
              </w:rPr>
              <w:t>—</w:t>
            </w:r>
          </w:p>
        </w:tc>
        <w:tc>
          <w:tcPr>
            <w:tcW w:type="dxa" w:w="1234"/>
          </w:tcPr>
          <w:p>
            <w:r>
              <w:rPr>
                <w:b/>
              </w:rPr>
              <w:t>420 min</w:t>
            </w:r>
          </w:p>
        </w:tc>
        <w:tc>
          <w:tcPr>
            <w:tcW w:type="dxa" w:w="1234"/>
          </w:tcPr>
          <w:p>
            <w:r>
              <w:rPr>
                <w:b/>
              </w:rPr>
              <w:t>25,191</w:t>
            </w:r>
          </w:p>
        </w:tc>
        <w:tc>
          <w:tcPr>
            <w:tcW w:type="dxa" w:w="1234"/>
          </w:tcPr>
          <w:p>
            <w:r>
              <w:rPr>
                <w:b/>
              </w:rPr>
              <w:t>22,429</w:t>
            </w:r>
          </w:p>
        </w:tc>
        <w:tc>
          <w:tcPr>
            <w:tcW w:type="dxa" w:w="1234"/>
          </w:tcPr>
          <w:p>
            <w:r>
              <w:rPr>
                <w:b/>
              </w:rPr>
              <w:t>2,762</w:t>
            </w:r>
          </w:p>
        </w:tc>
        <w:tc>
          <w:tcPr>
            <w:tcW w:type="dxa" w:w="1234"/>
          </w:tcPr>
          <w:p>
            <w:r>
              <w:rPr>
                <w:b/>
              </w:rPr>
              <w:t>89.04%</w:t>
            </w:r>
          </w:p>
        </w:tc>
      </w:tr>
    </w:tbl>
    <w:p>
      <w:r>
        <w:t>The table shows delivery ranging from 0.00% to 99.90%. Session 5 reached 99.90%; its final two readings remained synced = 0 because they were recorded after the last scheduled flush. Direct comparisons require caution because the four June sessions used the initial implementation whereas Session 5 used the ACK revision.</w:t>
      </w:r>
    </w:p>
    <w:p>
      <w:pPr>
        <w:spacing w:after="40"/>
      </w:pPr>
      <w:r/>
    </w:p>
    <w:p>
      <w:pPr>
        <w:jc w:val="center"/>
      </w:pPr>
      <w:r/>
    </w:p>
    <w:p>
      <w:pPr>
        <w:jc w:val="center"/>
      </w:pPr>
      <w:r>
        <w:t>Figure 6. Data completeness per test session (received vs lost).</w:t>
      </w:r>
    </w:p>
    <w:p>
      <w:r>
        <w:t>The chart compares the numbers of received and lost records in the four June sessions (Session 5 is listed in Table 2). Losses are concentrated in the longest session (Session 3) and in the session whose smartphone never connected (Session 2), while the other two sessions are nearly complete (99.40% and 98.23%, respectively).</w:t>
      </w:r>
    </w:p>
    <w:p>
      <w:pPr>
        <w:jc w:val="center"/>
      </w:pPr>
      <w:r/>
    </w:p>
    <w:p>
      <w:pPr>
        <w:jc w:val="center"/>
      </w:pPr>
      <w:r>
        <w:t>Figure 7. Heart-rate signal and BLE packet loss in the main session.</w:t>
      </w:r>
    </w:p>
    <w:p>
      <w:r>
        <w:t>The figure plots the main-session heart-rate signal and records not found on the smartphone. Missing records are concentrated before the smartphone was observed to connect at approximately 15:00 and are practically absent afterward. This pattern shows a strong association with the disconnected period but does not, by itself, establish a single cause.</w:t>
      </w:r>
    </w:p>
    <w:p>
      <w:pPr>
        <w:spacing w:before="200" w:after="80"/>
      </w:pPr>
      <w:r>
        <w:t>3.3 Sensor Data Quality</w:t>
      </w:r>
    </w:p>
    <w:p>
      <w:pPr>
        <w:spacing w:after="120"/>
        <w:jc w:val="both"/>
      </w:pPr>
      <w:r>
        <w:t>The sensor-accuracy distribution during the measurement period is shown in Table 3 and Figure 8. 91.6% of readings (23,063) were at the highest accuracy (value 3), 8.4% (2,113 readings) at the no-contact condition (value -1)—which commonly occurs when the sensor momentarily loses skin contact [2]—and 0.1% (15 readings) at value 0; in Session 5 every reading had good contact. The heart-rate statistics for the highest-accuracy readings (n=23,063; the June distribution is visualised in Figure 9) were: minimum 60 bpm, maximum 123 bpm, mean 83.5 bpm, and standard deviation 9.6 bpm. Note that 22,231 samples in the tail of the recording—with frozen (constant) values and accuracy ≤0 because the smartwatch was not worn—were excluded from the statistics above to avoid biasing the results.</w:t>
      </w:r>
    </w:p>
    <w:p>
      <w:pPr>
        <w:jc w:val="center"/>
      </w:pPr>
      <w:r>
        <w:t>Table 3. Distribution of sensor-accuracy values (measurement period).</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Sensor accuracy</w:t>
            </w:r>
          </w:p>
        </w:tc>
        <w:tc>
          <w:tcPr>
            <w:tcW w:type="dxa" w:w="2880"/>
          </w:tcPr>
          <w:p>
            <w:r>
              <w:rPr>
                <w:b/>
              </w:rPr>
              <w:t>Count</w:t>
            </w:r>
          </w:p>
        </w:tc>
        <w:tc>
          <w:tcPr>
            <w:tcW w:type="dxa" w:w="2880"/>
          </w:tcPr>
          <w:p>
            <w:r>
              <w:rPr>
                <w:b/>
              </w:rPr>
              <w:t>Percentage</w:t>
            </w:r>
          </w:p>
        </w:tc>
      </w:tr>
      <w:tr>
        <w:tc>
          <w:tcPr>
            <w:tcW w:type="dxa" w:w="2880"/>
          </w:tcPr>
          <w:p>
            <w:r>
              <w:t>3 (high)</w:t>
            </w:r>
          </w:p>
        </w:tc>
        <w:tc>
          <w:tcPr>
            <w:tcW w:type="dxa" w:w="2880"/>
          </w:tcPr>
          <w:p>
            <w:r>
              <w:t>23,063</w:t>
            </w:r>
          </w:p>
        </w:tc>
        <w:tc>
          <w:tcPr>
            <w:tcW w:type="dxa" w:w="2880"/>
          </w:tcPr>
          <w:p>
            <w:r>
              <w:t>91.6%</w:t>
            </w:r>
          </w:p>
        </w:tc>
      </w:tr>
      <w:tr>
        <w:tc>
          <w:tcPr>
            <w:tcW w:type="dxa" w:w="2880"/>
          </w:tcPr>
          <w:p>
            <w:r>
              <w:t>0 (unreliable)</w:t>
            </w:r>
          </w:p>
        </w:tc>
        <w:tc>
          <w:tcPr>
            <w:tcW w:type="dxa" w:w="2880"/>
          </w:tcPr>
          <w:p>
            <w:r>
              <w:t>15</w:t>
            </w:r>
          </w:p>
        </w:tc>
        <w:tc>
          <w:tcPr>
            <w:tcW w:type="dxa" w:w="2880"/>
          </w:tcPr>
          <w:p>
            <w:r>
              <w:t>0.1%</w:t>
            </w:r>
          </w:p>
        </w:tc>
      </w:tr>
      <w:tr>
        <w:tc>
          <w:tcPr>
            <w:tcW w:type="dxa" w:w="2880"/>
          </w:tcPr>
          <w:p>
            <w:r>
              <w:t>-1 (no contact)</w:t>
            </w:r>
          </w:p>
        </w:tc>
        <w:tc>
          <w:tcPr>
            <w:tcW w:type="dxa" w:w="2880"/>
          </w:tcPr>
          <w:p>
            <w:r>
              <w:t>2,113</w:t>
            </w:r>
          </w:p>
        </w:tc>
        <w:tc>
          <w:tcPr>
            <w:tcW w:type="dxa" w:w="2880"/>
          </w:tcPr>
          <w:p>
            <w:r>
              <w:t>8.4%</w:t>
            </w:r>
          </w:p>
        </w:tc>
      </w:tr>
      <w:tr>
        <w:tc>
          <w:tcPr>
            <w:tcW w:type="dxa" w:w="2880"/>
          </w:tcPr>
          <w:p>
            <w:r>
              <w:t>Total</w:t>
            </w:r>
          </w:p>
        </w:tc>
        <w:tc>
          <w:tcPr>
            <w:tcW w:type="dxa" w:w="2880"/>
          </w:tcPr>
          <w:p>
            <w:r>
              <w:t>25,191</w:t>
            </w:r>
          </w:p>
        </w:tc>
        <w:tc>
          <w:tcPr>
            <w:tcW w:type="dxa" w:w="2880"/>
          </w:tcPr>
          <w:p>
            <w:r>
              <w:t>100%</w:t>
            </w:r>
          </w:p>
        </w:tc>
      </w:tr>
    </w:tbl>
    <w:p>
      <w:r>
        <w:t>The table shows that contact quality is dominated by the highest level (91.6%), with 8.4% at no-contact and only 0.1% at the unreliable status. The composition of contact quality and the distribution of heart-rate values for the best readings (four June sessions) are visualised in Figure 8 and Figure 9.</w:t>
      </w:r>
    </w:p>
    <w:p>
      <w:pPr>
        <w:spacing w:after="40"/>
      </w:pPr>
      <w:r/>
    </w:p>
    <w:p>
      <w:pPr>
        <w:jc w:val="center"/>
      </w:pPr>
      <w:r/>
    </w:p>
    <w:p>
      <w:pPr>
        <w:jc w:val="center"/>
      </w:pPr>
      <w:r>
        <w:t>Figure 8. Sensor contact-quality distribution during the measurement period.</w:t>
      </w:r>
    </w:p>
    <w:p>
      <w:r>
        <w:t>The chart summarises the sensor contact quality in the four June sessions: the majority of readings (90.8%) are at the highest accuracy level, 9.1% at no-contact, and 0.1% at the unreliable status — reflecting the momentary contact losses that are common for wrist-worn optical sensors.</w:t>
      </w:r>
    </w:p>
    <w:p>
      <w:pPr>
        <w:jc w:val="center"/>
      </w:pPr>
      <w:r/>
    </w:p>
    <w:p>
      <w:pPr>
        <w:jc w:val="center"/>
      </w:pPr>
      <w:r>
        <w:t>Figure 9. Distribution of heart-rate values for the highest-accuracy readings.</w:t>
      </w:r>
    </w:p>
    <w:p>
      <w:r>
        <w:t>The histogram shows the distribution of heart-rate values for the highest-accuracy readings of the June sessions (n = 21,087): centred around the mean of 83.4 bpm with a range of 60–123 bpm. This profile is reasonable for light activity and indicates physiologically plausible data rather than frozen values from an unworn sensor.</w:t>
      </w:r>
    </w:p>
    <w:p>
      <w:pPr>
        <w:spacing w:before="200" w:after="80"/>
      </w:pPr>
      <w:r>
        <w:t>3.4 Transfer Performance</w:t>
      </w:r>
    </w:p>
    <w:p>
      <w:pPr>
        <w:spacing w:after="120"/>
        <w:jc w:val="both"/>
      </w:pPr>
      <w:r>
        <w:t>Transfer performance was measured through the HR-METRIC instrumentation on the smartwatch. In Session 5 (3-minute interval, seven batches), every batch was uniform — 180 readings, an 8,461-byte payload (47.0 bytes per reading), and 19 frames at MTU 512 — with a mean transfer duration of 121.5 ± 25.5 ms (range 92.8–166.4 ms) and a mean throughput of 70.3 ± 13.2 KiB/s; every batch was fully acknowledged by the smartphone. The measured frame count matches the chunk-size calculation (MTU − 4 = 508 bytes): 8,461 ÷ 508 = 16.7, rounded up to 17 DATA frames, plus START and END = 19 frames. As an illustration of a large batch, in the June evaluation one batch of 228 readings (10,717-byte payload; 24 frames, consistent with the same calculation) was delivered in ~0.32 s at MTU 512; on the receiver side, frame reassembly took ~250 ms and storing the batch to the database took ~56 ms. MTU negotiation on the tested device pair consistently yielded the full 512 bytes in both test campaigns. These values show that batch transfer is fast relative to the sending interval (minutes). Measurements across other conditions (the 5-minute interval, device distance, and disruption scenarios) remain future work.</w:t>
      </w:r>
    </w:p>
    <w:p>
      <w:r>
        <w:t>3.5 Finding: Store-and-Forward Backfill Limitation</w:t>
      </w:r>
    </w:p>
    <w:p>
      <w:r>
        <w:t>A cross-analysis of the four June sessions, which used the initial software version, found that 2,755 of 2,760 records absent from the smartphone (99.8%) were already marked synced = 1; five were legitimately pending. This shows premature marking in the initial implementation while the smartphone was disconnected. It does not describe the latest code: before Session 5, the implementation was revised so that markSynced runs only after an ACK. Session 5 had zero false-sent records, seven ACKed batches of 180 records, and two final records that remained synced = 0. However, Session 5 did not include a controlled disconnect–reconnect event, so the revised version's backfill resilience still requires dedicated testing.</w:t>
      </w:r>
    </w:p>
    <w:p>
      <w:pPr/>
      <w:r>
        <w:t>Across the full June recording (45,446 rows including the not-worn period), 2,879 records marked synced = 1 were absent from the smartphone. The primary figure of 2,755 is the subset within the valid measurement period and is therefore consistent with the June results table. Both figures describe the initial version rather than the current ACK implementation.</w:t>
      </w:r>
    </w:p>
    <w:p>
      <w:pPr>
        <w:spacing w:before="200" w:after="80"/>
      </w:pPr>
      <w:r>
        <w:t>3.6 Discussion and Limitations</w:t>
      </w:r>
    </w:p>
    <w:p>
      <w:pPr>
        <w:spacing w:after="120"/>
        <w:jc w:val="both"/>
      </w:pPr>
      <w:r>
        <w:t>The results show that opcode framing and flow control delivered received records with 100% value fidelity. Four initial-version sessions exposed a premature synced-marking failure when no connection was available. The ACK revision used in Session 5 eliminated false-sent records under continuous connection, but it has not yet been evaluated in a controlled disconnect–reconnect experiment. Claims about current store-and-forward resilience are therefore limited to tested conditions.</w:t>
      </w:r>
    </w:p>
    <w:p>
      <w:pPr>
        <w:spacing w:after="120"/>
        <w:jc w:val="both"/>
      </w:pPr>
      <w:r>
        <w:t>This study has several limitations. It uses one device pair in one environment, and the combined dataset spans two software versions. The latest version therefore requires a separate replicated evaluation under normal and controlled disconnect–reconnect conditions. Its ACK does not yet include a batchId or validate the ACK count. Background execution does not guarantee continuation after force-close or reboot, communication lacks application-level authentication/encryption, and the consumer smartwatch sensor was not assessed for clinical validity.</w:t>
      </w:r>
    </w:p>
    <w:p>
      <w:pPr>
        <w:spacing w:before="200" w:after="80"/>
      </w:pPr>
      <w:r>
        <w:t>4. Conclusion</w:t>
      </w:r>
    </w:p>
    <w:p>
      <w:pPr>
        <w:spacing w:after="120"/>
        <w:jc w:val="both"/>
      </w:pPr>
      <w:r>
        <w:t>This study designed and implemented a BLE heart-rate delivery system using batch framing, local persistence, application-level ACKs, an idempotent receiver, and foreground services. Across five historical sessions, 22,429 of 25,191 records were matched (a descriptive aggregate of 89.04%) with 100% value fidelity. Four initial-version sessions revealed failed backfill caused by premature synced marking. The revised Session 5 implementation waited for ACKs and reached 99.90%, with its final two readings still pending. Seven 180-record batches at MTU 512 transferred in 121.5 ms on average. Future work should evaluate the revised version separately under controlled disconnection, add batch identity to ACKs, and replicate across devices and radio conditions.</w:t>
      </w:r>
    </w:p>
    <w:p>
      <w:pPr>
        <w:spacing w:before="200" w:after="80"/>
      </w:pPr>
      <w:r>
        <w:t>Acknowledgement</w:t>
      </w:r>
    </w:p>
    <w:p>
      <w:pPr>
        <w:spacing w:after="120"/>
        <w:jc w:val="both"/>
      </w:pPr>
      <w:r>
        <w:t>[[Optional: acknowledgement to advisor/institution/funding.]]</w:t>
      </w:r>
    </w:p>
    <w:p>
      <w:pPr>
        <w:spacing w:before="200" w:after="80"/>
      </w:pPr>
      <w:r>
        <w:t>References</w:t>
      </w:r>
    </w:p>
    <w:p>
      <w:pPr>
        <w:spacing w:after="60"/>
        <w:ind w:left="432" w:hanging="432"/>
      </w:pPr>
      <w:r>
        <w:t>[1] Bluetooth SIG, “Bluetooth Core Specification,” Bluetooth Special Interest Group. [Online]. Available: https://www.bluetooth.com/specifications/specs/</w:t>
      </w:r>
    </w:p>
    <w:p>
      <w:pPr>
        <w:spacing w:after="60"/>
        <w:ind w:left="432" w:hanging="432"/>
      </w:pPr>
      <w:r>
        <w:t>[2] Android Developers, “SensorManager,” Android API Reference. [Online]. Available: https://developer.android.com/reference/android/hardware/SensorManager</w:t>
      </w:r>
    </w:p>
    <w:p>
      <w:pPr>
        <w:spacing w:after="60"/>
        <w:ind w:left="432" w:hanging="432"/>
      </w:pPr>
      <w:r>
        <w:t>[3] Android Developers, “Foreground services,” Android Developers Guide. [Online]. Available: https://developer.android.com/develop/background-work/services/foreground-services</w:t>
      </w:r>
    </w:p>
    <w:p>
      <w:pPr>
        <w:spacing w:after="60"/>
        <w:ind w:left="432" w:hanging="432"/>
      </w:pPr>
      <w:r>
        <w:t>[4] “flutter_blue_plus,” pub.dev. [Online]. Available: https://pub.dev/packages/flutter_blue_plus</w:t>
      </w:r>
    </w:p>
    <w:p>
      <w:pPr>
        <w:spacing w:after="60"/>
        <w:ind w:left="432" w:hanging="432"/>
      </w:pPr>
      <w:r>
        <w:t>[5] “sqflite,” pub.dev. [Online]. Available: https://pub.dev/packages/sqflite</w:t>
      </w:r>
    </w:p>
    <w:p>
      <w:pPr>
        <w:spacing w:after="60"/>
        <w:ind w:left="432" w:hanging="432"/>
      </w:pPr>
      <w:r>
        <w:t>[6] “flutter_bloc,” pub.dev. [Online]. Available: https://pub.dev/packages/flutter_bloc</w:t>
      </w:r>
    </w:p>
    <w:p>
      <w:pPr>
        <w:spacing w:after="60"/>
        <w:ind w:left="432" w:hanging="432"/>
      </w:pPr>
      <w:r>
        <w:t>[7] P. He, D. Huang, D. Wu, H. He, Y. Wei, Y. Cui, R. Wang, and L. Peng, “A survey of Internet of medical things: technology, application and future directions,” Digital Communications and Networks, vol. 12, no. 5, pp. 717–742, 2026, doi: 10.1016/j.dcan.2024.11.013.</w:t>
      </w:r>
    </w:p>
    <w:p>
      <w:pPr>
        <w:spacing w:after="60"/>
        <w:ind w:left="432" w:hanging="432"/>
      </w:pPr>
      <w:r>
        <w:t>[8] Z. Balas, K. Tokarz, B. Zieliński, and T. Guźniczak, “Research on the behaviour of Bluetooth Low Energy protocol in the heart rate monitoring application,” Procedia Computer Science, vol. 225, pp. 63–69, 2023, doi: 10.1016/j.procs.2023.09.092.</w:t>
      </w:r>
    </w:p>
    <w:p>
      <w:pPr>
        <w:spacing w:after="60"/>
        <w:ind w:left="432" w:hanging="432"/>
      </w:pPr>
      <w:r>
        <w:t>[9] Y. Xiong and S. Jiang, “Multi-decision dynamic intelligent routing protocol for delay-tolerant networks,” Electronics, vol. 12, no. 21, art. 4528, 2023, doi: 10.3390/electronics12214528.</w:t>
      </w:r>
    </w:p>
    <w:p>
      <w:pPr>
        <w:spacing w:after="60"/>
        <w:ind w:left="432" w:hanging="432"/>
      </w:pPr>
      <w:r>
        <w:t>[10] P. Majumdar, S. Roy, S. Sikdar, P. Ghosh, and N. Ghosh, “A survey on data-driven approaches for reliability, robustness, and energy efficiency in wireless body area networks,” Sensors, vol. 24, no. 20, art. 6531, 2024, doi: 10.3390/s24206531.</w:t>
      </w:r>
    </w:p>
    <w:p>
      <w:r>
        <w:t>[11] H. Xu, Z. Yan, B. Li, and M. Yang, “Modeling and analysis of the performance for Bluetooth Low Energy,” IEEE Communications Letters, vol. 28, no. 3, pp. 732–736, 2024, doi: 10.1109/LCOMM.2024.3352545.</w:t>
      </w:r>
    </w:p>
    <w:p>
      <w:r>
        <w:t>[12] T. Schweizer and R. Gilgen-Ammann, “Wrist-worn and arm-worn wearables for monitoring heart rate during sedentary and light-to-vigorous physical activities: device validation study,” JMIR Cardio, vol. 9, art. e67110, 2025, doi: 10.2196/67110.</w:t>
      </w:r>
    </w:p>
    <w:p>
      <w:pPr>
        <w:spacing w:before="240"/>
      </w:pPr>
      <w:r>
        <w:t>Note: this is a draft. Adapt it to the target SINTA-2 journal template (column format, citation style, page limit). Items marked [[...]] must be completed by the author.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