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Reliable Heart-Rate Data Delivery from a Smartwatch to a Smartphone over Bluetooth Low Energy Using a Store-and-Forward Scheme with Acknowledgement</w:t>
      </w:r>
    </w:p>
    <w:p>
      <w:pPr>
        <w:jc w:val="center"/>
      </w:pPr>
      <w:r>
        <w:rPr>
          <w:rFonts w:ascii="Times New Roman" w:hAnsi="Times New Roman"/>
          <w:b/>
          <w:i w:val="0"/>
          <w:sz w:val="22"/>
        </w:rPr>
        <w:t>Faik Irkham¹, [[Advisor Name]]²</w:t>
      </w:r>
    </w:p>
    <w:p>
      <w:pPr>
        <w:jc w:val="center"/>
      </w:pPr>
      <w:r>
        <w:rPr>
          <w:rFonts w:ascii="Times New Roman" w:hAnsi="Times New Roman"/>
          <w:b w:val="0"/>
          <w:i w:val="0"/>
          <w:sz w:val="20"/>
        </w:rPr>
        <w:t>¹²[[Department/Study Program, Faculty, University, City, Indonesia]]</w:t>
      </w:r>
    </w:p>
    <w:p>
      <w:pPr>
        <w:jc w:val="center"/>
      </w:pPr>
      <w:r>
        <w:rPr>
          <w:rFonts w:ascii="Times New Roman" w:hAnsi="Times New Roman"/>
          <w:b w:val="0"/>
          <w:i w:val="0"/>
          <w:sz w:val="20"/>
        </w:rPr>
        <w:t>e-mail: faikirkham@gmail.com</w:t>
      </w:r>
    </w:p>
    <w:p>
      <w:pPr>
        <w:spacing w:before="200" w:after="80"/>
      </w:pPr>
      <w:r>
        <w:rPr>
          <w:rFonts w:ascii="Times New Roman" w:hAnsi="Times New Roman"/>
          <w:b/>
          <w:i w:val="0"/>
          <w:sz w:val="24"/>
        </w:rPr>
        <w:t>Abstract</w:t>
      </w:r>
    </w:p>
    <w:p>
      <w:pPr>
        <w:spacing w:after="120"/>
        <w:jc w:val="both"/>
      </w:pPr>
      <w:r>
        <w:rPr>
          <w:rFonts w:ascii="Times New Roman" w:hAnsi="Times New Roman"/>
          <w:b w:val="0"/>
          <w:i w:val="0"/>
          <w:sz w:val="22"/>
        </w:rPr>
        <w:t>Continuous heart-rate monitoring using wearable devices is a key component of the Internet of Medical Things (IoMT). A central challenge is guaranteeing data completeness when readings are transferred from a smartwatch to a smartphone over Bluetooth Low Energy (BLE), given the limited packet size (MTU), the best-effort nature of BLE notifications, and operating-system restrictions on background execution. This work designs and implements a two-application system: a smartwatch (Wear OS) application acting as a BLE peripheral/GATT server that records the heart rate every second into a local database and periodically sends it as a batch to a smartphone (Android) application acting as the central. For reliability, each batch is fragmented into opcode-tagged frames (START/DATA/END) with flow control, complemented by a store-and-forward scheme, application-level acknowledgement (ACK), an idempotent (duplicate-free) receiver, and a foreground service for background operation. Evaluation on physical devices spanned four sessions (23,215 measurement readings in total, excluding 22,231 samples recorded while the sensor was not worn). While the BLE link was active, data loss was near zero and every received reading was identical to the smartwatch record (100% value fidelity) with no duplicates. However, a limitation emerged: during smartphone-disconnected periods the backlog was not always backfilled despite being marked as sent, yielding an aggregate delivery ratio of 88.1% across all sessions. 90.8% of readings were at the highest sensor-accuracy level. One batch of 228 readings (10,717 bytes, 24 frames) was delivered in ~0.32 s at MTU 512. The results show the proposed mechanism preserves data integrity and completeness while the link is active; strengthening backlog backfill during disconnection and evaluating varied conditions are future work.</w:t>
      </w:r>
    </w:p>
    <w:p>
      <w:r>
        <w:rPr>
          <w:rFonts w:ascii="Times New Roman" w:hAnsi="Times New Roman"/>
          <w:b/>
          <w:i w:val="0"/>
          <w:sz w:val="22"/>
        </w:rPr>
        <w:t xml:space="preserve">Keywords: </w:t>
      </w:r>
      <w:r>
        <w:rPr>
          <w:rFonts w:ascii="Times New Roman" w:hAnsi="Times New Roman"/>
          <w:b w:val="0"/>
          <w:i/>
          <w:sz w:val="22"/>
        </w:rPr>
        <w:t>IoMT; Bluetooth Low Energy; wearable; heart rate; store-and-forward; delivery reliability; Wear OS</w:t>
      </w:r>
    </w:p>
    <w:p>
      <w:pPr>
        <w:spacing w:before="200" w:after="80"/>
      </w:pPr>
      <w:r>
        <w:rPr>
          <w:rFonts w:ascii="Times New Roman" w:hAnsi="Times New Roman"/>
          <w:b/>
          <w:i w:val="0"/>
          <w:sz w:val="24"/>
        </w:rPr>
        <w:t>1. Introduction</w:t>
      </w:r>
    </w:p>
    <w:p>
      <w:pPr>
        <w:spacing w:after="120"/>
        <w:jc w:val="both"/>
      </w:pPr>
      <w:r>
        <w:rPr>
          <w:rFonts w:ascii="Times New Roman" w:hAnsi="Times New Roman"/>
          <w:b w:val="0"/>
          <w:i w:val="0"/>
          <w:sz w:val="22"/>
        </w:rPr>
        <w:t>The use of wearable devices for continuous health monitoring has grown rapidly along with the Internet of Medical Things (IoMT), a network of medical/health devices that collect and exchange physiological data [[add citation: IoMT survey]]. A smartwatch equipped with an optical heart-rate sensor can act as a sensor node, while a smartphone serves as a gateway that collects, stores, and forwards the data for further analysis.</w:t>
      </w:r>
    </w:p>
    <w:p>
      <w:pPr>
        <w:spacing w:after="120"/>
        <w:jc w:val="both"/>
      </w:pPr>
      <w:r>
        <w:rPr>
          <w:rFonts w:ascii="Times New Roman" w:hAnsi="Times New Roman"/>
          <w:b w:val="0"/>
          <w:i w:val="0"/>
          <w:sz w:val="22"/>
        </w:rPr>
        <w:t>Bluetooth Low Energy (BLE) is a primary choice of communication channel in this scenario because of its low power consumption [1]. However, delivering complete health data over BLE faces several challenges: the size of a single notification is bounded by the Maximum Transmission Unit (MTU); BLE notifications are best-effort (no attribute-layer acknowledgement); and operating systems—especially Wear OS and phones with aggressive power management—restrict background processes [3]. In health applications, losing part of the data can degrade analysis quality, making data completeness an essential requirement.</w:t>
      </w:r>
    </w:p>
    <w:p>
      <w:pPr>
        <w:spacing w:after="120"/>
        <w:jc w:val="both"/>
      </w:pPr>
      <w:r>
        <w:rPr>
          <w:rFonts w:ascii="Times New Roman" w:hAnsi="Times New Roman"/>
          <w:b w:val="0"/>
          <w:i w:val="0"/>
          <w:sz w:val="22"/>
        </w:rPr>
        <w:t>Many prior implementations emphasize displaying the latest value in real time (e.g., sending a single reading snapshot on request); this approach does not guarantee that all readings are stored at the receiver if the connection is briefly lost or the receiver application is stopped by the system [[add citation: related wearable BLE/mHealth study]]. A mechanism that guarantees data completeness is therefore needed, combining temporary storage (store-and-forward), delivery acknowledgement, duplicate prevention, and background operation.</w:t>
      </w:r>
    </w:p>
    <w:p>
      <w:pPr>
        <w:spacing w:after="120"/>
        <w:jc w:val="both"/>
      </w:pPr>
      <w:r>
        <w:rPr>
          <w:rFonts w:ascii="Times New Roman" w:hAnsi="Times New Roman"/>
          <w:b w:val="0"/>
          <w:i w:val="0"/>
          <w:sz w:val="22"/>
        </w:rPr>
        <w:t>The contributions of this work are: (1) the design and implementation of a two-application Wear OS–Android system for acquiring and delivering heart-rate data; (2) a batch delivery protocol over BLE notifications using opcode-based framing with flow control; (3) reliability mechanisms consisting of store-and-forward, application-level acknowledgement (ACK), and an idempotent (duplicate-free) receiver; (4) background execution via a foreground service; and (5) an empirical evaluation across four sessions of delivery ratio, value fidelity, data quality, and transfer performance—including the finding of a store-and-forward backfill limitation during disconnection—together with supporting data tools for reproducibility.</w:t>
      </w:r>
    </w:p>
    <w:p>
      <w:pPr>
        <w:spacing w:before="200" w:after="80"/>
      </w:pPr>
      <w:r>
        <w:rPr>
          <w:rFonts w:ascii="Times New Roman" w:hAnsi="Times New Roman"/>
          <w:b/>
          <w:i w:val="0"/>
          <w:sz w:val="24"/>
        </w:rPr>
        <w:t>2. Materials and Methods</w:t>
      </w:r>
    </w:p>
    <w:p>
      <w:pPr>
        <w:spacing w:after="120"/>
        <w:jc w:val="both"/>
      </w:pPr>
      <w:r>
        <w:rPr>
          <w:rFonts w:ascii="Times New Roman" w:hAnsi="Times New Roman"/>
          <w:b w:val="0"/>
          <w:i w:val="0"/>
          <w:sz w:val="22"/>
        </w:rPr>
        <w:t>This study follows a design-and-implementation approach, followed by testing on physical devices. This section describes the system architecture, the communication protocol, the reliability mechanisms, the application architecture, and the evaluation procedure and metrics.</w:t>
      </w:r>
    </w:p>
    <w:p>
      <w:pPr>
        <w:spacing w:before="200" w:after="80"/>
      </w:pPr>
      <w:r>
        <w:rPr>
          <w:rFonts w:ascii="Times New Roman" w:hAnsi="Times New Roman"/>
          <w:b/>
          <w:i w:val="0"/>
          <w:sz w:val="22"/>
        </w:rPr>
        <w:t>2.1 System Architecture</w:t>
      </w:r>
    </w:p>
    <w:p>
      <w:pPr>
        <w:spacing w:after="120"/>
        <w:jc w:val="both"/>
      </w:pPr>
      <w:r>
        <w:rPr>
          <w:rFonts w:ascii="Times New Roman" w:hAnsi="Times New Roman"/>
          <w:b w:val="0"/>
          <w:i w:val="0"/>
          <w:sz w:val="22"/>
        </w:rPr>
        <w:t>The system comprises two devices, as shown in Figure 1. The smartwatch acts as a peripheral/GATT server: the heart-rate sensor is read by native code, forwarded to the application layer, stored in a local SQLite database, and then advertised and sent over BLE. The smartphone acts as a central/GATT client: it scans, connects, subscribes to notifications, reassembles the batch, stores it in SQLite, and provides data export. The data follows a numbered “U”-shaped flow (1–10), from acquisition on the smartwatch to export on the smartphone.</w:t>
      </w:r>
    </w:p>
    <w:p>
      <w:pPr>
        <w:jc w:val="center"/>
      </w:pPr>
      <w:r>
        <w:drawing>
          <wp:inline xmlns:a="http://schemas.openxmlformats.org/drawingml/2006/main" xmlns:pic="http://schemas.openxmlformats.org/drawingml/2006/picture">
            <wp:extent cx="3840480" cy="4844083"/>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3840480" cy="4844083"/>
                    </a:xfrm>
                    <a:prstGeom prst="rect"/>
                  </pic:spPr>
                </pic:pic>
              </a:graphicData>
            </a:graphic>
          </wp:inline>
        </w:drawing>
      </w:r>
    </w:p>
    <w:p>
      <w:pPr>
        <w:spacing w:after="160"/>
        <w:jc w:val="center"/>
      </w:pPr>
      <w:r>
        <w:rPr>
          <w:rFonts w:ascii="Times New Roman" w:hAnsi="Times New Roman"/>
          <w:b w:val="0"/>
          <w:i w:val="0"/>
          <w:sz w:val="20"/>
        </w:rPr>
        <w:t>Figure 1. Two-device system architecture (data flow 1–10).</w:t>
      </w:r>
    </w:p>
    <w:p>
      <w:pPr>
        <w:spacing w:before="200" w:after="80"/>
      </w:pPr>
      <w:r>
        <w:rPr>
          <w:rFonts w:ascii="Times New Roman" w:hAnsi="Times New Roman"/>
          <w:b/>
          <w:i w:val="0"/>
          <w:sz w:val="22"/>
        </w:rPr>
        <w:t>2.2 Communication Protocol and Framing</w:t>
      </w:r>
    </w:p>
    <w:p>
      <w:pPr>
        <w:spacing w:after="120"/>
        <w:jc w:val="both"/>
      </w:pPr>
      <w:r>
        <w:rPr>
          <w:rFonts w:ascii="Times New Roman" w:hAnsi="Times New Roman"/>
          <w:b w:val="0"/>
          <w:i w:val="0"/>
          <w:sz w:val="22"/>
        </w:rPr>
        <w:t>Communication uses a dedicated GATT service with a “record” characteristic of the notify type. After connecting, the smartphone requests a 512-byte MTU and enables notifications. Because one batch contains many readings whose size exceeds the capacity of a single notification, the batch is fragmented into a sequence of frames, each prefixed with an opcode: START (0x01), DATA (0x02), and END (0x03), as shown in Figure 2. The data chunk per frame is MTU minus 4 bytes (3 bytes of ATT header and 1 byte of opcode). Inter-frame transmission is flow-controlled: the next frame is sent only after the send-completion callback of the previous frame. The receiver reassembles the frames into a complete JSON payload. The full interaction sequence is shown in Figure 3.</w:t>
      </w:r>
    </w:p>
    <w:p>
      <w:pPr>
        <w:jc w:val="center"/>
      </w:pPr>
      <w:r>
        <w:drawing>
          <wp:inline xmlns:a="http://schemas.openxmlformats.org/drawingml/2006/main" xmlns:pic="http://schemas.openxmlformats.org/drawingml/2006/picture">
            <wp:extent cx="5669280" cy="2227415"/>
            <wp:docPr id="2" name="Picture 2"/>
            <wp:cNvGraphicFramePr>
              <a:graphicFrameLocks noChangeAspect="1"/>
            </wp:cNvGraphicFramePr>
            <a:graphic>
              <a:graphicData uri="http://schemas.openxmlformats.org/drawingml/2006/picture">
                <pic:pic>
                  <pic:nvPicPr>
                    <pic:cNvPr id="0" name="fig_framing.png"/>
                    <pic:cNvPicPr/>
                  </pic:nvPicPr>
                  <pic:blipFill>
                    <a:blip r:embed="rId10"/>
                    <a:stretch>
                      <a:fillRect/>
                    </a:stretch>
                  </pic:blipFill>
                  <pic:spPr>
                    <a:xfrm>
                      <a:off x="0" y="0"/>
                      <a:ext cx="5669280" cy="2227415"/>
                    </a:xfrm>
                    <a:prstGeom prst="rect"/>
                  </pic:spPr>
                </pic:pic>
              </a:graphicData>
            </a:graphic>
          </wp:inline>
        </w:drawing>
      </w:r>
    </w:p>
    <w:p>
      <w:pPr>
        <w:spacing w:after="160"/>
        <w:jc w:val="center"/>
      </w:pPr>
      <w:r>
        <w:rPr>
          <w:rFonts w:ascii="Times New Roman" w:hAnsi="Times New Roman"/>
          <w:b w:val="0"/>
          <w:i w:val="0"/>
          <w:sz w:val="20"/>
        </w:rPr>
        <w:t>Figure 2. Fragmentation of one JSON batch into BLE frames (START/DATA/END).</w:t>
      </w:r>
    </w:p>
    <w:p>
      <w:pPr>
        <w:jc w:val="center"/>
      </w:pPr>
      <w:r>
        <w:drawing>
          <wp:inline xmlns:a="http://schemas.openxmlformats.org/drawingml/2006/main" xmlns:pic="http://schemas.openxmlformats.org/drawingml/2006/picture">
            <wp:extent cx="3931920" cy="4549571"/>
            <wp:docPr id="3" name="Picture 3"/>
            <wp:cNvGraphicFramePr>
              <a:graphicFrameLocks noChangeAspect="1"/>
            </wp:cNvGraphicFramePr>
            <a:graphic>
              <a:graphicData uri="http://schemas.openxmlformats.org/drawingml/2006/picture">
                <pic:pic>
                  <pic:nvPicPr>
                    <pic:cNvPr id="0" name="fig_sequence.png"/>
                    <pic:cNvPicPr/>
                  </pic:nvPicPr>
                  <pic:blipFill>
                    <a:blip r:embed="rId11"/>
                    <a:stretch>
                      <a:fillRect/>
                    </a:stretch>
                  </pic:blipFill>
                  <pic:spPr>
                    <a:xfrm>
                      <a:off x="0" y="0"/>
                      <a:ext cx="3931920" cy="4549571"/>
                    </a:xfrm>
                    <a:prstGeom prst="rect"/>
                  </pic:spPr>
                </pic:pic>
              </a:graphicData>
            </a:graphic>
          </wp:inline>
        </w:drawing>
      </w:r>
    </w:p>
    <w:p>
      <w:pPr>
        <w:spacing w:after="160"/>
        <w:jc w:val="center"/>
      </w:pPr>
      <w:r>
        <w:rPr>
          <w:rFonts w:ascii="Times New Roman" w:hAnsi="Times New Roman"/>
          <w:b w:val="0"/>
          <w:i w:val="0"/>
          <w:sz w:val="20"/>
        </w:rPr>
        <w:t>Figure 3. BLE communication sequence: setup, batch transfer, and ACK.</w:t>
      </w:r>
    </w:p>
    <w:p>
      <w:pPr>
        <w:spacing w:before="200" w:after="80"/>
      </w:pPr>
      <w:r>
        <w:rPr>
          <w:rFonts w:ascii="Times New Roman" w:hAnsi="Times New Roman"/>
          <w:b/>
          <w:i w:val="0"/>
          <w:sz w:val="22"/>
        </w:rPr>
        <w:t>2.3 Store-and-Forward and Acknowledgement (ACK)</w:t>
      </w:r>
    </w:p>
    <w:p>
      <w:pPr>
        <w:spacing w:after="120"/>
        <w:jc w:val="both"/>
      </w:pPr>
      <w:r>
        <w:rPr>
          <w:rFonts w:ascii="Times New Roman" w:hAnsi="Times New Roman"/>
          <w:b w:val="0"/>
          <w:i w:val="0"/>
          <w:sz w:val="22"/>
        </w:rPr>
        <w:t>Each reading is stored on the smartwatch with a sent-status flag (synced = 0). Periodically (a selectable interval, e.g., 3 or 5 minutes), all not-yet-sent records are retrieved and transmitted as a single batch. To guarantee that data is actually received, the smartphone writes an acknowledgement (ACK) containing the number of successfully stored records to a dedicated characteristic; the smartwatch marks records as sent (synced = 1) only after the ACK is received. If no ACK arrives within a timeout (30 s), the records remain not-yet-sent and are retransmitted in the next interval. To prevent duplicates caused by retransmission, the receiver is made idempotent through a unique index on the time attribute, so repeated delivery does not create duplicate rows. The complete flow is shown in Figure 4.</w:t>
      </w:r>
    </w:p>
    <w:p>
      <w:pPr>
        <w:jc w:val="center"/>
      </w:pPr>
      <w:r>
        <w:drawing>
          <wp:inline xmlns:a="http://schemas.openxmlformats.org/drawingml/2006/main" xmlns:pic="http://schemas.openxmlformats.org/drawingml/2006/picture">
            <wp:extent cx="3566160" cy="5693604"/>
            <wp:docPr id="4" name="Picture 4"/>
            <wp:cNvGraphicFramePr>
              <a:graphicFrameLocks noChangeAspect="1"/>
            </wp:cNvGraphicFramePr>
            <a:graphic>
              <a:graphicData uri="http://schemas.openxmlformats.org/drawingml/2006/picture">
                <pic:pic>
                  <pic:nvPicPr>
                    <pic:cNvPr id="0" name="fig_storeforward.png"/>
                    <pic:cNvPicPr/>
                  </pic:nvPicPr>
                  <pic:blipFill>
                    <a:blip r:embed="rId12"/>
                    <a:stretch>
                      <a:fillRect/>
                    </a:stretch>
                  </pic:blipFill>
                  <pic:spPr>
                    <a:xfrm>
                      <a:off x="0" y="0"/>
                      <a:ext cx="3566160" cy="5693604"/>
                    </a:xfrm>
                    <a:prstGeom prst="rect"/>
                  </pic:spPr>
                </pic:pic>
              </a:graphicData>
            </a:graphic>
          </wp:inline>
        </w:drawing>
      </w:r>
    </w:p>
    <w:p>
      <w:pPr>
        <w:spacing w:after="160"/>
        <w:jc w:val="center"/>
      </w:pPr>
      <w:r>
        <w:rPr>
          <w:rFonts w:ascii="Times New Roman" w:hAnsi="Times New Roman"/>
          <w:b w:val="0"/>
          <w:i w:val="0"/>
          <w:sz w:val="20"/>
        </w:rPr>
        <w:t>Figure 4. Store-and-forward flow with delivery acknowledgement (ACK).</w:t>
      </w:r>
    </w:p>
    <w:p>
      <w:pPr>
        <w:spacing w:before="200" w:after="80"/>
      </w:pPr>
      <w:r>
        <w:rPr>
          <w:rFonts w:ascii="Times New Roman" w:hAnsi="Times New Roman"/>
          <w:b/>
          <w:i w:val="0"/>
          <w:sz w:val="22"/>
        </w:rPr>
        <w:t>2.4 Smartwatch Application Architecture</w:t>
      </w:r>
    </w:p>
    <w:p>
      <w:pPr>
        <w:spacing w:after="120"/>
        <w:jc w:val="both"/>
      </w:pPr>
      <w:r>
        <w:rPr>
          <w:rFonts w:ascii="Times New Roman" w:hAnsi="Times New Roman"/>
          <w:b w:val="0"/>
          <w:i w:val="0"/>
          <w:sz w:val="22"/>
        </w:rPr>
        <w:t>The smartwatch application is built with Flutter, with a clear separation between the Dart layer and the native (Kotlin) layer, as shown in Figure 5. The Dart layer uses the BLoC pattern: the monitoring logic (per-second sampling, per-interval sending, store-and-forward, and waiting for ACK) is separated from the user interface. The native layer hosts the sensor listener, the GATT server and advertiser, the frame queue and flow control, the ACK characteristic, and a foreground service that keeps the process alive when the application is in the background or the screen is off. The two layers communicate via platform channels.</w:t>
      </w:r>
    </w:p>
    <w:p>
      <w:pPr>
        <w:jc w:val="center"/>
      </w:pPr>
      <w:r>
        <w:drawing>
          <wp:inline xmlns:a="http://schemas.openxmlformats.org/drawingml/2006/main" xmlns:pic="http://schemas.openxmlformats.org/drawingml/2006/picture">
            <wp:extent cx="5120640" cy="5279141"/>
            <wp:docPr id="5" name="Picture 5"/>
            <wp:cNvGraphicFramePr>
              <a:graphicFrameLocks noChangeAspect="1"/>
            </wp:cNvGraphicFramePr>
            <a:graphic>
              <a:graphicData uri="http://schemas.openxmlformats.org/drawingml/2006/picture">
                <pic:pic>
                  <pic:nvPicPr>
                    <pic:cNvPr id="0" name="fig_watch_arch.png"/>
                    <pic:cNvPicPr/>
                  </pic:nvPicPr>
                  <pic:blipFill>
                    <a:blip r:embed="rId13"/>
                    <a:stretch>
                      <a:fillRect/>
                    </a:stretch>
                  </pic:blipFill>
                  <pic:spPr>
                    <a:xfrm>
                      <a:off x="0" y="0"/>
                      <a:ext cx="5120640" cy="5279141"/>
                    </a:xfrm>
                    <a:prstGeom prst="rect"/>
                  </pic:spPr>
                </pic:pic>
              </a:graphicData>
            </a:graphic>
          </wp:inline>
        </w:drawing>
      </w:r>
    </w:p>
    <w:p>
      <w:pPr>
        <w:spacing w:after="160"/>
        <w:jc w:val="center"/>
      </w:pPr>
      <w:r>
        <w:rPr>
          <w:rFonts w:ascii="Times New Roman" w:hAnsi="Times New Roman"/>
          <w:b w:val="0"/>
          <w:i w:val="0"/>
          <w:sz w:val="20"/>
        </w:rPr>
        <w:t>Figure 5. Internal architecture of the smartwatch application (Flutter–Native boundary).</w:t>
      </w:r>
    </w:p>
    <w:p>
      <w:pPr>
        <w:spacing w:before="200" w:after="80"/>
      </w:pPr>
      <w:r>
        <w:rPr>
          <w:rFonts w:ascii="Times New Roman" w:hAnsi="Times New Roman"/>
          <w:b/>
          <w:i w:val="0"/>
          <w:sz w:val="22"/>
        </w:rPr>
        <w:t>2.5 Devices and Test Scenario</w:t>
      </w:r>
    </w:p>
    <w:p>
      <w:pPr>
        <w:spacing w:after="120"/>
        <w:jc w:val="both"/>
      </w:pPr>
      <w:r>
        <w:rPr>
          <w:rFonts w:ascii="Times New Roman" w:hAnsi="Times New Roman"/>
          <w:b w:val="0"/>
          <w:i w:val="0"/>
          <w:sz w:val="22"/>
        </w:rPr>
        <w:t>Testing was conducted on physical devices because BLE communication cannot be emulated. The device specifications are listed in Table 1. The applications were installed in release mode so that performance measurements are not biased by debug mode. Testing was carried out over four sessions during 23–28 June 2026; in each run the smartphone connects to the smartwatch, monitoring is started and left running for several intervals, and the data from both applications is then exported to CSV and database formats for analysis. A total of 23,215 readings were collected during the measurement period (sensor worn).</w:t>
      </w:r>
    </w:p>
    <w:p>
      <w:pPr>
        <w:jc w:val="center"/>
      </w:pPr>
      <w:r>
        <w:rPr>
          <w:rFonts w:ascii="Times New Roman" w:hAnsi="Times New Roman"/>
          <w:b w:val="0"/>
          <w:i w:val="0"/>
          <w:sz w:val="20"/>
        </w:rPr>
        <w:t>Table 1. Device and test-environment specifications.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i w:val="0"/>
                <w:sz w:val="20"/>
              </w:rPr>
              <w:t>Component</w:t>
            </w:r>
          </w:p>
        </w:tc>
        <w:tc>
          <w:tcPr>
            <w:tcW w:type="dxa" w:w="4320"/>
          </w:tcPr>
          <w:p>
            <w:r/>
            <w:r>
              <w:rPr>
                <w:rFonts w:ascii="Times New Roman" w:hAnsi="Times New Roman"/>
                <w:b/>
                <w:i w:val="0"/>
                <w:sz w:val="20"/>
              </w:rPr>
              <w:t>Specification</w:t>
            </w:r>
          </w:p>
        </w:tc>
      </w:tr>
      <w:tr>
        <w:tc>
          <w:tcPr>
            <w:tcW w:type="dxa" w:w="4320"/>
          </w:tcPr>
          <w:p>
            <w:r/>
            <w:r>
              <w:rPr>
                <w:rFonts w:ascii="Times New Roman" w:hAnsi="Times New Roman"/>
                <w:b w:val="0"/>
                <w:i w:val="0"/>
                <w:sz w:val="20"/>
              </w:rPr>
              <w:t>Smartwatch (peripheral)</w:t>
            </w:r>
          </w:p>
        </w:tc>
        <w:tc>
          <w:tcPr>
            <w:tcW w:type="dxa" w:w="4320"/>
          </w:tcPr>
          <w:p>
            <w:r/>
            <w:r>
              <w:rPr>
                <w:rFonts w:ascii="Times New Roman" w:hAnsi="Times New Roman"/>
                <w:b w:val="0"/>
                <w:i w:val="0"/>
                <w:sz w:val="20"/>
              </w:rPr>
              <w:t>Samsung Galaxy Watch (SM-R860), Wear OS</w:t>
            </w:r>
          </w:p>
        </w:tc>
      </w:tr>
      <w:tr>
        <w:tc>
          <w:tcPr>
            <w:tcW w:type="dxa" w:w="4320"/>
          </w:tcPr>
          <w:p>
            <w:r/>
            <w:r>
              <w:rPr>
                <w:rFonts w:ascii="Times New Roman" w:hAnsi="Times New Roman"/>
                <w:b w:val="0"/>
                <w:i w:val="0"/>
                <w:sz w:val="20"/>
              </w:rPr>
              <w:t>Smartphone (central)</w:t>
            </w:r>
          </w:p>
        </w:tc>
        <w:tc>
          <w:tcPr>
            <w:tcW w:type="dxa" w:w="4320"/>
          </w:tcPr>
          <w:p>
            <w:r/>
            <w:r>
              <w:rPr>
                <w:rFonts w:ascii="Times New Roman" w:hAnsi="Times New Roman"/>
                <w:b w:val="0"/>
                <w:i w:val="0"/>
                <w:sz w:val="20"/>
              </w:rPr>
              <w:t>Xiaomi Redmi Note 10 Pro (M2101K6G), Android 13</w:t>
            </w:r>
          </w:p>
        </w:tc>
      </w:tr>
      <w:tr>
        <w:tc>
          <w:tcPr>
            <w:tcW w:type="dxa" w:w="4320"/>
          </w:tcPr>
          <w:p>
            <w:r/>
            <w:r>
              <w:rPr>
                <w:rFonts w:ascii="Times New Roman" w:hAnsi="Times New Roman"/>
                <w:b w:val="0"/>
                <w:i w:val="0"/>
                <w:sz w:val="20"/>
              </w:rPr>
              <w:t>Framework</w:t>
            </w:r>
          </w:p>
        </w:tc>
        <w:tc>
          <w:tcPr>
            <w:tcW w:type="dxa" w:w="4320"/>
          </w:tcPr>
          <w:p>
            <w:r/>
            <w:r>
              <w:rPr>
                <w:rFonts w:ascii="Times New Roman" w:hAnsi="Times New Roman"/>
                <w:b w:val="0"/>
                <w:i w:val="0"/>
                <w:sz w:val="20"/>
              </w:rPr>
              <w:t>Flutter 3.41.4; Dart SDK ^3.11.1</w:t>
            </w:r>
          </w:p>
        </w:tc>
      </w:tr>
      <w:tr>
        <w:tc>
          <w:tcPr>
            <w:tcW w:type="dxa" w:w="4320"/>
          </w:tcPr>
          <w:p>
            <w:r/>
            <w:r>
              <w:rPr>
                <w:rFonts w:ascii="Times New Roman" w:hAnsi="Times New Roman"/>
                <w:b w:val="0"/>
                <w:i w:val="0"/>
                <w:sz w:val="20"/>
              </w:rPr>
              <w:t>Main libraries</w:t>
            </w:r>
          </w:p>
        </w:tc>
        <w:tc>
          <w:tcPr>
            <w:tcW w:type="dxa" w:w="4320"/>
          </w:tcPr>
          <w:p>
            <w:r/>
            <w:r>
              <w:rPr>
                <w:rFonts w:ascii="Times New Roman" w:hAnsi="Times New Roman"/>
                <w:b w:val="0"/>
                <w:i w:val="0"/>
                <w:sz w:val="20"/>
              </w:rPr>
              <w:t>flutter_blue_plus, sqflite, flutter_bloc, permission_handler</w:t>
            </w:r>
          </w:p>
        </w:tc>
      </w:tr>
      <w:tr>
        <w:tc>
          <w:tcPr>
            <w:tcW w:type="dxa" w:w="4320"/>
          </w:tcPr>
          <w:p>
            <w:r/>
            <w:r>
              <w:rPr>
                <w:rFonts w:ascii="Times New Roman" w:hAnsi="Times New Roman"/>
                <w:b w:val="0"/>
                <w:i w:val="0"/>
                <w:sz w:val="20"/>
              </w:rPr>
              <w:t>Requested MTU</w:t>
            </w:r>
          </w:p>
        </w:tc>
        <w:tc>
          <w:tcPr>
            <w:tcW w:type="dxa" w:w="4320"/>
          </w:tcPr>
          <w:p>
            <w:r/>
            <w:r>
              <w:rPr>
                <w:rFonts w:ascii="Times New Roman" w:hAnsi="Times New Roman"/>
                <w:b w:val="0"/>
                <w:i w:val="0"/>
                <w:sz w:val="20"/>
              </w:rPr>
              <w:t>512 bytes</w:t>
            </w:r>
          </w:p>
        </w:tc>
      </w:tr>
      <w:tr>
        <w:tc>
          <w:tcPr>
            <w:tcW w:type="dxa" w:w="4320"/>
          </w:tcPr>
          <w:p>
            <w:r/>
            <w:r>
              <w:rPr>
                <w:rFonts w:ascii="Times New Roman" w:hAnsi="Times New Roman"/>
                <w:b w:val="0"/>
                <w:i w:val="0"/>
                <w:sz w:val="20"/>
              </w:rPr>
              <w:t>Sending interval</w:t>
            </w:r>
          </w:p>
        </w:tc>
        <w:tc>
          <w:tcPr>
            <w:tcW w:type="dxa" w:w="4320"/>
          </w:tcPr>
          <w:p>
            <w:r/>
            <w:r>
              <w:rPr>
                <w:rFonts w:ascii="Times New Roman" w:hAnsi="Times New Roman"/>
                <w:b w:val="0"/>
                <w:i w:val="0"/>
                <w:sz w:val="20"/>
              </w:rPr>
              <w:t>3 / 5 minutes (selectable)</w:t>
            </w:r>
          </w:p>
        </w:tc>
      </w:tr>
      <w:tr>
        <w:tc>
          <w:tcPr>
            <w:tcW w:type="dxa" w:w="4320"/>
          </w:tcPr>
          <w:p>
            <w:r>
              <w:t>Test dataset</w:t>
            </w:r>
          </w:p>
        </w:tc>
        <w:tc>
          <w:tcPr>
            <w:tcW w:type="dxa" w:w="4320"/>
          </w:tcPr>
          <w:p>
            <w:r>
              <w:t>23–28 Jun 2026; 4 sessions; 23,215 measurement readings</w:t>
            </w:r>
          </w:p>
        </w:tc>
      </w:tr>
    </w:tbl>
    <w:p>
      <w:pPr>
        <w:spacing w:after="40"/>
      </w:pPr>
    </w:p>
    <w:p>
      <w:pPr>
        <w:spacing w:before="200" w:after="80"/>
      </w:pPr>
      <w:r>
        <w:rPr>
          <w:rFonts w:ascii="Times New Roman" w:hAnsi="Times New Roman"/>
          <w:b/>
          <w:i w:val="0"/>
          <w:sz w:val="22"/>
        </w:rPr>
        <w:t>2.6 Evaluation Metrics</w:t>
      </w:r>
    </w:p>
    <w:p>
      <w:pPr>
        <w:spacing w:after="120"/>
        <w:jc w:val="both"/>
      </w:pPr>
      <w:r>
        <w:rPr>
          <w:rFonts w:ascii="Times New Roman" w:hAnsi="Times New Roman"/>
          <w:b w:val="0"/>
          <w:i w:val="0"/>
          <w:sz w:val="22"/>
        </w:rPr>
        <w:t>The measured metrics are: (1) delivery ratio, i.e., the number of records matched at the smartphone divided by the number of records recorded by the smartwatch, with matching based on the time attribute so it does not depend on clock synchronization between devices; (2) value fidelity, i.e., the proportion of received records whose values (bpm and accuracy) are identical to the smartwatch records; (3) the number of duplicates at the receiver; (4) the sensor-accuracy distribution following the accuracy-status constants of the Android SensorManager (range -1 to 3) [2]; and (5) per-batch transfer latency and throughput recorded automatically by the application instrumentation. Throughput is computed as the payload size divided by the transfer duration.</w:t>
      </w:r>
    </w:p>
    <w:p>
      <w:pPr>
        <w:spacing w:before="200" w:after="80"/>
      </w:pPr>
      <w:r>
        <w:rPr>
          <w:rFonts w:ascii="Times New Roman" w:hAnsi="Times New Roman"/>
          <w:b/>
          <w:i w:val="0"/>
          <w:sz w:val="24"/>
        </w:rPr>
        <w:t>3. Results and Discussion</w:t>
      </w:r>
    </w:p>
    <w:p>
      <w:pPr>
        <w:spacing w:before="200" w:after="80"/>
      </w:pPr>
      <w:r>
        <w:rPr>
          <w:rFonts w:ascii="Times New Roman" w:hAnsi="Times New Roman"/>
          <w:b/>
          <w:i w:val="0"/>
          <w:sz w:val="22"/>
        </w:rPr>
        <w:t>3.1 End-to-End Functional Verification</w:t>
      </w:r>
    </w:p>
    <w:p>
      <w:pPr>
        <w:spacing w:after="120"/>
        <w:jc w:val="both"/>
      </w:pPr>
      <w:r>
        <w:rPr>
          <w:rFonts w:ascii="Times New Roman" w:hAnsi="Times New Roman"/>
          <w:b w:val="0"/>
          <w:i w:val="0"/>
          <w:sz w:val="22"/>
        </w:rPr>
        <w:t>Functional testing showed that the connection sequence works as designed: the smartwatch advertises the service, the smartphone scans and connects, the 512-byte MTU negotiation succeeds, notifications are enabled, and one batch is delivered intact and then confirmed with an ACK. This demonstrates that the framing protocol and the acknowledgement mechanism work end-to-end on real devices.</w:t>
      </w:r>
    </w:p>
    <w:p>
      <w:pPr>
        <w:spacing w:before="200" w:after="80"/>
      </w:pPr>
      <w:r>
        <w:rPr>
          <w:rFonts w:ascii="Times New Roman" w:hAnsi="Times New Roman"/>
          <w:b/>
          <w:i w:val="0"/>
          <w:sz w:val="22"/>
        </w:rPr>
        <w:t>3.2 Delivery Ratio</w:t>
      </w:r>
    </w:p>
    <w:p>
      <w:pPr>
        <w:spacing w:after="120"/>
        <w:jc w:val="both"/>
      </w:pPr>
      <w:r>
        <w:rPr>
          <w:rFonts w:ascii="Times New Roman" w:hAnsi="Times New Roman"/>
          <w:b w:val="0"/>
          <w:i w:val="0"/>
          <w:sz w:val="22"/>
        </w:rPr>
        <w:t>The evaluation was carried out over four test sessions, with per-session results in Table 2 and their temporal profiles in Figure 6 and Figure 7. In aggregate, the smartwatch recorded 23,215 readings during the measurement period and 20,455 of them were recorded on the smartphone (88.1% delivery ratio) with no duplicates. However, the loss was not evenly distributed: while the BLE link was active, loss was near zero (e.g., after the smartphone connected in the main session, delivery was practically 100%), whereas all losses were concentrated in periods when the smartphone was disconnected—including one short session whose smartphone never connected, so none of its readings were stored at the receiver. Importantly, every successfully received reading was identical to the smartwatch record based on time matching, both bpm and accuracy values (100% value fidelity), so no data corruption occurred on the BLE channel. The discrepancy between the sent marker on the smartwatch and the presence of records on the smartphone is discussed in Section 3.5.</w:t>
      </w:r>
    </w:p>
    <w:p>
      <w:pPr>
        <w:jc w:val="center"/>
      </w:pPr>
      <w:r>
        <w:rPr>
          <w:rFonts w:ascii="Times New Roman" w:hAnsi="Times New Roman"/>
          <w:b w:val="0"/>
          <w:i w:val="0"/>
          <w:sz w:val="20"/>
        </w:rPr>
        <w:t>Table 2. Delivery results per test session.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Session</w:t>
            </w:r>
          </w:p>
        </w:tc>
        <w:tc>
          <w:tcPr>
            <w:tcW w:type="dxa" w:w="1234"/>
          </w:tcPr>
          <w:p>
            <w:r>
              <w:rPr>
                <w:b/>
              </w:rPr>
              <w:t>Start (WIB)</w:t>
            </w:r>
          </w:p>
        </w:tc>
        <w:tc>
          <w:tcPr>
            <w:tcW w:type="dxa" w:w="1234"/>
          </w:tcPr>
          <w:p>
            <w:r>
              <w:rPr>
                <w:b/>
              </w:rPr>
              <w:t>Duration</w:t>
            </w:r>
          </w:p>
        </w:tc>
        <w:tc>
          <w:tcPr>
            <w:tcW w:type="dxa" w:w="1234"/>
          </w:tcPr>
          <w:p>
            <w:r>
              <w:rPr>
                <w:b/>
              </w:rPr>
              <w:t>Recorded</w:t>
            </w:r>
          </w:p>
        </w:tc>
        <w:tc>
          <w:tcPr>
            <w:tcW w:type="dxa" w:w="1234"/>
          </w:tcPr>
          <w:p>
            <w:r>
              <w:rPr>
                <w:b/>
              </w:rPr>
              <w:t>Received</w:t>
            </w:r>
          </w:p>
        </w:tc>
        <w:tc>
          <w:tcPr>
            <w:tcW w:type="dxa" w:w="1234"/>
          </w:tcPr>
          <w:p>
            <w:r>
              <w:rPr>
                <w:b/>
              </w:rPr>
              <w:t>Lost</w:t>
            </w:r>
          </w:p>
        </w:tc>
        <w:tc>
          <w:tcPr>
            <w:tcW w:type="dxa" w:w="1234"/>
          </w:tcPr>
          <w:p>
            <w:r>
              <w:rPr>
                <w:b/>
              </w:rPr>
              <w:t>Delivery</w:t>
            </w:r>
          </w:p>
        </w:tc>
      </w:tr>
      <w:tr>
        <w:tc>
          <w:tcPr>
            <w:tcW w:type="dxa" w:w="1234"/>
          </w:tcPr>
          <w:p>
            <w:r>
              <w:t>Session 1</w:t>
            </w:r>
          </w:p>
        </w:tc>
        <w:tc>
          <w:tcPr>
            <w:tcW w:type="dxa" w:w="1234"/>
          </w:tcPr>
          <w:p>
            <w:r>
              <w:t>23/06 06:38</w:t>
            </w:r>
          </w:p>
        </w:tc>
        <w:tc>
          <w:tcPr>
            <w:tcW w:type="dxa" w:w="1234"/>
          </w:tcPr>
          <w:p>
            <w:r>
              <w:t>36 min</w:t>
            </w:r>
          </w:p>
        </w:tc>
        <w:tc>
          <w:tcPr>
            <w:tcW w:type="dxa" w:w="1234"/>
          </w:tcPr>
          <w:p>
            <w:r>
              <w:t>2,177</w:t>
            </w:r>
          </w:p>
        </w:tc>
        <w:tc>
          <w:tcPr>
            <w:tcW w:type="dxa" w:w="1234"/>
          </w:tcPr>
          <w:p>
            <w:r>
              <w:t>2,164</w:t>
            </w:r>
          </w:p>
        </w:tc>
        <w:tc>
          <w:tcPr>
            <w:tcW w:type="dxa" w:w="1234"/>
          </w:tcPr>
          <w:p>
            <w:r>
              <w:t>13</w:t>
            </w:r>
          </w:p>
        </w:tc>
        <w:tc>
          <w:tcPr>
            <w:tcW w:type="dxa" w:w="1234"/>
          </w:tcPr>
          <w:p>
            <w:r>
              <w:t>99.40%</w:t>
            </w:r>
          </w:p>
        </w:tc>
      </w:tr>
      <w:tr>
        <w:tc>
          <w:tcPr>
            <w:tcW w:type="dxa" w:w="1234"/>
          </w:tcPr>
          <w:p>
            <w:r>
              <w:t>Session 2</w:t>
            </w:r>
          </w:p>
        </w:tc>
        <w:tc>
          <w:tcPr>
            <w:tcW w:type="dxa" w:w="1234"/>
          </w:tcPr>
          <w:p>
            <w:r>
              <w:t>23/06 08:41</w:t>
            </w:r>
          </w:p>
        </w:tc>
        <w:tc>
          <w:tcPr>
            <w:tcW w:type="dxa" w:w="1234"/>
          </w:tcPr>
          <w:p>
            <w:r>
              <w:t>1 min</w:t>
            </w:r>
          </w:p>
        </w:tc>
        <w:tc>
          <w:tcPr>
            <w:tcW w:type="dxa" w:w="1234"/>
          </w:tcPr>
          <w:p>
            <w:r>
              <w:t>53</w:t>
            </w:r>
          </w:p>
        </w:tc>
        <w:tc>
          <w:tcPr>
            <w:tcW w:type="dxa" w:w="1234"/>
          </w:tcPr>
          <w:p>
            <w:r>
              <w:t>0</w:t>
            </w:r>
          </w:p>
        </w:tc>
        <w:tc>
          <w:tcPr>
            <w:tcW w:type="dxa" w:w="1234"/>
          </w:tcPr>
          <w:p>
            <w:r>
              <w:t>53</w:t>
            </w:r>
          </w:p>
        </w:tc>
        <w:tc>
          <w:tcPr>
            <w:tcW w:type="dxa" w:w="1234"/>
          </w:tcPr>
          <w:p>
            <w:r>
              <w:t>0.00%</w:t>
            </w:r>
          </w:p>
        </w:tc>
      </w:tr>
      <w:tr>
        <w:tc>
          <w:tcPr>
            <w:tcW w:type="dxa" w:w="1234"/>
          </w:tcPr>
          <w:p>
            <w:r>
              <w:t>Session 3</w:t>
            </w:r>
          </w:p>
        </w:tc>
        <w:tc>
          <w:tcPr>
            <w:tcW w:type="dxa" w:w="1234"/>
          </w:tcPr>
          <w:p>
            <w:r>
              <w:t>23/06 14:15</w:t>
            </w:r>
          </w:p>
        </w:tc>
        <w:tc>
          <w:tcPr>
            <w:tcW w:type="dxa" w:w="1234"/>
          </w:tcPr>
          <w:p>
            <w:r>
              <w:t>345 min</w:t>
            </w:r>
          </w:p>
        </w:tc>
        <w:tc>
          <w:tcPr>
            <w:tcW w:type="dxa" w:w="1234"/>
          </w:tcPr>
          <w:p>
            <w:r>
              <w:t>20,702</w:t>
            </w:r>
          </w:p>
        </w:tc>
        <w:tc>
          <w:tcPr>
            <w:tcW w:type="dxa" w:w="1234"/>
          </w:tcPr>
          <w:p>
            <w:r>
              <w:t>18,013</w:t>
            </w:r>
          </w:p>
        </w:tc>
        <w:tc>
          <w:tcPr>
            <w:tcW w:type="dxa" w:w="1234"/>
          </w:tcPr>
          <w:p>
            <w:r>
              <w:t>2,689</w:t>
            </w:r>
          </w:p>
        </w:tc>
        <w:tc>
          <w:tcPr>
            <w:tcW w:type="dxa" w:w="1234"/>
          </w:tcPr>
          <w:p>
            <w:r>
              <w:t>87.01%</w:t>
            </w:r>
          </w:p>
        </w:tc>
      </w:tr>
      <w:tr>
        <w:tc>
          <w:tcPr>
            <w:tcW w:type="dxa" w:w="1234"/>
          </w:tcPr>
          <w:p>
            <w:r>
              <w:t>Session 4</w:t>
            </w:r>
          </w:p>
        </w:tc>
        <w:tc>
          <w:tcPr>
            <w:tcW w:type="dxa" w:w="1234"/>
          </w:tcPr>
          <w:p>
            <w:r>
              <w:t>28/06 21:29</w:t>
            </w:r>
          </w:p>
        </w:tc>
        <w:tc>
          <w:tcPr>
            <w:tcW w:type="dxa" w:w="1234"/>
          </w:tcPr>
          <w:p>
            <w:r>
              <w:t>5 min</w:t>
            </w:r>
          </w:p>
        </w:tc>
        <w:tc>
          <w:tcPr>
            <w:tcW w:type="dxa" w:w="1234"/>
          </w:tcPr>
          <w:p>
            <w:r>
              <w:t>283</w:t>
            </w:r>
          </w:p>
        </w:tc>
        <w:tc>
          <w:tcPr>
            <w:tcW w:type="dxa" w:w="1234"/>
          </w:tcPr>
          <w:p>
            <w:r>
              <w:t>278</w:t>
            </w:r>
          </w:p>
        </w:tc>
        <w:tc>
          <w:tcPr>
            <w:tcW w:type="dxa" w:w="1234"/>
          </w:tcPr>
          <w:p>
            <w:r>
              <w:t>5</w:t>
            </w:r>
          </w:p>
        </w:tc>
        <w:tc>
          <w:tcPr>
            <w:tcW w:type="dxa" w:w="1234"/>
          </w:tcPr>
          <w:p>
            <w:r>
              <w:t>98.23%</w:t>
            </w:r>
          </w:p>
        </w:tc>
      </w:tr>
      <w:tr>
        <w:tc>
          <w:tcPr>
            <w:tcW w:type="dxa" w:w="1234"/>
          </w:tcPr>
          <w:p>
            <w:r>
              <w:rPr>
                <w:b/>
              </w:rPr>
              <w:t>Total</w:t>
            </w:r>
          </w:p>
        </w:tc>
        <w:tc>
          <w:tcPr>
            <w:tcW w:type="dxa" w:w="1234"/>
          </w:tcPr>
          <w:p>
            <w:r>
              <w:rPr>
                <w:b/>
              </w:rPr>
              <w:t>—</w:t>
            </w:r>
          </w:p>
        </w:tc>
        <w:tc>
          <w:tcPr>
            <w:tcW w:type="dxa" w:w="1234"/>
          </w:tcPr>
          <w:p>
            <w:r>
              <w:rPr>
                <w:b/>
              </w:rPr>
              <w:t>387 min</w:t>
            </w:r>
          </w:p>
        </w:tc>
        <w:tc>
          <w:tcPr>
            <w:tcW w:type="dxa" w:w="1234"/>
          </w:tcPr>
          <w:p>
            <w:r>
              <w:rPr>
                <w:b/>
              </w:rPr>
              <w:t>23,215</w:t>
            </w:r>
          </w:p>
        </w:tc>
        <w:tc>
          <w:tcPr>
            <w:tcW w:type="dxa" w:w="1234"/>
          </w:tcPr>
          <w:p>
            <w:r>
              <w:rPr>
                <w:b/>
              </w:rPr>
              <w:t>20,455</w:t>
            </w:r>
          </w:p>
        </w:tc>
        <w:tc>
          <w:tcPr>
            <w:tcW w:type="dxa" w:w="1234"/>
          </w:tcPr>
          <w:p>
            <w:r>
              <w:rPr>
                <w:b/>
              </w:rPr>
              <w:t>2,760</w:t>
            </w:r>
          </w:p>
        </w:tc>
        <w:tc>
          <w:tcPr>
            <w:tcW w:type="dxa" w:w="1234"/>
          </w:tcPr>
          <w:p>
            <w:r>
              <w:rPr>
                <w:b/>
              </w:rPr>
              <w:t>88.11%</w:t>
            </w:r>
          </w:p>
        </w:tc>
      </w:tr>
    </w:tbl>
    <w:p>
      <w:pPr>
        <w:spacing w:after="40"/>
      </w:pPr>
    </w:p>
    <w:p>
      <w:pPr>
        <w:jc w:val="center"/>
      </w:pPr>
      <w:r>
        <w:drawing>
          <wp:inline xmlns:a="http://schemas.openxmlformats.org/drawingml/2006/main" xmlns:pic="http://schemas.openxmlformats.org/drawingml/2006/picture">
            <wp:extent cx="5120640" cy="2331935"/>
            <wp:docPr id="6" name="Picture 6"/>
            <wp:cNvGraphicFramePr>
              <a:graphicFrameLocks noChangeAspect="1"/>
            </wp:cNvGraphicFramePr>
            <a:graphic>
              <a:graphicData uri="http://schemas.openxmlformats.org/drawingml/2006/picture">
                <pic:pic>
                  <pic:nvPicPr>
                    <pic:cNvPr id="0" name="fig_hr_completeness.png"/>
                    <pic:cNvPicPr/>
                  </pic:nvPicPr>
                  <pic:blipFill>
                    <a:blip r:embed="rId14"/>
                    <a:stretch>
                      <a:fillRect/>
                    </a:stretch>
                  </pic:blipFill>
                  <pic:spPr>
                    <a:xfrm>
                      <a:off x="0" y="0"/>
                      <a:ext cx="5120640" cy="2331935"/>
                    </a:xfrm>
                    <a:prstGeom prst="rect"/>
                  </pic:spPr>
                </pic:pic>
              </a:graphicData>
            </a:graphic>
          </wp:inline>
        </w:drawing>
      </w:r>
    </w:p>
    <w:p>
      <w:pPr>
        <w:jc w:val="center"/>
      </w:pPr>
      <w:r>
        <w:rPr>
          <w:sz w:val="20"/>
        </w:rPr>
        <w:t>Figure 6. Data completeness per test session (received vs lost).</w:t>
      </w:r>
    </w:p>
    <w:p>
      <w:pPr>
        <w:jc w:val="center"/>
      </w:pPr>
      <w:r>
        <w:drawing>
          <wp:inline xmlns:a="http://schemas.openxmlformats.org/drawingml/2006/main" xmlns:pic="http://schemas.openxmlformats.org/drawingml/2006/picture">
            <wp:extent cx="5760720" cy="2895260"/>
            <wp:docPr id="7" name="Picture 7"/>
            <wp:cNvGraphicFramePr>
              <a:graphicFrameLocks noChangeAspect="1"/>
            </wp:cNvGraphicFramePr>
            <a:graphic>
              <a:graphicData uri="http://schemas.openxmlformats.org/drawingml/2006/picture">
                <pic:pic>
                  <pic:nvPicPr>
                    <pic:cNvPr id="0" name="fig_hr_timeline.png"/>
                    <pic:cNvPicPr/>
                  </pic:nvPicPr>
                  <pic:blipFill>
                    <a:blip r:embed="rId15"/>
                    <a:stretch>
                      <a:fillRect/>
                    </a:stretch>
                  </pic:blipFill>
                  <pic:spPr>
                    <a:xfrm>
                      <a:off x="0" y="0"/>
                      <a:ext cx="5760720" cy="2895260"/>
                    </a:xfrm>
                    <a:prstGeom prst="rect"/>
                  </pic:spPr>
                </pic:pic>
              </a:graphicData>
            </a:graphic>
          </wp:inline>
        </w:drawing>
      </w:r>
    </w:p>
    <w:p>
      <w:pPr>
        <w:jc w:val="center"/>
      </w:pPr>
      <w:r>
        <w:rPr>
          <w:sz w:val="20"/>
        </w:rPr>
        <w:t>Figure 7. Heart-rate signal and BLE packet loss in the main session.</w:t>
      </w:r>
    </w:p>
    <w:p>
      <w:pPr>
        <w:spacing w:before="200" w:after="80"/>
      </w:pPr>
      <w:r>
        <w:rPr>
          <w:rFonts w:ascii="Times New Roman" w:hAnsi="Times New Roman"/>
          <w:b/>
          <w:i w:val="0"/>
          <w:sz w:val="22"/>
        </w:rPr>
        <w:t>3.3 Sensor Data Quality</w:t>
      </w:r>
    </w:p>
    <w:p>
      <w:pPr>
        <w:spacing w:after="120"/>
        <w:jc w:val="both"/>
      </w:pPr>
      <w:r>
        <w:rPr>
          <w:rFonts w:ascii="Times New Roman" w:hAnsi="Times New Roman"/>
          <w:b w:val="0"/>
          <w:i w:val="0"/>
          <w:sz w:val="22"/>
        </w:rPr>
        <w:t>The sensor-accuracy distribution during the measurement period is shown in Table 3 and Figure 9. 90.8% of readings were at the highest accuracy (value 3), 9.1% (2,113 readings) at the no-contact condition (value -1)—which commonly occurs when the sensor momentarily loses skin contact [2]—and 0.1% (15 readings) at value 0. The heart-rate statistics for the highest-accuracy readings (n=21,087, Figure 8) were: minimum 60 bpm, maximum 123 bpm, mean 83.4 bpm, and standard deviation 9.9 bpm. Note that 22,231 samples in the tail of the recording—with frozen (constant) values and accuracy ≤0 because the smartwatch was not worn—were excluded from the statistics above to avoid biasing the results.</w:t>
      </w:r>
    </w:p>
    <w:p>
      <w:pPr>
        <w:jc w:val="center"/>
      </w:pPr>
      <w:r>
        <w:rPr>
          <w:rFonts w:ascii="Times New Roman" w:hAnsi="Times New Roman"/>
          <w:b w:val="0"/>
          <w:i w:val="0"/>
          <w:sz w:val="20"/>
        </w:rPr>
        <w:t>Table 3. Distribution of sensor-accuracy values (measurement period).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Sensor accuracy</w:t>
            </w:r>
          </w:p>
        </w:tc>
        <w:tc>
          <w:tcPr>
            <w:tcW w:type="dxa" w:w="2880"/>
          </w:tcPr>
          <w:p>
            <w:r>
              <w:rPr>
                <w:b/>
              </w:rPr>
              <w:t>Count</w:t>
            </w:r>
          </w:p>
        </w:tc>
        <w:tc>
          <w:tcPr>
            <w:tcW w:type="dxa" w:w="2880"/>
          </w:tcPr>
          <w:p>
            <w:r>
              <w:rPr>
                <w:b/>
              </w:rPr>
              <w:t>Percentage</w:t>
            </w:r>
          </w:p>
        </w:tc>
      </w:tr>
      <w:tr>
        <w:tc>
          <w:tcPr>
            <w:tcW w:type="dxa" w:w="2880"/>
          </w:tcPr>
          <w:p>
            <w:r>
              <w:t>3 (high)</w:t>
            </w:r>
          </w:p>
        </w:tc>
        <w:tc>
          <w:tcPr>
            <w:tcW w:type="dxa" w:w="2880"/>
          </w:tcPr>
          <w:p>
            <w:r>
              <w:t>21,087</w:t>
            </w:r>
          </w:p>
        </w:tc>
        <w:tc>
          <w:tcPr>
            <w:tcW w:type="dxa" w:w="2880"/>
          </w:tcPr>
          <w:p>
            <w:r>
              <w:t>90.8%</w:t>
            </w:r>
          </w:p>
        </w:tc>
      </w:tr>
      <w:tr>
        <w:tc>
          <w:tcPr>
            <w:tcW w:type="dxa" w:w="2880"/>
          </w:tcPr>
          <w:p>
            <w:r>
              <w:t>0 (medium)</w:t>
            </w:r>
          </w:p>
        </w:tc>
        <w:tc>
          <w:tcPr>
            <w:tcW w:type="dxa" w:w="2880"/>
          </w:tcPr>
          <w:p>
            <w:r>
              <w:t>15</w:t>
            </w:r>
          </w:p>
        </w:tc>
        <w:tc>
          <w:tcPr>
            <w:tcW w:type="dxa" w:w="2880"/>
          </w:tcPr>
          <w:p>
            <w:r>
              <w:t>0.1%</w:t>
            </w:r>
          </w:p>
        </w:tc>
      </w:tr>
      <w:tr>
        <w:tc>
          <w:tcPr>
            <w:tcW w:type="dxa" w:w="2880"/>
          </w:tcPr>
          <w:p>
            <w:r>
              <w:t>-1 (no contact)</w:t>
            </w:r>
          </w:p>
        </w:tc>
        <w:tc>
          <w:tcPr>
            <w:tcW w:type="dxa" w:w="2880"/>
          </w:tcPr>
          <w:p>
            <w:r>
              <w:t>2,113</w:t>
            </w:r>
          </w:p>
        </w:tc>
        <w:tc>
          <w:tcPr>
            <w:tcW w:type="dxa" w:w="2880"/>
          </w:tcPr>
          <w:p>
            <w:r>
              <w:t>9.1%</w:t>
            </w:r>
          </w:p>
        </w:tc>
      </w:tr>
      <w:tr>
        <w:tc>
          <w:tcPr>
            <w:tcW w:type="dxa" w:w="2880"/>
          </w:tcPr>
          <w:p>
            <w:r>
              <w:t>Total</w:t>
            </w:r>
          </w:p>
        </w:tc>
        <w:tc>
          <w:tcPr>
            <w:tcW w:type="dxa" w:w="2880"/>
          </w:tcPr>
          <w:p>
            <w:r>
              <w:t>23,215</w:t>
            </w:r>
          </w:p>
        </w:tc>
        <w:tc>
          <w:tcPr>
            <w:tcW w:type="dxa" w:w="2880"/>
          </w:tcPr>
          <w:p>
            <w:r>
              <w:t>100%</w:t>
            </w:r>
          </w:p>
        </w:tc>
      </w:tr>
    </w:tbl>
    <w:p>
      <w:pPr>
        <w:spacing w:after="40"/>
      </w:pPr>
    </w:p>
    <w:p>
      <w:pPr>
        <w:jc w:val="center"/>
      </w:pPr>
      <w:r>
        <w:drawing>
          <wp:inline xmlns:a="http://schemas.openxmlformats.org/drawingml/2006/main" xmlns:pic="http://schemas.openxmlformats.org/drawingml/2006/picture">
            <wp:extent cx="4297680" cy="2827421"/>
            <wp:docPr id="8" name="Picture 8"/>
            <wp:cNvGraphicFramePr>
              <a:graphicFrameLocks noChangeAspect="1"/>
            </wp:cNvGraphicFramePr>
            <a:graphic>
              <a:graphicData uri="http://schemas.openxmlformats.org/drawingml/2006/picture">
                <pic:pic>
                  <pic:nvPicPr>
                    <pic:cNvPr id="0" name="fig_hr_bpm_dist.png"/>
                    <pic:cNvPicPr/>
                  </pic:nvPicPr>
                  <pic:blipFill>
                    <a:blip r:embed="rId16"/>
                    <a:stretch>
                      <a:fillRect/>
                    </a:stretch>
                  </pic:blipFill>
                  <pic:spPr>
                    <a:xfrm>
                      <a:off x="0" y="0"/>
                      <a:ext cx="4297680" cy="2827421"/>
                    </a:xfrm>
                    <a:prstGeom prst="rect"/>
                  </pic:spPr>
                </pic:pic>
              </a:graphicData>
            </a:graphic>
          </wp:inline>
        </w:drawing>
      </w:r>
    </w:p>
    <w:p>
      <w:pPr>
        <w:jc w:val="center"/>
      </w:pPr>
      <w:r>
        <w:rPr>
          <w:sz w:val="20"/>
        </w:rPr>
        <w:t>Figure 8. Distribution of heart-rate values for the highest-accuracy readings.</w:t>
      </w:r>
    </w:p>
    <w:p>
      <w:pPr>
        <w:jc w:val="center"/>
      </w:pPr>
      <w:r>
        <w:drawing>
          <wp:inline xmlns:a="http://schemas.openxmlformats.org/drawingml/2006/main" xmlns:pic="http://schemas.openxmlformats.org/drawingml/2006/picture">
            <wp:extent cx="4572000" cy="2719016"/>
            <wp:docPr id="9" name="Picture 9"/>
            <wp:cNvGraphicFramePr>
              <a:graphicFrameLocks noChangeAspect="1"/>
            </wp:cNvGraphicFramePr>
            <a:graphic>
              <a:graphicData uri="http://schemas.openxmlformats.org/drawingml/2006/picture">
                <pic:pic>
                  <pic:nvPicPr>
                    <pic:cNvPr id="0" name="fig_hr_contact.png"/>
                    <pic:cNvPicPr/>
                  </pic:nvPicPr>
                  <pic:blipFill>
                    <a:blip r:embed="rId17"/>
                    <a:stretch>
                      <a:fillRect/>
                    </a:stretch>
                  </pic:blipFill>
                  <pic:spPr>
                    <a:xfrm>
                      <a:off x="0" y="0"/>
                      <a:ext cx="4572000" cy="2719016"/>
                    </a:xfrm>
                    <a:prstGeom prst="rect"/>
                  </pic:spPr>
                </pic:pic>
              </a:graphicData>
            </a:graphic>
          </wp:inline>
        </w:drawing>
      </w:r>
    </w:p>
    <w:p>
      <w:pPr>
        <w:jc w:val="center"/>
      </w:pPr>
      <w:r>
        <w:rPr>
          <w:sz w:val="20"/>
        </w:rPr>
        <w:t>Figure 9. Sensor contact-quality distribution during the measurement period.</w:t>
      </w:r>
    </w:p>
    <w:p>
      <w:pPr>
        <w:spacing w:before="200" w:after="80"/>
      </w:pPr>
      <w:r>
        <w:rPr>
          <w:rFonts w:ascii="Times New Roman" w:hAnsi="Times New Roman"/>
          <w:b/>
          <w:i w:val="0"/>
          <w:sz w:val="22"/>
        </w:rPr>
        <w:t>3.4 Transfer Performance</w:t>
      </w:r>
    </w:p>
    <w:p>
      <w:pPr>
        <w:spacing w:after="120"/>
        <w:jc w:val="both"/>
      </w:pPr>
      <w:r>
        <w:rPr>
          <w:rFonts w:ascii="Times New Roman" w:hAnsi="Times New Roman"/>
          <w:b w:val="0"/>
          <w:i w:val="0"/>
          <w:sz w:val="22"/>
        </w:rPr>
        <w:t>As an illustration of per-batch performance, one batch of 228 readings (10,717-byte payload) was fragmented into 24 frames and delivered in ~0.32 s (323.1 ms) at MTU 512, equivalent to a throughput of ~33 KB/s. On the receiver side, frame reassembly took ~250 ms and storing the batch to the database took ~56 ms. These values show that batch transfer is fast relative to the sending interval (minutes). Aggregate measurements across varied conditions (different batch sizes due to 3- vs 5-minute intervals, device distance, and disruption scenarios) are part of future work. [[Complete with replication results table/charts.]]</w:t>
      </w:r>
    </w:p>
    <w:p>
      <w:r>
        <w:rPr>
          <w:b/>
          <w:sz w:val="22"/>
        </w:rPr>
        <w:t>3.5 Finding: Store-and-Forward Backfill Limitation</w:t>
      </w:r>
    </w:p>
    <w:p>
      <w:r>
        <w:t>A cross-analysis between the sent-status marker (synced) on the smartwatch and the presence of records on the smartphone revealed an important finding. A total of 2,879 readings were marked as sent (synced = 1) by the smartwatch but were not found in the smartphone database, whereas only the last 5 readings were genuinely still pending. All of this 2,879-record difference occurred during periods when the smartphone was disconnected. This indicates that, in the current implementation, the sent marking is applied at the notification-send level without being fully confirmed by an application-level ACK when the link is inactive, so the backlog accumulated during disconnection is not always retransmitted (backfilled) after the link recovers. Consequently, the store-and-forward mechanism preserves completeness well while the link is active but is not yet fully resilient to disconnect-reconnect scenarios. The recommended improvements are to defer the synced marking until an ACK is received and to add a backfill trigger that scans unconfirmed records whenever a connection is re-established. This finding reinforces the importance of application-level acknowledgement over relying on BLE notifications alone.</w:t>
      </w:r>
    </w:p>
    <w:p>
      <w:pPr>
        <w:spacing w:before="200" w:after="80"/>
      </w:pPr>
      <w:r>
        <w:rPr>
          <w:rFonts w:ascii="Times New Roman" w:hAnsi="Times New Roman"/>
          <w:b/>
          <w:i w:val="0"/>
          <w:sz w:val="22"/>
        </w:rPr>
        <w:t>3.6 Discussion and Limitations</w:t>
      </w:r>
    </w:p>
    <w:p>
      <w:pPr>
        <w:spacing w:after="120"/>
        <w:jc w:val="both"/>
      </w:pPr>
      <w:r>
        <w:rPr>
          <w:rFonts w:ascii="Times New Roman" w:hAnsi="Times New Roman"/>
          <w:b w:val="0"/>
          <w:i w:val="0"/>
          <w:sz w:val="22"/>
        </w:rPr>
        <w:t>The results show that the combination of store-and-forward, ACK, and an idempotent receiver can preserve data completeness and integrity while the BLE link is active—evidenced by 100% value fidelity and near-zero loss when connected—while opcode-based framing with flow control overcomes the BLE notification size limit. Time-based matching makes the delivery computation independent of clock synchronization. Conversely, as discussed in Section 3.5, reliability degrades in disconnect scenarios, so backlog backfill needs to be strengthened.</w:t>
      </w:r>
    </w:p>
    <w:p>
      <w:pPr>
        <w:spacing w:after="120"/>
        <w:jc w:val="both"/>
      </w:pPr>
      <w:r>
        <w:rPr>
          <w:rFonts w:ascii="Times New Roman" w:hAnsi="Times New Roman"/>
          <w:b w:val="0"/>
          <w:i w:val="0"/>
          <w:sz w:val="22"/>
        </w:rPr>
        <w:t>This study has several limitations. First, the evaluation spans four sessions on a single device pair and a single environment, so replication across devices, distances, and interference conditions is needed to obtain representative means and standard deviations. Second, it was found that the backlog during disconnection is not always backfilled (Section 3.5); strengthening the ACK and backfill trigger is a priority improvement. Third, background execution covers the application being in the background and the screen off, but does not yet guarantee operation when the application is force-closed or after a device reboot, which is also constrained by OS power-saving policies. Fourth, the BLE communication does not yet apply encryption/authentication, so the security of health data is a development agenda. Fifth, the sensor on a consumer smartwatch is not clinically validated, so the contribution focuses on communication reliability rather than the medical accuracy of the heart-rate values.</w:t>
      </w:r>
    </w:p>
    <w:p>
      <w:pPr>
        <w:spacing w:before="200" w:after="80"/>
      </w:pPr>
      <w:r>
        <w:rPr>
          <w:rFonts w:ascii="Times New Roman" w:hAnsi="Times New Roman"/>
          <w:b/>
          <w:i w:val="0"/>
          <w:sz w:val="24"/>
        </w:rPr>
        <w:t>4. Conclusion</w:t>
      </w:r>
    </w:p>
    <w:p>
      <w:pPr>
        <w:spacing w:after="120"/>
        <w:jc w:val="both"/>
      </w:pPr>
      <w:r>
        <w:rPr>
          <w:rFonts w:ascii="Times New Roman" w:hAnsi="Times New Roman"/>
          <w:b w:val="0"/>
          <w:i w:val="0"/>
          <w:sz w:val="22"/>
        </w:rPr>
        <w:t>This study designed and implemented a BLE-based heart-rate data delivery system from a smartwatch to a smartphone using batch framing, store-and-forward, delivery acknowledgement (ACK), an idempotent receiver, and background execution. Testing on physical devices across four sessions (23,215 readings in total) showed high data integrity—100% value fidelity and near-zero loss while the BLE link was active—with 90.8% of data at the highest accuracy and fast batch transfer (~0.32 s for 228 readings at MTU 512). The evaluation also revealed a limitation: during disconnection periods the backlog was not always backfilled, so the aggregate delivery ratio was 88.1%. Future work includes strengthening the backfill and ACK mechanisms for disconnect-reconnect resilience, formal measurement across varied conditions with replication, strengthening background execution (including auto-start after reboot), and adding encryption for data security.</w:t>
      </w:r>
    </w:p>
    <w:p>
      <w:pPr>
        <w:spacing w:before="200" w:after="80"/>
      </w:pPr>
      <w:r>
        <w:rPr>
          <w:rFonts w:ascii="Times New Roman" w:hAnsi="Times New Roman"/>
          <w:b/>
          <w:i w:val="0"/>
          <w:sz w:val="24"/>
        </w:rPr>
        <w:t>Acknowledgement</w:t>
      </w:r>
    </w:p>
    <w:p>
      <w:pPr>
        <w:spacing w:after="120"/>
        <w:jc w:val="both"/>
      </w:pPr>
      <w:r>
        <w:rPr>
          <w:rFonts w:ascii="Times New Roman" w:hAnsi="Times New Roman"/>
          <w:b w:val="0"/>
          <w:i w:val="0"/>
          <w:sz w:val="22"/>
        </w:rPr>
        <w:t>[[Optional: acknowledgement to advisor/institution/funding.]]</w:t>
      </w:r>
    </w:p>
    <w:p>
      <w:pPr>
        <w:spacing w:before="200" w:after="80"/>
      </w:pPr>
      <w:r>
        <w:rPr>
          <w:rFonts w:ascii="Times New Roman" w:hAnsi="Times New Roman"/>
          <w:b/>
          <w:i w:val="0"/>
          <w:sz w:val="24"/>
        </w:rPr>
        <w:t>References</w:t>
      </w:r>
    </w:p>
    <w:p>
      <w:pPr>
        <w:spacing w:after="60"/>
        <w:ind w:left="432" w:hanging="432"/>
      </w:pPr>
      <w:r>
        <w:rPr>
          <w:rFonts w:ascii="Times New Roman" w:hAnsi="Times New Roman"/>
          <w:b w:val="0"/>
          <w:i w:val="0"/>
          <w:sz w:val="20"/>
        </w:rPr>
        <w:t xml:space="preserve">[1] </w:t>
      </w:r>
      <w:r>
        <w:rPr>
          <w:rFonts w:ascii="Times New Roman" w:hAnsi="Times New Roman"/>
          <w:b w:val="0"/>
          <w:i w:val="0"/>
          <w:sz w:val="20"/>
        </w:rPr>
        <w:t>Bluetooth SIG, “Bluetooth Core Specification,” Bluetooth Special Interest Group. [Online]. Available: https://www.bluetooth.com/specifications/specs/</w:t>
      </w:r>
    </w:p>
    <w:p>
      <w:pPr>
        <w:spacing w:after="60"/>
        <w:ind w:left="432" w:hanging="432"/>
      </w:pPr>
      <w:r>
        <w:rPr>
          <w:rFonts w:ascii="Times New Roman" w:hAnsi="Times New Roman"/>
          <w:b w:val="0"/>
          <w:i w:val="0"/>
          <w:sz w:val="20"/>
        </w:rPr>
        <w:t xml:space="preserve">[2] </w:t>
      </w:r>
      <w:r>
        <w:rPr>
          <w:rFonts w:ascii="Times New Roman" w:hAnsi="Times New Roman"/>
          <w:b w:val="0"/>
          <w:i w:val="0"/>
          <w:sz w:val="20"/>
        </w:rPr>
        <w:t>Android Developers, “SensorManager,” Android API Reference. [Online]. Available: https://developer.android.com/reference/android/hardware/SensorManager</w:t>
      </w:r>
    </w:p>
    <w:p>
      <w:pPr>
        <w:spacing w:after="60"/>
        <w:ind w:left="432" w:hanging="432"/>
      </w:pPr>
      <w:r>
        <w:rPr>
          <w:rFonts w:ascii="Times New Roman" w:hAnsi="Times New Roman"/>
          <w:b w:val="0"/>
          <w:i w:val="0"/>
          <w:sz w:val="20"/>
        </w:rPr>
        <w:t xml:space="preserve">[3] </w:t>
      </w:r>
      <w:r>
        <w:rPr>
          <w:rFonts w:ascii="Times New Roman" w:hAnsi="Times New Roman"/>
          <w:b w:val="0"/>
          <w:i w:val="0"/>
          <w:sz w:val="20"/>
        </w:rPr>
        <w:t>Android Developers, “Foreground services,” Android Developers Guide. [Online]. Available: https://developer.android.com/develop/background-work/services/foreground-services</w:t>
      </w:r>
    </w:p>
    <w:p>
      <w:pPr>
        <w:spacing w:after="60"/>
        <w:ind w:left="432" w:hanging="432"/>
      </w:pPr>
      <w:r>
        <w:rPr>
          <w:rFonts w:ascii="Times New Roman" w:hAnsi="Times New Roman"/>
          <w:b w:val="0"/>
          <w:i w:val="0"/>
          <w:sz w:val="20"/>
        </w:rPr>
        <w:t xml:space="preserve">[4] </w:t>
      </w:r>
      <w:r>
        <w:rPr>
          <w:rFonts w:ascii="Times New Roman" w:hAnsi="Times New Roman"/>
          <w:b w:val="0"/>
          <w:i w:val="0"/>
          <w:sz w:val="20"/>
        </w:rPr>
        <w:t>“flutter_blue_plus,” pub.dev. [Online]. Available: https://pub.dev/packages/flutter_blue_plus</w:t>
      </w:r>
    </w:p>
    <w:p>
      <w:pPr>
        <w:spacing w:after="60"/>
        <w:ind w:left="432" w:hanging="432"/>
      </w:pPr>
      <w:r>
        <w:rPr>
          <w:rFonts w:ascii="Times New Roman" w:hAnsi="Times New Roman"/>
          <w:b w:val="0"/>
          <w:i w:val="0"/>
          <w:sz w:val="20"/>
        </w:rPr>
        <w:t xml:space="preserve">[5] </w:t>
      </w:r>
      <w:r>
        <w:rPr>
          <w:rFonts w:ascii="Times New Roman" w:hAnsi="Times New Roman"/>
          <w:b w:val="0"/>
          <w:i w:val="0"/>
          <w:sz w:val="20"/>
        </w:rPr>
        <w:t>“sqflite,” pub.dev. [Online]. Available: https://pub.dev/packages/sqflite</w:t>
      </w:r>
    </w:p>
    <w:p>
      <w:pPr>
        <w:spacing w:after="60"/>
        <w:ind w:left="432" w:hanging="432"/>
      </w:pPr>
      <w:r>
        <w:rPr>
          <w:rFonts w:ascii="Times New Roman" w:hAnsi="Times New Roman"/>
          <w:b w:val="0"/>
          <w:i w:val="0"/>
          <w:sz w:val="20"/>
        </w:rPr>
        <w:t xml:space="preserve">[6] </w:t>
      </w:r>
      <w:r>
        <w:rPr>
          <w:rFonts w:ascii="Times New Roman" w:hAnsi="Times New Roman"/>
          <w:b w:val="0"/>
          <w:i w:val="0"/>
          <w:sz w:val="20"/>
        </w:rPr>
        <w:t>“flutter_bloc,” pub.dev. [Online]. Available: https://pub.dev/packages/flutter_bloc</w:t>
      </w:r>
    </w:p>
    <w:p>
      <w:pPr>
        <w:spacing w:after="60"/>
        <w:ind w:left="432" w:hanging="432"/>
      </w:pPr>
      <w:r>
        <w:rPr>
          <w:rFonts w:ascii="Times New Roman" w:hAnsi="Times New Roman"/>
          <w:b w:val="0"/>
          <w:i w:val="0"/>
          <w:sz w:val="20"/>
        </w:rPr>
        <w:t xml:space="preserve">[7] </w:t>
      </w:r>
      <w:r>
        <w:rPr>
          <w:rFonts w:ascii="Times New Roman" w:hAnsi="Times New Roman"/>
          <w:b w:val="0"/>
          <w:i w:val="0"/>
          <w:sz w:val="20"/>
        </w:rPr>
        <w:t>[[Add citation: Internet of Medical Things (IoMT) survey/article.]]</w:t>
      </w:r>
    </w:p>
    <w:p>
      <w:pPr>
        <w:spacing w:after="60"/>
        <w:ind w:left="432" w:hanging="432"/>
      </w:pPr>
      <w:r>
        <w:rPr>
          <w:rFonts w:ascii="Times New Roman" w:hAnsi="Times New Roman"/>
          <w:b w:val="0"/>
          <w:i w:val="0"/>
          <w:sz w:val="20"/>
        </w:rPr>
        <w:t xml:space="preserve">[8] </w:t>
      </w:r>
      <w:r>
        <w:rPr>
          <w:rFonts w:ascii="Times New Roman" w:hAnsi="Times New Roman"/>
          <w:b w:val="0"/>
          <w:i w:val="0"/>
          <w:sz w:val="20"/>
        </w:rPr>
        <w:t>[[Add citation: wearable/BLE-based heart-rate monitoring study.]]</w:t>
      </w:r>
    </w:p>
    <w:p>
      <w:pPr>
        <w:spacing w:after="60"/>
        <w:ind w:left="432" w:hanging="432"/>
      </w:pPr>
      <w:r>
        <w:rPr>
          <w:rFonts w:ascii="Times New Roman" w:hAnsi="Times New Roman"/>
          <w:b w:val="0"/>
          <w:i w:val="0"/>
          <w:sz w:val="20"/>
        </w:rPr>
        <w:t xml:space="preserve">[9] </w:t>
      </w:r>
      <w:r>
        <w:rPr>
          <w:rFonts w:ascii="Times New Roman" w:hAnsi="Times New Roman"/>
          <w:b w:val="0"/>
          <w:i w:val="0"/>
          <w:sz w:val="20"/>
        </w:rPr>
        <w:t>[[Add citation: store-and-forward / data delivery reliability in IoT.]]</w:t>
      </w:r>
    </w:p>
    <w:p>
      <w:pPr>
        <w:spacing w:after="60"/>
        <w:ind w:left="432" w:hanging="432"/>
      </w:pPr>
      <w:r>
        <w:rPr>
          <w:rFonts w:ascii="Times New Roman" w:hAnsi="Times New Roman"/>
          <w:b w:val="0"/>
          <w:i w:val="0"/>
          <w:sz w:val="20"/>
        </w:rPr>
        <w:t xml:space="preserve">[10] </w:t>
      </w:r>
      <w:r>
        <w:rPr>
          <w:rFonts w:ascii="Times New Roman" w:hAnsi="Times New Roman"/>
          <w:b w:val="0"/>
          <w:i w:val="0"/>
          <w:sz w:val="20"/>
        </w:rPr>
        <w:t>[[Add citation: Wireless Body Area Network (WBAN) / mHealth.]]</w:t>
      </w:r>
    </w:p>
    <w:p>
      <w:pPr>
        <w:spacing w:before="240"/>
      </w:pPr>
      <w:r>
        <w:rPr>
          <w:rFonts w:ascii="Times New Roman" w:hAnsi="Times New Roman"/>
          <w:b w:val="0"/>
          <w:i/>
          <w:color w:val="808080"/>
          <w:sz w:val="18"/>
        </w:rPr>
        <w:t>Note: this is a draft. Adapt it to the target SINTA-2 journal template (column format, citation style, page limit). Items marked [[...]] must be completed by the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