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Регламент консультаций по запросу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6F6557"/>
          <w:left w:val="single" w:sz="12" w:space="0" w:color="6F6557"/>
          <w:bottom w:val="single" w:sz="12" w:space="0" w:color="6F6557"/>
          <w:right w:val="single" w:sz="12" w:space="0" w:color="6F6557"/>
        </w:tblBorders>
      </w:tblPr>
      <w:tblGrid>
        <w:gridCol w:w="8640"/>
      </w:tblGrid>
      <w:tr>
        <w:tc>
          <w:tcPr>
            <w:tcW w:type="dxa" w:w="8640"/>
            <w:shd w:val="clear" w:color="auto" w:fill="F4ECE2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t>Курс «Управляемая разработка с ИИ» (SDD), 8 недель, blended.</w:t>
              <w:br/>
              <w:t>Кому: студент (как пользоваться) + команда курса (как отвечать) + организация (нагрузка и границы).</w:t>
              <w:br/>
              <w:t xml:space="preserve">Принцип: консультация — </w:t>
            </w:r>
            <w:r>
              <w:rPr>
                <w:b/>
              </w:rPr>
              <w:t>поддерживающая роль</w:t>
            </w:r>
            <w:r>
              <w:t xml:space="preserve"> (scaffolding), не репетиторство и не аутсорс ДЗ.</w:t>
              <w:br/>
              <w:t>Дизайн-рамка: роли по Смысловой (4 типа), конструктивная согласованность — консультация всегда</w:t>
              <w:br/>
              <w:t>ведёт к образовательному результату недели, а не подменяет его.</w:t>
            </w:r>
          </w:p>
        </w:tc>
      </w:tr>
    </w:tbl>
    <w:p/>
    <w:p>
      <w:pPr>
        <w:pStyle w:val="Heading1"/>
      </w:pPr>
      <w:r>
        <w:t>1. Зачем и где место в курсе</w:t>
      </w:r>
    </w:p>
    <w:p>
      <w:r>
        <w:t>Консультации закрывают разрыв между групповым ритмом (воркшоп, чат) и индивидуальным затыком,</w:t>
        <w:br/>
        <w:t xml:space="preserve">который блокирует шаг сквозного проекта. Это </w:t>
      </w:r>
      <w:r>
        <w:rPr>
          <w:b/>
        </w:rPr>
        <w:t>формирующая поддержка</w:t>
      </w:r>
      <w:r>
        <w:t>: цель — вернуть студента</w:t>
        <w:br/>
        <w:t>в самостоятельное движение, а не решить задачу за него.</w:t>
      </w:r>
    </w:p>
    <w:p>
      <w:r>
        <w:t>Иерархия каналов помощи (студент идёт сверху вниз):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838"/>
        <w:gridCol w:w="2548"/>
        <w:gridCol w:w="3663"/>
        <w:gridCol w:w="2309"/>
      </w:tblGrid>
      <w:tr>
        <w:tc>
          <w:tcPr>
            <w:tcW w:type="dxa" w:w="838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Уровень</w:t>
            </w:r>
          </w:p>
        </w:tc>
        <w:tc>
          <w:tcPr>
            <w:tcW w:type="dxa" w:w="2549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Канал</w:t>
            </w:r>
          </w:p>
        </w:tc>
        <w:tc>
          <w:tcPr>
            <w:tcW w:type="dxa" w:w="3664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Что решает</w:t>
            </w:r>
          </w:p>
        </w:tc>
        <w:tc>
          <w:tcPr>
            <w:tcW w:type="dxa" w:w="2310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Срок</w:t>
            </w:r>
          </w:p>
        </w:tc>
      </w:tr>
      <w:tr>
        <w:tc>
          <w:tcPr>
            <w:tcW w:type="dxa" w:w="838"/>
          </w:tcPr>
          <w:p>
            <w:r/>
            <w:r>
              <w:t>1</w:t>
            </w:r>
          </w:p>
        </w:tc>
        <w:tc>
          <w:tcPr>
            <w:tcW w:type="dxa" w:w="2549"/>
          </w:tcPr>
          <w:p>
            <w:r/>
            <w:r>
              <w:t>Материалы недели + FAQ курса</w:t>
            </w:r>
          </w:p>
        </w:tc>
        <w:tc>
          <w:tcPr>
            <w:tcW w:type="dxa" w:w="3664"/>
          </w:tcPr>
          <w:p>
            <w:r/>
            <w:r>
              <w:t>типовые вопросы, уже отвеченные</w:t>
            </w:r>
          </w:p>
        </w:tc>
        <w:tc>
          <w:tcPr>
            <w:tcW w:type="dxa" w:w="2310"/>
          </w:tcPr>
          <w:p>
            <w:r/>
            <w:r>
              <w:t>сразу</w:t>
            </w:r>
          </w:p>
        </w:tc>
      </w:tr>
      <w:tr>
        <w:tc>
          <w:tcPr>
            <w:tcW w:type="dxa" w:w="838"/>
          </w:tcPr>
          <w:p>
            <w:r/>
            <w:r>
              <w:t>2</w:t>
            </w:r>
          </w:p>
        </w:tc>
        <w:tc>
          <w:tcPr>
            <w:tcW w:type="dxa" w:w="2549"/>
          </w:tcPr>
          <w:p>
            <w:r/>
            <w:r>
              <w:t>Общий чат потока</w:t>
            </w:r>
          </w:p>
        </w:tc>
        <w:tc>
          <w:tcPr>
            <w:tcW w:type="dxa" w:w="3664"/>
          </w:tcPr>
          <w:p>
            <w:r/>
            <w:r>
              <w:t>вопросы, полезные всем; быстрые затыки</w:t>
            </w:r>
          </w:p>
        </w:tc>
        <w:tc>
          <w:tcPr>
            <w:tcW w:type="dxa" w:w="2310"/>
          </w:tcPr>
          <w:p>
            <w:r/>
            <w:r>
              <w:t>ответ команды ≤ 24 ч (будни)</w:t>
            </w:r>
          </w:p>
        </w:tc>
      </w:tr>
      <w:tr>
        <w:tc>
          <w:tcPr>
            <w:tcW w:type="dxa" w:w="838"/>
          </w:tcPr>
          <w:p>
            <w:r/>
            <w:r>
              <w:t>3</w:t>
            </w:r>
          </w:p>
        </w:tc>
        <w:tc>
          <w:tcPr>
            <w:tcW w:type="dxa" w:w="2549"/>
          </w:tcPr>
          <w:p>
            <w:r/>
            <w:r>
              <w:t>Peer-пара (W5+) / peer-пинг (W7)</w:t>
            </w:r>
          </w:p>
        </w:tc>
        <w:tc>
          <w:tcPr>
            <w:tcW w:type="dxa" w:w="3664"/>
          </w:tcPr>
          <w:p>
            <w:r/>
            <w:r>
              <w:t>взаимное ревью, «посмотри свежим глазом»</w:t>
            </w:r>
          </w:p>
        </w:tc>
        <w:tc>
          <w:tcPr>
            <w:tcW w:type="dxa" w:w="2310"/>
          </w:tcPr>
          <w:p>
            <w:r/>
            <w:r>
              <w:t>по договорённости пары</w:t>
            </w:r>
          </w:p>
        </w:tc>
      </w:tr>
      <w:tr>
        <w:tc>
          <w:tcPr>
            <w:tcW w:type="dxa" w:w="838"/>
          </w:tcPr>
          <w:p>
            <w:r/>
            <w:r>
              <w:t>4</w:t>
            </w:r>
          </w:p>
        </w:tc>
        <w:tc>
          <w:tcPr>
            <w:tcW w:type="dxa" w:w="2549"/>
          </w:tcPr>
          <w:p>
            <w:r/>
            <w:r>
              <w:rPr>
                <w:b/>
              </w:rPr>
              <w:t>Консультация по запросу</w:t>
            </w:r>
          </w:p>
        </w:tc>
        <w:tc>
          <w:tcPr>
            <w:tcW w:type="dxa" w:w="3664"/>
          </w:tcPr>
          <w:p>
            <w:r/>
            <w:r>
              <w:t>индивидуальный блокер, не решённый уровнями 1–3</w:t>
            </w:r>
          </w:p>
        </w:tc>
        <w:tc>
          <w:tcPr>
            <w:tcW w:type="dxa" w:w="2310"/>
          </w:tcPr>
          <w:p>
            <w:r/>
            <w:r>
              <w:t>слот в течение 2 рабочих дней</w:t>
            </w:r>
          </w:p>
        </w:tc>
      </w:tr>
    </w:tbl>
    <w:p>
      <w:r>
        <w:t>Консультация — уровень 4, не уровень 1. Куратор вправе вернуть запрос на уровень ниже</w:t>
        <w:br/>
        <w:t>с указанием, где ответ (это нормальная практика, не отказ).</w:t>
      </w:r>
    </w:p>
    <w:p>
      <w:pPr>
        <w:pStyle w:val="Heading1"/>
      </w:pPr>
      <w:r>
        <w:t>2. Форматы и лимиты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472"/>
        <w:gridCol w:w="1132"/>
        <w:gridCol w:w="3019"/>
        <w:gridCol w:w="1736"/>
      </w:tblGrid>
      <w:tr>
        <w:tc>
          <w:tcPr>
            <w:tcW w:type="dxa" w:w="3472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Формат</w:t>
            </w:r>
          </w:p>
        </w:tc>
        <w:tc>
          <w:tcPr>
            <w:tcW w:type="dxa" w:w="1132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Длительность</w:t>
            </w:r>
          </w:p>
        </w:tc>
        <w:tc>
          <w:tcPr>
            <w:tcW w:type="dxa" w:w="3019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Лимит на студента</w:t>
            </w:r>
          </w:p>
        </w:tc>
        <w:tc>
          <w:tcPr>
            <w:tcW w:type="dxa" w:w="1736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Кто ведёт</w:t>
            </w:r>
          </w:p>
        </w:tc>
      </w:tr>
      <w:tr>
        <w:tc>
          <w:tcPr>
            <w:tcW w:type="dxa" w:w="3472"/>
          </w:tcPr>
          <w:p>
            <w:r/>
            <w:r>
              <w:t>Асинхронный разбор (вопрос + артефакт → письменный ответ/луп-видео)</w:t>
            </w:r>
          </w:p>
        </w:tc>
        <w:tc>
          <w:tcPr>
            <w:tcW w:type="dxa" w:w="1132"/>
          </w:tcPr>
          <w:p>
            <w:r/>
            <w:r>
              <w:t>ответ до 15 мин</w:t>
            </w:r>
          </w:p>
        </w:tc>
        <w:tc>
          <w:tcPr>
            <w:tcW w:type="dxa" w:w="3019"/>
          </w:tcPr>
          <w:p>
            <w:r/>
            <w:r>
              <w:t>без жёсткого лимита, fair use</w:t>
            </w:r>
          </w:p>
        </w:tc>
        <w:tc>
          <w:tcPr>
            <w:tcW w:type="dxa" w:w="1736"/>
          </w:tcPr>
          <w:p>
            <w:r/>
            <w:r>
              <w:t>фасилитатор</w:t>
            </w:r>
          </w:p>
        </w:tc>
      </w:tr>
      <w:tr>
        <w:tc>
          <w:tcPr>
            <w:tcW w:type="dxa" w:w="3472"/>
          </w:tcPr>
          <w:p>
            <w:r/>
            <w:r>
              <w:t>1:1 видеосозвон</w:t>
            </w:r>
          </w:p>
        </w:tc>
        <w:tc>
          <w:tcPr>
            <w:tcW w:type="dxa" w:w="1132"/>
          </w:tcPr>
          <w:p>
            <w:r/>
            <w:r>
              <w:t>30 мин</w:t>
            </w:r>
          </w:p>
        </w:tc>
        <w:tc>
          <w:tcPr>
            <w:tcW w:type="dxa" w:w="3019"/>
          </w:tcPr>
          <w:p>
            <w:r/>
            <w:r>
              <w:rPr>
                <w:b/>
              </w:rPr>
              <w:t>2 слота за курс</w:t>
            </w:r>
            <w:r>
              <w:t xml:space="preserve"> (+1 по решению куратора)</w:t>
            </w:r>
          </w:p>
        </w:tc>
        <w:tc>
          <w:tcPr>
            <w:tcW w:type="dxa" w:w="1736"/>
          </w:tcPr>
          <w:p>
            <w:r/>
            <w:r>
              <w:t>фасилитатор или эксперт</w:t>
            </w:r>
          </w:p>
        </w:tc>
      </w:tr>
      <w:tr>
        <w:tc>
          <w:tcPr>
            <w:tcW w:type="dxa" w:w="3472"/>
          </w:tcPr>
          <w:p>
            <w:r/>
            <w:r>
              <w:t>Групповые часы приёма (опционально, если потоку нужно)</w:t>
            </w:r>
          </w:p>
        </w:tc>
        <w:tc>
          <w:tcPr>
            <w:tcW w:type="dxa" w:w="1132"/>
          </w:tcPr>
          <w:p>
            <w:r/>
            <w:r>
              <w:t>60 мин</w:t>
            </w:r>
          </w:p>
        </w:tc>
        <w:tc>
          <w:tcPr>
            <w:tcW w:type="dxa" w:w="3019"/>
          </w:tcPr>
          <w:p>
            <w:r/>
            <w:r>
              <w:t>открыт всем</w:t>
            </w:r>
          </w:p>
        </w:tc>
        <w:tc>
          <w:tcPr>
            <w:tcW w:type="dxa" w:w="1736"/>
          </w:tcPr>
          <w:p>
            <w:r/>
            <w:r>
              <w:t>эксперт</w:t>
            </w:r>
          </w:p>
        </w:tc>
      </w:tr>
    </w:tbl>
    <w:p>
      <w:r>
        <w:t>Правила слотов:</w:t>
        <w:br/>
        <w:t>- Бронь через куратора/календарь не позднее чем за 24 ч; отмена не позднее чем за 4 ч.</w:t>
        <w:br/>
        <w:t xml:space="preserve">- </w:t>
      </w:r>
      <w:r>
        <w:rPr>
          <w:b/>
        </w:rPr>
        <w:t>Неявка без отмены = слот сгорает.</w:t>
      </w:r>
      <w:r>
        <w:t xml:space="preserve"> Перенос по уважительной причине — слот сохраняется.</w:t>
        <w:br/>
        <w:t>- Неиспользованные слоты не переносятся на другие потоки и не компенсируются.</w:t>
        <w:br/>
        <w:t>- Слоты в рабочие дни, в объявленные окна команды (фиксируются на старте потока).</w:t>
        <w:br/>
        <w:t>- Дефолтный маршрут — асинхронный разбор. Созвон — когда проблема не формулируется текстом</w:t>
        <w:br/>
        <w:t xml:space="preserve">  (живой дебаг сессии с агентом, разбор архитектуры проекта).</w:t>
      </w:r>
    </w:p>
    <w:p>
      <w:r>
        <w:t>Бюджет для организации: при потоке N студентов закладывать ≤ 2×30 мин синхронных консультаций</w:t>
        <w:br/>
        <w:t>на студента + ~15 мин асинхронных ответов на студента в неделю на команду. Пики ожидаемо</w:t>
        <w:br/>
        <w:t>приходятся на W2 (яма #1: первая спека) и W7 (яма #2: легаси) — в эти недели резервировать</w:t>
        <w:br/>
        <w:t>больше окон.</w:t>
      </w:r>
    </w:p>
    <w:p>
      <w:pPr>
        <w:pStyle w:val="Heading1"/>
      </w:pPr>
      <w:r>
        <w:t>3. Что в рамках (на это отвечаем)</w:t>
      </w:r>
    </w:p>
    <w:p>
      <w:pPr>
        <w:pStyle w:val="ListBullet"/>
      </w:pPr>
      <w:r>
        <w:t>Материалы и задания курса: непонятный концепт, критерии ДЗ, рубрика защиты.</w:t>
      </w:r>
    </w:p>
    <w:p>
      <w:pPr>
        <w:pStyle w:val="ListBullet"/>
      </w:pPr>
      <w:r>
        <w:rPr>
          <w:b/>
        </w:rPr>
        <w:t>Сквозной проект курса</w:t>
      </w:r>
      <w:r>
        <w:t>: спека, контекст-файл, план агенту, ревью PR, тесты, CI, легаси-ДЗ.</w:t>
      </w:r>
    </w:p>
    <w:p>
      <w:pPr>
        <w:pStyle w:val="ListBullet"/>
      </w:pPr>
      <w:r>
        <w:t xml:space="preserve">Затыки окружения, </w:t>
      </w:r>
      <w:r>
        <w:rPr>
          <w:b/>
        </w:rPr>
        <w:t>если</w:t>
      </w:r>
      <w:r>
        <w:t xml:space="preserve"> pre-work чек-лист пройден и приложен лог/скрин ошибки.</w:t>
      </w:r>
    </w:p>
    <w:p>
      <w:pPr>
        <w:pStyle w:val="ListBullet"/>
      </w:pPr>
      <w:r>
        <w:t>Разбор сессии с агентом: где случился drift, как скорректировать (по словарю типов дрейфа W4).</w:t>
      </w:r>
    </w:p>
    <w:p>
      <w:pPr>
        <w:pStyle w:val="ListBullet"/>
      </w:pPr>
      <w:r>
        <w:t>Корректировка траектории после чекпоинта середины курса (W5–6, со светофором «красный/жёлтый»).</w:t>
      </w:r>
    </w:p>
    <w:p>
      <w:pPr>
        <w:pStyle w:val="ListBullet"/>
      </w:pPr>
      <w:r>
        <w:t>Перенос на свою практику в общем виде: «как применить подход X к задаче типа Y».</w:t>
      </w:r>
    </w:p>
    <w:p>
      <w:pPr>
        <w:pStyle w:val="Heading1"/>
      </w:pPr>
      <w:r>
        <w:t>4. Что вне рамок (на это не отвечаем — и почему)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Запрос</w:t>
            </w:r>
          </w:p>
        </w:tc>
        <w:tc>
          <w:tcPr>
            <w:tcW w:type="dxa" w:w="3120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Почему нет</w:t>
            </w:r>
          </w:p>
        </w:tc>
        <w:tc>
          <w:tcPr>
            <w:tcW w:type="dxa" w:w="3120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Куда вместо</w:t>
            </w:r>
          </w:p>
        </w:tc>
      </w:tr>
      <w:tr>
        <w:tc>
          <w:tcPr>
            <w:tcW w:type="dxa" w:w="3120"/>
          </w:tcPr>
          <w:p>
            <w:r/>
            <w:r>
              <w:t>«Сделайте/допишите за меня ДЗ, спеку, тесты»</w:t>
            </w:r>
          </w:p>
        </w:tc>
        <w:tc>
          <w:tcPr>
            <w:tcW w:type="dxa" w:w="3120"/>
          </w:tcPr>
          <w:p>
            <w:r/>
            <w:r>
              <w:t>подменяет образовательный результат; защита W8 проверяет самостоятельное владение</w:t>
            </w:r>
          </w:p>
        </w:tc>
        <w:tc>
          <w:tcPr>
            <w:tcW w:type="dxa" w:w="3120"/>
          </w:tcPr>
          <w:p>
            <w:r/>
            <w:r>
              <w:t>направляющие вопросы на консультации</w:t>
            </w:r>
          </w:p>
        </w:tc>
      </w:tr>
      <w:tr>
        <w:tc>
          <w:tcPr>
            <w:tcW w:type="dxa" w:w="3120"/>
          </w:tcPr>
          <w:p>
            <w:r/>
            <w:r>
              <w:t>Рабочий проект студента (код работодателя, NDA)</w:t>
            </w:r>
          </w:p>
        </w:tc>
        <w:tc>
          <w:tcPr>
            <w:tcW w:type="dxa" w:w="3120"/>
          </w:tcPr>
          <w:p>
            <w:r/>
            <w:r>
              <w:t>юридический риск для студента и организации; консультант не видит контекста</w:t>
            </w:r>
          </w:p>
        </w:tc>
        <w:tc>
          <w:tcPr>
            <w:tcW w:type="dxa" w:w="3120"/>
          </w:tcPr>
          <w:p>
            <w:r/>
            <w:r>
              <w:t>обсуждаем только обезличенный паттерн задачи</w:t>
            </w:r>
          </w:p>
        </w:tc>
      </w:tr>
      <w:tr>
        <w:tc>
          <w:tcPr>
            <w:tcW w:type="dxa" w:w="3120"/>
          </w:tcPr>
          <w:p>
            <w:r/>
            <w:r>
              <w:t>Сравнение/выбор платных тарифов и инструментов вне стека курса</w:t>
            </w:r>
          </w:p>
        </w:tc>
        <w:tc>
          <w:tcPr>
            <w:tcW w:type="dxa" w:w="3120"/>
          </w:tcPr>
          <w:p>
            <w:r/>
            <w:r>
              <w:t>вне программы; устаревает быстрее курса</w:t>
            </w:r>
          </w:p>
        </w:tc>
        <w:tc>
          <w:tcPr>
            <w:tcW w:type="dxa" w:w="3120"/>
          </w:tcPr>
          <w:p>
            <w:r/>
            <w:r>
              <w:t>общий чат, мнение без гарантий</w:t>
            </w:r>
          </w:p>
        </w:tc>
      </w:tr>
      <w:tr>
        <w:tc>
          <w:tcPr>
            <w:tcW w:type="dxa" w:w="3120"/>
          </w:tcPr>
          <w:p>
            <w:r/>
            <w:r>
              <w:t>Карьерные консультации, резюме, собеседования</w:t>
            </w:r>
          </w:p>
        </w:tc>
        <w:tc>
          <w:tcPr>
            <w:tcW w:type="dxa" w:w="3120"/>
          </w:tcPr>
          <w:p>
            <w:r/>
            <w:r>
              <w:t>другой продукт; экспертиза команды — SDD</w:t>
            </w:r>
          </w:p>
        </w:tc>
        <w:tc>
          <w:tcPr>
            <w:tcW w:type="dxa" w:w="3120"/>
          </w:tcPr>
          <w:p>
            <w:r/>
            <w:r>
              <w:t>внешние ресурсы / отдельные продукты организации</w:t>
            </w:r>
          </w:p>
        </w:tc>
      </w:tr>
      <w:tr>
        <w:tc>
          <w:tcPr>
            <w:tcW w:type="dxa" w:w="3120"/>
          </w:tcPr>
          <w:p>
            <w:r/>
            <w:r>
              <w:t>Бесконечный дебаг локального окружения (не пройден pre-work)</w:t>
            </w:r>
          </w:p>
        </w:tc>
        <w:tc>
          <w:tcPr>
            <w:tcW w:type="dxa" w:w="3120"/>
          </w:tcPr>
          <w:p>
            <w:r/>
            <w:r>
              <w:t>съедает бюджет поддержки; pre-work обязателен</w:t>
            </w:r>
          </w:p>
        </w:tc>
        <w:tc>
          <w:tcPr>
            <w:tcW w:type="dxa" w:w="3120"/>
          </w:tcPr>
          <w:p>
            <w:r/>
            <w:r>
              <w:t>pre-work чек-лист, затем уровень 2</w:t>
            </w:r>
          </w:p>
        </w:tc>
      </w:tr>
      <w:tr>
        <w:tc>
          <w:tcPr>
            <w:tcW w:type="dxa" w:w="3120"/>
          </w:tcPr>
          <w:p>
            <w:r/>
            <w:r>
              <w:t>Юридические, лицензионные, security-аудиторские заключения</w:t>
            </w:r>
          </w:p>
        </w:tc>
        <w:tc>
          <w:tcPr>
            <w:tcW w:type="dxa" w:w="3120"/>
          </w:tcPr>
          <w:p>
            <w:r/>
            <w:r>
              <w:t>требует профильной ответственности, консультант не несёт её</w:t>
            </w:r>
          </w:p>
        </w:tc>
        <w:tc>
          <w:tcPr>
            <w:tcW w:type="dxa" w:w="3120"/>
          </w:tcPr>
          <w:p>
            <w:r/>
            <w:r>
              <w:t>дисклеймер + внешний специалист</w:t>
            </w:r>
          </w:p>
        </w:tc>
      </w:tr>
      <w:tr>
        <w:tc>
          <w:tcPr>
            <w:tcW w:type="dxa" w:w="3120"/>
          </w:tcPr>
          <w:p>
            <w:r/>
            <w:r>
              <w:t>Вопросы после окончания доступа к курсу</w:t>
            </w:r>
          </w:p>
        </w:tc>
        <w:tc>
          <w:tcPr>
            <w:tcW w:type="dxa" w:w="3120"/>
          </w:tcPr>
          <w:p>
            <w:r/>
            <w:r>
              <w:t>границы продукта</w:t>
            </w:r>
          </w:p>
        </w:tc>
        <w:tc>
          <w:tcPr>
            <w:tcW w:type="dxa" w:w="3120"/>
          </w:tcPr>
          <w:p>
            <w:r/>
            <w:r>
              <w:t>условия доступа потока</w:t>
            </w:r>
          </w:p>
        </w:tc>
      </w:tr>
    </w:tbl>
    <w:p>
      <w:r>
        <w:t>Формула отказа для команды: назвать причину + дать маршрут («это вне рамок консультаций,</w:t>
        <w:br/>
        <w:t>потому что …; вот где это можно решить»). Отказ без маршрута не допускается.</w:t>
      </w:r>
    </w:p>
    <w:p>
      <w:pPr>
        <w:pStyle w:val="Heading1"/>
      </w:pPr>
      <w:r>
        <w:t>5. Как студент готовит запрос (шаблон — обязателен)</w:t>
      </w:r>
    </w:p>
    <w:p>
      <w:r>
        <w:t>Запрос без шаблона куратор возвращает на доработку, таймер SLA не стартует.</w:t>
      </w:r>
    </w:p>
    <w:p>
      <w:r>
        <w:rPr>
          <w:rFonts w:ascii="Consolas" w:hAnsi="Consolas"/>
          <w:sz w:val="18"/>
        </w:rPr>
        <w:t>Неделя/урок:  (например, W2, ДЗ 2.4)</w:t>
        <w:br/>
        <w:t>Цель:         что пытаюсь получить (1–2 предложения)</w:t>
        <w:br/>
        <w:t>Что сделал:   шаги + какие материалы курса уже применил</w:t>
        <w:br/>
        <w:t>Что получил:  факт. ошибка/лог/скрин/ссылка на PR или сессию с агентом</w:t>
        <w:br/>
        <w:t>Что ожидал:   чем результат отличается от ожидания</w:t>
        <w:br/>
        <w:t>Вопрос:       один конкретный вопрос (не «посмотрите всё»)</w:t>
        <w:br/>
      </w:r>
    </w:p>
    <w:p>
      <w:r>
        <w:t>Зачем так жёстко: половина затыков решается при заполнении шаблона (rubber duck),</w:t>
        <w:br/>
        <w:t>а консультант тратит слот на помощь, а не на восстановление контекста.</w:t>
      </w:r>
    </w:p>
    <w:p>
      <w:pPr>
        <w:pStyle w:val="Heading1"/>
      </w:pPr>
      <w:r>
        <w:t>6. Как команда отвечает (стандарт ведения)</w:t>
      </w:r>
    </w:p>
    <w:p>
      <w:pPr>
        <w:pStyle w:val="ListBullet"/>
      </w:pPr>
      <w:r>
        <w:rPr>
          <w:b/>
        </w:rPr>
        <w:t>Помогаем думать, не думаем вместо.</w:t>
      </w:r>
      <w:r>
        <w:t xml:space="preserve"> Лестница: наводящий вопрос → подсказка-направление →</w:t>
        <w:br/>
        <w:t xml:space="preserve">  worked example на </w:t>
      </w:r>
      <w:r>
        <w:rPr>
          <w:i/>
        </w:rPr>
        <w:t>аналогичной</w:t>
      </w:r>
      <w:r>
        <w:t xml:space="preserve"> задаче → совместный разбор. Прямое решение задачи студента —</w:t>
        <w:br/>
        <w:t xml:space="preserve">  только если первые три ступени исчерпаны и блокер критичен для дедлайна недели.</w:t>
      </w:r>
    </w:p>
    <w:p>
      <w:pPr>
        <w:pStyle w:val="ListBullet"/>
      </w:pPr>
      <w:r>
        <w:t xml:space="preserve">Каждая консультация заканчивается </w:t>
      </w:r>
      <w:r>
        <w:rPr>
          <w:b/>
        </w:rPr>
        <w:t>next step студента</w:t>
      </w:r>
      <w:r>
        <w:t xml:space="preserve"> (1–3 действия, записаны в чат/резюме).</w:t>
      </w:r>
    </w:p>
    <w:p>
      <w:pPr>
        <w:pStyle w:val="ListBullet"/>
      </w:pPr>
      <w:r>
        <w:t>Консультант не пишет код в репозиторий студента и не запускает агента от его имени.</w:t>
      </w:r>
    </w:p>
    <w:p>
      <w:pPr>
        <w:pStyle w:val="ListBullet"/>
      </w:pPr>
      <w:r>
        <w:t>Если вопрос всплыл ≥ 2 раз у разных студентов — фасилитатор выносит обезличенный разбор</w:t>
        <w:br/>
        <w:t xml:space="preserve">  в FAQ/чат потока (индивидуальная помощь масштабируется в групповую).</w:t>
      </w:r>
    </w:p>
    <w:p>
      <w:pPr>
        <w:pStyle w:val="ListBullet"/>
      </w:pPr>
      <w:r>
        <w:t>Эскалация: фасилитатор не знает ответ → эксперт (асинхронно, до 2 рабочих дней);</w:t>
        <w:br/>
        <w:t xml:space="preserve">  конфликт/границы/исключения по лимитам → куратор.</w:t>
      </w:r>
    </w:p>
    <w:p>
      <w:pPr>
        <w:pStyle w:val="ListBullet"/>
      </w:pPr>
      <w:r>
        <w:t>Конфиденциальность: артефакты студента не публикуются без согласия; для FAQ — только</w:t>
        <w:br/>
        <w:t xml:space="preserve">  обезличенные версии.</w:t>
      </w:r>
    </w:p>
    <w:p>
      <w:pPr>
        <w:pStyle w:val="Heading1"/>
      </w:pPr>
      <w:r>
        <w:t>7. Роли и зоны ответственности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449"/>
        <w:gridCol w:w="4023"/>
        <w:gridCol w:w="2886"/>
      </w:tblGrid>
      <w:tr>
        <w:tc>
          <w:tcPr>
            <w:tcW w:type="dxa" w:w="2449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Роль</w:t>
            </w:r>
          </w:p>
        </w:tc>
        <w:tc>
          <w:tcPr>
            <w:tcW w:type="dxa" w:w="4024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В консультациях отвечает за</w:t>
            </w:r>
          </w:p>
        </w:tc>
        <w:tc>
          <w:tcPr>
            <w:tcW w:type="dxa" w:w="2887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Не отвечает за</w:t>
            </w:r>
          </w:p>
        </w:tc>
      </w:tr>
      <w:tr>
        <w:tc>
          <w:tcPr>
            <w:tcW w:type="dxa" w:w="2449"/>
          </w:tcPr>
          <w:p>
            <w:r/>
            <w:r>
              <w:t>Куратор (координационная)</w:t>
            </w:r>
          </w:p>
        </w:tc>
        <w:tc>
          <w:tcPr>
            <w:tcW w:type="dxa" w:w="4024"/>
          </w:tcPr>
          <w:p>
            <w:r/>
            <w:r>
              <w:t>приём запросов, маршрутизация, календарь, лимиты, no-show</w:t>
            </w:r>
          </w:p>
        </w:tc>
        <w:tc>
          <w:tcPr>
            <w:tcW w:type="dxa" w:w="2887"/>
          </w:tcPr>
          <w:p>
            <w:r/>
            <w:r>
              <w:t>содержание ответов</w:t>
            </w:r>
          </w:p>
        </w:tc>
      </w:tr>
      <w:tr>
        <w:tc>
          <w:tcPr>
            <w:tcW w:type="dxa" w:w="2449"/>
          </w:tcPr>
          <w:p>
            <w:r/>
            <w:r>
              <w:t>Фасилитатор (поддерживающая)</w:t>
            </w:r>
          </w:p>
        </w:tc>
        <w:tc>
          <w:tcPr>
            <w:tcW w:type="dxa" w:w="4024"/>
          </w:tcPr>
          <w:p>
            <w:r/>
            <w:r>
              <w:t>первая линия: асинхронные разборы, 1:1 по материалам и ДЗ</w:t>
            </w:r>
          </w:p>
        </w:tc>
        <w:tc>
          <w:tcPr>
            <w:tcW w:type="dxa" w:w="2887"/>
          </w:tcPr>
          <w:p>
            <w:r/>
            <w:r>
              <w:t>глубокую экспертизу вне программы</w:t>
            </w:r>
          </w:p>
        </w:tc>
      </w:tr>
      <w:tr>
        <w:tc>
          <w:tcPr>
            <w:tcW w:type="dxa" w:w="2449"/>
          </w:tcPr>
          <w:p>
            <w:r/>
            <w:r>
              <w:t>Эксперт/SME (экспертная)</w:t>
            </w:r>
          </w:p>
        </w:tc>
        <w:tc>
          <w:tcPr>
            <w:tcW w:type="dxa" w:w="4024"/>
          </w:tcPr>
          <w:p>
            <w:r/>
            <w:r>
              <w:t>вторая линия: сложные кейсы, office hours, архитектурные вопросы проекта</w:t>
            </w:r>
          </w:p>
        </w:tc>
        <w:tc>
          <w:tcPr>
            <w:tcW w:type="dxa" w:w="2887"/>
          </w:tcPr>
          <w:p>
            <w:r/>
            <w:r>
              <w:t>административные вопросы</w:t>
            </w:r>
          </w:p>
        </w:tc>
      </w:tr>
      <w:tr>
        <w:tc>
          <w:tcPr>
            <w:tcW w:type="dxa" w:w="2449"/>
          </w:tcPr>
          <w:p>
            <w:r/>
            <w:r>
              <w:t>Ментор (развивающая)</w:t>
            </w:r>
          </w:p>
        </w:tc>
        <w:tc>
          <w:tcPr>
            <w:tcW w:type="dxa" w:w="4024"/>
          </w:tcPr>
          <w:p>
            <w:r/>
            <w:r>
              <w:t>траектория после чекпоинта W5–6, мотивационные затыки</w:t>
            </w:r>
          </w:p>
        </w:tc>
        <w:tc>
          <w:tcPr>
            <w:tcW w:type="dxa" w:w="2887"/>
          </w:tcPr>
          <w:p>
            <w:r/>
            <w:r>
              <w:t>технический дебаг</w:t>
            </w:r>
          </w:p>
        </w:tc>
      </w:tr>
    </w:tbl>
    <w:p>
      <w:r>
        <w:t>Один человек может совмещать роли в малом потоке, но маршрут запроса (куратор → фасилитатор →</w:t>
        <w:br/>
        <w:t>эксперт) сохраняется, чтобы лимиты и учёт работали.</w:t>
      </w:r>
    </w:p>
    <w:p>
      <w:pPr>
        <w:pStyle w:val="Heading1"/>
      </w:pPr>
      <w:r>
        <w:t>8. Учёт и цикл улучшения</w:t>
      </w:r>
    </w:p>
    <w:p>
      <w:pPr>
        <w:pStyle w:val="ListBullet"/>
      </w:pPr>
      <w:r>
        <w:t>Куратор ведёт журнал: дата, студент, неделя, тема (тег по модулю M1–M8), формат, время, итог.</w:t>
      </w:r>
    </w:p>
    <w:p>
      <w:pPr>
        <w:pStyle w:val="ListBullet"/>
      </w:pPr>
      <w:r>
        <w:t>Раз в 2 недели — мини-ревью журнала: какие темы повторяются → что чинить в материалах</w:t>
        <w:br/>
        <w:t xml:space="preserve">  (повторяющийся вопрос по консультациям = дыра в асинхронном уроке, а не повод расширять консультации).</w:t>
      </w:r>
    </w:p>
    <w:p>
      <w:pPr>
        <w:pStyle w:val="ListBullet"/>
      </w:pPr>
      <w:r>
        <w:t>Сводка по потоку после W8 — вход в ретроспективу курса (вместе с рефлексиями x.5 и SJM).</w:t>
      </w:r>
    </w:p>
    <w:p>
      <w:pPr>
        <w:pStyle w:val="Heading1"/>
      </w:pPr>
      <w:r>
        <w:t>9. Коммуникация студентам (текст для онбординга, готовый блок)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6F6557"/>
          <w:left w:val="single" w:sz="12" w:space="0" w:color="6F6557"/>
          <w:bottom w:val="single" w:sz="12" w:space="0" w:color="6F6557"/>
          <w:right w:val="single" w:sz="12" w:space="0" w:color="6F6557"/>
        </w:tblBorders>
      </w:tblPr>
      <w:tblGrid>
        <w:gridCol w:w="8640"/>
      </w:tblGrid>
      <w:tr>
        <w:tc>
          <w:tcPr>
            <w:tcW w:type="dxa" w:w="8640"/>
            <w:shd w:val="clear" w:color="auto" w:fill="F4ECE2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t>На курсе есть консультации по запросу. Это не «вторая линия лекций», а точечная помощь,</w:t>
              <w:br/>
              <w:t>когда вы застряли и уровни «материалы → чат → peer» не помогли.</w:t>
              <w:br/>
              <w:t xml:space="preserve">У вас есть: асинхронные разборы (ответ в рабочие дни в течение 24 ч) и </w:t>
            </w:r>
            <w:r>
              <w:rPr>
                <w:b/>
              </w:rPr>
              <w:t>2 видеосозвона</w:t>
              <w:br/>
              <w:t>по 30 минут за курс</w:t>
            </w:r>
            <w:r>
              <w:t>. Запрос подаётся по шаблону (см. §5) через куратора.</w:t>
              <w:br/>
              <w:t>Мы помогаем разблокироваться и подсказываем направление, но не делаем задания за вас —</w:t>
              <w:br/>
              <w:t>на защите в W8 важно именно ваше владение циклом.</w:t>
              <w:br/>
              <w:t>Вне консультаций: ваши рабочие проекты под NDA, карьерные вопросы, задачи вне программы.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ontserrat" w:hAnsi="Montserrat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ontserrat" w:hAnsi="Montserrat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ontserrat" w:hAnsi="Montserrat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ontserrat" w:hAnsi="Montserrat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ontserrat" w:hAnsi="Montserrat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ontserrat" w:hAnsi="Montserrat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ontserrat" w:hAnsi="Montserrat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Montserrat" w:hAnsi="Montserrat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Montserrat" w:hAnsi="Montserrat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ontserrat" w:hAnsi="Montserrat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Montserrat" w:hAnsi="Montserrat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