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Controlled information-preservation diagnostics for ultra-short DNA read representations</w:t>
      </w:r>
    </w:p>
    <w:p>
      <w:pPr>
        <w:jc w:val="center"/>
      </w:pPr>
      <w:r>
        <w:rPr>
          <w:rFonts w:ascii="Arial" w:hAnsi="Arial"/>
          <w:i/>
          <w:sz w:val="21"/>
        </w:rPr>
        <w:t>Canonical k-mers preserve high-resolution identity evidence, whereas canonical spaced-property encoding provides compact perturbation-stable auxiliary evidence for mNGS-like reads</w:t>
      </w:r>
    </w:p>
    <w:p>
      <w:pPr>
        <w:jc w:val="center"/>
      </w:pPr>
      <w:r>
        <w:rPr>
          <w:rFonts w:ascii="Arial" w:hAnsi="Arial"/>
          <w:sz w:val="21"/>
        </w:rPr>
        <w:t>MEI ruixiang</w:t>
      </w:r>
    </w:p>
    <w:p/>
    <w:p>
      <w:pPr>
        <w:pStyle w:val="Heading1"/>
      </w:pPr>
      <w:r>
        <w:t>Abstract</w:t>
      </w:r>
    </w:p>
    <w:p>
      <w:r>
        <w:t>Clinical metagenomic next-generation sequencing (mNGS) often produces short or quality-trimmed reads, yet DNA representations are still commonly judged by downstream accuracy alone. This can obscure which information an encoding preserves before any classifier is trained. We present a controlled representation-diagnostics framework for ultra-short DNA reads and define canonical spaced-property encoding (CSP), a deterministic feature block that combines reverse-complement canonical spaced-seed counts with interpretable biochemical summaries. Across a close-relative WGS-slice grid spanning 69, 75, 100, 110, 125, 150 bp and a PE150 proxy, CSP was the top clean-perturbed stability representation in 42 of 42 length-by-perturbation settings. At 69 bp, CSP achieved mean paired cosine of 0.994 under 3% N masking and 0.988 under a 6-bp local mismatch, compared with 0.940 and 0.877 for canonical 5-mers. This advantage did not translate into universal species or resistance accuracy: canonical k-mers remained strong high-resolution identity baselines in close-relative and ARG/SNP probes. A dense context-visibility diagnostic further showed that apparent read-length thresholds depend on motif position, with motif-pair visibility emerging at 130, 140, 148 or 155 bp under different placements. Deterministic neural probes further showed that small CNN and tiny Transformer readouts were task-dependent rather than universally superior. These results support a bounded conclusion: short-read DNA pipelines should separate exact identity evidence from compact perturbation-stable auxiliary evidence, rather than ranking representations by a single accuracy number.</w:t>
      </w:r>
    </w:p>
    <w:p>
      <w:pPr>
        <w:pStyle w:val="Heading1"/>
      </w:pPr>
      <w:r>
        <w:t>Introduction</w:t>
      </w:r>
    </w:p>
    <w:p>
      <w:r>
        <w:t>Clinical mNGS has become an important route for pathogen detection because it can detect unexpected organisms without a fixed target panel (Wilson et al., 2014; Wilson et al., 2019; Chiu and Miller, 2019). The same clinical setting also creates difficult input conditions for computational analysis. Reads may be shortened by adapter and quality trimming, contain ambiguous bases, appear from either strand, or include background and low-biomass artifacts (Martin, 2011; Bolger et al., 2014; Salter et al., 2014). These constraints make the representation layer more than an engineering detail. Before a classifier, aligner or database index can succeed, the encoding has already decided which sequence properties remain available.</w:t>
      </w:r>
    </w:p>
    <w:p>
      <w:r>
        <w:t>Most mature metagenomic classifiers are built around exact or near-exact word evidence. Kraken, Kraken 2, CLARK, Centrifuge and Kaiju show the practical power of indexed k-mer, minimizer or translated-word matching at scale (Wood and Salzberg, 2014; Wood et al., 2019; Ounit et al., 2015; Kim et al., 2016; Menzel et al., 2016). CAMI benchmarks further show that apparent performance depends on novelty, taxonomic difficulty, abundance structure and database coverage (Sczyrba et al., 2017; Meyer et al., 2022). These observations argue against using a small local study as a clinical species-identification leaderboard. They also motivate a narrower and testable question: what information does each representation preserve under the short-read perturbations that clinical pipelines actually encounter?</w:t>
      </w:r>
    </w:p>
    <w:p>
      <w:r>
        <w:t>Deep learning has widened the representational vocabulary for DNA. Convolutional and recurrent models have been used to learn regulatory sequence specificity (Alipanahi et al., 2015; Zhou and Troyanskaya, 2015; Quang and Xie, 2016); read-level metagenomic neural classifiers include recurrent and attention-based models (Liang et al., 2020; Wichmann et al., 2023); and DNA foundation models now include k-mer token models, efficient multi-species pretraining, long-context models, reverse-complement-aware architectures and single-nucleotide generative models (Ji et al., 2021; Zhou et al., 2024; Dalla-Torre et al., 2025; Nguyen et al., 2023; Schiff et al., 2024; Fishman et al., 2025; Nguyen et al., 2024). However, a more expressive model cannot attend to information that is absent from the observed read. The short-read setting therefore requires diagnostics that separate model capacity from input information loss.</w:t>
      </w:r>
    </w:p>
    <w:p>
      <w:r>
        <w:t>Here we propose a controlled information-preservation study rather than a final clinical classifier. Our central claim is not that CSP replaces canonical k-mers. Instead, canonical k-mers provide high-resolution identity evidence, whereas CSP provides compact, strand-friendly and perturbation-stable auxiliary evidence. We evaluate this claim using WGS-derived close-relative reads, hospital-like 69/75 bp perturbation grids, CSP component ablation, k and spaced-pattern sensitivity, lightweight readout probes, deterministic neural compatibility probes, synthetic ARG/SNP boundary tasks and attention-style context-visibility diagnostics.</w:t>
      </w:r>
    </w:p>
    <w:p>
      <w:pPr>
        <w:pStyle w:val="Heading1"/>
      </w:pPr>
      <w:r>
        <w:t>Related Work</w:t>
      </w:r>
    </w:p>
    <w:p>
      <w:r>
        <w:t>Alignment-free sequence comparison treats word content as a proxy for sequence relatedness. k-mer counting, MinHash sketches and related methods provide efficient representations for genome comparison and metagenomic classification (Marcais and Kingsford, 2011; Ondov et al., 2016; Zielezinski et al., 2017). Canonical k-mers collapse a word and its reverse complement to the same index, which is useful for strand-ambiguous reads but can remove strand-specific signals. Spaced seeds, introduced for sensitive homology search and later applied to metagenomic classification, sample non-contiguous positions within a word and can improve tolerance to mismatches (Ma et al., 2002; Brinda et al., 2015).</w:t>
      </w:r>
    </w:p>
    <w:p>
      <w:r>
        <w:t>DNA can also be represented as a numerical signal. Shannon information theory provides a language for uncertainty and information loss (Shannon, 1948), while chaos game representation, genomic signal processing and EIIP-style mappings show that nucleotide sequences can be converted into compositional or physicochemical channels (Jeffrey, 1990; Voss, 1992; Anastassiou, 2001; Cristea, 2002; Nair and Sreenadhan, 2006). dna2vec similarly bridges discrete k-mers and continuous representations (Ng, 2017). CSP follows this tradition in a deliberately modest way: it adds interpretable biochemical summaries to canonical spaced counts instead of learning a new embedding from large corpora.</w:t>
      </w:r>
    </w:p>
    <w:p>
      <w:r>
        <w:t>Transformer models add the separate issue of token position and co-occurrence. Self-attention can connect all observed tokens (Vaswani et al., 2017), and rotary position embeddings provide a compact relative-position mechanism (Su et al., 2021). But attention cannot recover a motif that is outside the sequenced fragment. We therefore include an attention-context diagnostic that measures visibility of motif relations before attributing read-length effects to a particular neural architecture.</w:t>
      </w:r>
    </w:p>
    <w:p>
      <w:r>
        <w:t>ARG and antimicrobial-resistance analysis imposes stricter biological requirements than coarse taxonomic assignment. Resources and tools such as CARD, AMRFinderPlus, ResFinder and MEGARes/AMR++ encode curated gene families, protein-level evidence, mutation rules and resistome workflows (Alcock et al., 2023; Feldgarden et al., 2021; Bortolaia et al., 2020; Bonin et al., 2023). DeepARG illustrates the use of learned models for ARG prediction (Arango-Argoty et al., 2018). Our experiments do not claim clinical ARG calling. They test whether a compact property-aware block can preserve perturbed ARG-like signal and where exact sequence evidence remains indispensable.</w:t>
      </w:r>
    </w:p>
    <w:p>
      <w:pPr>
        <w:pStyle w:val="Heading1"/>
      </w:pPr>
      <w:r>
        <w:t>Terminology and Contribution</w:t>
      </w:r>
    </w:p>
    <w:p>
      <w:r>
        <w:t>We use one term consistently throughout the manuscript. **Canonical k-mer** denotes reverse-complement pooled contiguous k-mer counts. **Canonical spaced seed** denotes reverse-complement pooled counts of non-contiguous tokens. **CSP** denotes canonical spaced-property encoding, implemented in code as `cspaced_property_l2`. **Hybrid** denotes a concatenation of canonical k-mer counts and CSP followed by L2 normalization. **Perturbation stability** denotes similarity between a clean read and a mutated, N-masked, trimmed or locally mismatched version of the same read. It does not mean resistance to multi-species contamination.</w:t>
      </w:r>
    </w:p>
    <w:p>
      <w:r>
        <w:t>The contribution is therefore a representation-diagnostics framework, not a new end-to-end taxonomic classifier. The framework is designed to answer four questions: (i) which features remain stable when a short read is lightly perturbed, (ii) which priors inside CSP contribute to stability, (iii) whether identity-like readout probes favor the same representation, and (iv) when short reads structurally remove context that an attention model would need.</w:t>
      </w:r>
    </w:p>
    <w:p>
      <w:pPr>
        <w:pStyle w:val="Heading1"/>
      </w:pPr>
      <w:r>
        <w:t>Method</w:t>
      </w:r>
    </w:p>
    <w:p>
      <w:pPr>
        <w:pStyle w:val="Heading2"/>
      </w:pPr>
      <w:r>
        <w:t>Representation definitions</w:t>
      </w:r>
    </w:p>
    <w:p>
      <w:r>
        <w:t>Let a DNA read be \(x = x_1,\ldots,x_L\), with \(x_i \in \{A,C,G,T,N\}\). For a contiguous word \(w=x_i,\ldots,x_{i+k-1}\), ordinary k-mer counting stores \(c_w(x)\). The reverse-complement canonical operation maps a word and its reverse complement to one feature index,</w:t>
      </w:r>
    </w:p>
    <w:p>
      <w:r>
        <w:rPr>
          <w:rFonts w:ascii="Consolas" w:hAnsi="Consolas"/>
          <w:sz w:val="18"/>
        </w:rPr>
        <w:t>\[</w:t>
      </w:r>
    </w:p>
    <w:p>
      <w:r>
        <w:rPr>
          <w:rFonts w:ascii="Consolas" w:hAnsi="Consolas"/>
          <w:sz w:val="18"/>
        </w:rPr>
        <w:t>\operatorname{canon}(w)=\min_{\mathrm{lex}}(w,\operatorname{rc}(w)).</w:t>
      </w:r>
    </w:p>
    <w:p>
      <w:r>
        <w:rPr>
          <w:rFonts w:ascii="Consolas" w:hAnsi="Consolas"/>
          <w:sz w:val="18"/>
        </w:rPr>
        <w:t>\]</w:t>
      </w:r>
    </w:p>
    <w:p>
      <w:r>
        <w:t>For a spaced seed pattern \(P=(p_1,\ldots,p_m)\), the spaced token beginning at position \(i\) is</w:t>
      </w:r>
    </w:p>
    <w:p>
      <w:r>
        <w:rPr>
          <w:rFonts w:ascii="Consolas" w:hAnsi="Consolas"/>
          <w:sz w:val="18"/>
        </w:rPr>
        <w:t>\[</w:t>
      </w:r>
    </w:p>
    <w:p>
      <w:r>
        <w:t>s_{i,P}(x)=x_{i+p_1}\ldots x_{i+p_m}.</w:t>
      </w:r>
    </w:p>
    <w:p>
      <w:r>
        <w:rPr>
          <w:rFonts w:ascii="Consolas" w:hAnsi="Consolas"/>
          <w:sz w:val="18"/>
        </w:rPr>
        <w:t>\]</w:t>
      </w:r>
    </w:p>
    <w:p>
      <w:r>
        <w:t>The canonical spaced count vector is \(c_{\operatorname{canon}(s_{i,P})}(x)\). CSP uses the default pattern \(P=(0,2,4,6)\), then concatenates a low-dimensional property vector \(g(x)\). The property vector contains the mean and standard deviation of hydrogen-bond class, GC indicator, purine indicator and EIIP-like base values, plus N fraction, normalized length and Shannon entropy. The final representation is</w:t>
      </w:r>
    </w:p>
    <w:p>
      <w:r>
        <w:rPr>
          <w:rFonts w:ascii="Consolas" w:hAnsi="Consolas"/>
          <w:sz w:val="18"/>
        </w:rPr>
        <w:t>\[</w:t>
      </w:r>
    </w:p>
    <w:p>
      <w:r>
        <w:t>\phi_{\mathrm{CSP}}(x)=\operatorname{L2}\left([\operatorname{L2}(c_{\operatorname{canon-spaced}}(x)); g(x)]\right).</w:t>
      </w:r>
    </w:p>
    <w:p>
      <w:r>
        <w:rPr>
          <w:rFonts w:ascii="Consolas" w:hAnsi="Consolas"/>
          <w:sz w:val="18"/>
        </w:rPr>
        <w:t>\]</w:t>
      </w:r>
    </w:p>
    <w:p>
      <w:r>
        <w:t>Thus CSP is not a learned embedding. It is a deterministic auxiliary block that couples strand-canonical spaced evidence with interpretable biochemical summaries.</w:t>
      </w:r>
    </w:p>
    <w:p>
      <w:r>
        <w:t>Canonical 5-mer and 7-mer baselines were included as high-resolution identity features. Canonical spaced seeds were included as a compact mismatch-tolerant baseline. Hybrid features were constructed as L2-normalized concatenations of canonical k-mer counts and CSP. All vocabulary-dependent features were fitted on the training or clean subset defined by each experiment to avoid using perturbed test sequences to define the vocabulary.</w:t>
      </w:r>
    </w:p>
    <w:p>
      <w:pPr>
        <w:pStyle w:val="Heading2"/>
      </w:pPr>
      <w:r>
        <w:t>Datasets and perturbations</w:t>
      </w:r>
    </w:p>
    <w:p>
      <w:r>
        <w:t>The main stage-2 WGS panel contained 21 genomes from six close or clinically relevant genera: Acinetobacter, Burkholderia, Candida, Enterobacter, Escherichia and Klebsiella. Reads were generated at 69, 75, 100, 110, 125 and 150 bp, plus a PE150 proxy represented as a 300 bp paired-end-equivalent window. Each length contained 1,680 clean reads before perturbation. Perturbations were generated with fixed random seeds and included 1% substitution, 3% N masking, 5-bp trimming, combined 1% substitution plus 3% N masking, short indels and a 6-bp local mismatch block.</w:t>
      </w:r>
    </w:p>
    <w:p>
      <w:r>
        <w:t>The 69/75 bp analysis was treated as a hospital-like short-read setting because the user-facing project context emphasized 75 bp single-end reads and approximately 69 bp post-QC reads. This experiment measured whether a perturbed read stayed close to its clean counterpart, not whether a clinical sample with multiple organisms was classified correctly.</w:t>
      </w:r>
    </w:p>
    <w:p>
      <w:pPr>
        <w:pStyle w:val="Heading2"/>
      </w:pPr>
      <w:r>
        <w:t>Metrics and readout probes</w:t>
      </w:r>
    </w:p>
    <w:p>
      <w:r>
        <w:t>Perturbation stability was measured by paired clean-perturbed cosine similarity, paired L2 drift and nearest-clean retrieval. Compactness was measured by feature dimension and density. Readout probes used nearest centroid, logistic regression and a small scikit-learn MLP with fixed random seeds. These probes measured whether a signal could be extracted by simple models. They were not interpreted as clinical accuracy estimates.</w:t>
      </w:r>
    </w:p>
    <w:p>
      <w:r>
        <w:t>CSP ablation separated canonical spaced counts from property additions: hydrogen-bond class, GC indicator, purine indicator, EIIP-like values, N fraction, entropy and length. Parameter sensitivity swept canonical k-mer values from k=4 to k=9 and several spaced seed patterns. The attention-context diagnostic varied read length densely from 110 to 160 bp and moved a class-defining motif pair across positions 120, 130, 138 and 145. Synthetic ARG/SNP boundary probes tested ARG-family, ARG-allele and resistance-SNP style tasks under the same perturbation logic.</w:t>
      </w:r>
    </w:p>
    <w:p>
      <w:r>
        <w:t>The neural compatibility probe used PyTorch CPU with deterministic seeds and single-thread execution. It compared tabular MLP readouts for canonical 5-mer, CSP and hybrid vectors with 1D-CNN and one-layer tiny Transformer readouts over one-hot or property channels. The probe covered 69, 75, 100 and 150 bp reads, clean/N-masked/combined-perturbation conditions, target/background classification, global species stress classification and an Enterobacter within-genus species task. It was designed to test model-readability, not clinical accuracy.</w:t>
      </w:r>
    </w:p>
    <w:p>
      <w:pPr>
        <w:pStyle w:val="Heading1"/>
      </w:pPr>
      <w:r>
        <w:t>Results</w:t>
      </w:r>
    </w:p>
    <w:p>
      <w:pPr>
        <w:pStyle w:val="Heading2"/>
      </w:pPr>
      <w:r>
        <w:t>CSP had its clearest advantage in clean-perturbed stability</w:t>
      </w:r>
    </w:p>
    <w:p>
      <w:r>
        <w:t>Across the WGS-slice perturbation grid, CSP was the top representation by paired clean-perturbed cosine in all 42 length-by-perturbation settings. The advantage was largest in short and locally disrupted reads. At 69 bp with a 6-bp local mismatch, CSP reached mean paired cosine of 0.988 and mean L2 drift of 0.157, whereas canonical 5-mer reached 0.877 and 0.494. Under 3% N masking at 69 bp, CSP reached 0.994 paired cosine and 0.107 L2 drift, whereas canonical 5-mer reached 0.940 and 0.344. CSP also had far fewer features than canonical 7-mers, which used roughly 8,000 observed features in the 69/75 bp WGS grid.</w:t>
      </w:r>
    </w:p>
    <w:p>
      <w:r>
        <w:rPr>
          <w:i/>
          <w:sz w:val="18"/>
        </w:rPr>
        <w:t>Table omitted from the DOCX body for layout stability; the full table is available in the Markdown manuscript and stage-2 table files (20 rows, 10 columns).</w:t>
      </w:r>
    </w:p>
    <w:p>
      <w:pPr>
        <w:jc w:val="center"/>
      </w:pPr>
      <w:r>
        <w:drawing>
          <wp:inline xmlns:a="http://schemas.openxmlformats.org/drawingml/2006/main" xmlns:pic="http://schemas.openxmlformats.org/drawingml/2006/picture">
            <wp:extent cx="5760720" cy="3347351"/>
            <wp:docPr id="1" name="Picture 1"/>
            <wp:cNvGraphicFramePr>
              <a:graphicFrameLocks noChangeAspect="1"/>
            </wp:cNvGraphicFramePr>
            <a:graphic>
              <a:graphicData uri="http://schemas.openxmlformats.org/drawingml/2006/picture">
                <pic:pic>
                  <pic:nvPicPr>
                    <pic:cNvPr id="0" name="stage2_fig_stability_grid.png"/>
                    <pic:cNvPicPr/>
                  </pic:nvPicPr>
                  <pic:blipFill>
                    <a:blip r:embed="rId10"/>
                    <a:stretch>
                      <a:fillRect/>
                    </a:stretch>
                  </pic:blipFill>
                  <pic:spPr>
                    <a:xfrm>
                      <a:off x="0" y="0"/>
                      <a:ext cx="5760720" cy="3347351"/>
                    </a:xfrm>
                    <a:prstGeom prst="rect"/>
                  </pic:spPr>
                </pic:pic>
              </a:graphicData>
            </a:graphic>
          </wp:inline>
        </w:drawing>
      </w:r>
    </w:p>
    <w:p>
      <w:pPr>
        <w:jc w:val="center"/>
      </w:pPr>
      <w:r>
        <w:rPr>
          <w:i/>
          <w:sz w:val="18"/>
        </w:rPr>
        <w:t>Figure 1. Clean-perturbed feature stability across read length.</w:t>
      </w:r>
    </w:p>
    <w:p>
      <w:pPr>
        <w:jc w:val="center"/>
      </w:pPr>
      <w:r>
        <w:drawing>
          <wp:inline xmlns:a="http://schemas.openxmlformats.org/drawingml/2006/main" xmlns:pic="http://schemas.openxmlformats.org/drawingml/2006/picture">
            <wp:extent cx="5760720" cy="3217368"/>
            <wp:docPr id="2" name="Picture 2"/>
            <wp:cNvGraphicFramePr>
              <a:graphicFrameLocks noChangeAspect="1"/>
            </wp:cNvGraphicFramePr>
            <a:graphic>
              <a:graphicData uri="http://schemas.openxmlformats.org/drawingml/2006/picture">
                <pic:pic>
                  <pic:nvPicPr>
                    <pic:cNvPr id="0" name="stage2_fig_hospital_69_75_l2.png"/>
                    <pic:cNvPicPr/>
                  </pic:nvPicPr>
                  <pic:blipFill>
                    <a:blip r:embed="rId11"/>
                    <a:stretch>
                      <a:fillRect/>
                    </a:stretch>
                  </pic:blipFill>
                  <pic:spPr>
                    <a:xfrm>
                      <a:off x="0" y="0"/>
                      <a:ext cx="5760720" cy="3217368"/>
                    </a:xfrm>
                    <a:prstGeom prst="rect"/>
                  </pic:spPr>
                </pic:pic>
              </a:graphicData>
            </a:graphic>
          </wp:inline>
        </w:drawing>
      </w:r>
    </w:p>
    <w:p>
      <w:pPr>
        <w:jc w:val="center"/>
      </w:pPr>
      <w:r>
        <w:rPr>
          <w:i/>
          <w:sz w:val="18"/>
        </w:rPr>
        <w:t>Figure 2. Hospital-like 69/75 bp perturbation drift.</w:t>
      </w:r>
    </w:p>
    <w:p>
      <w:r>
        <w:t>The summary comparison confirmed that this was not a single-condition artifact. CSP exceeded canonical 5-mer, canonical 7-mer, canonical spaced seed and canonical 5-mer+CSP in paired-cosine stability in all matched comparisons.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E8EEF7"/>
          </w:tcPr>
          <w:p>
            <w:pPr>
              <w:jc w:val="center"/>
            </w:pPr>
            <w:r/>
            <w:r>
              <w:rPr>
                <w:b/>
                <w:sz w:val="16"/>
              </w:rPr>
              <w:t>Comparison</w:t>
            </w:r>
          </w:p>
        </w:tc>
        <w:tc>
          <w:tcPr>
            <w:tcW w:type="dxa" w:w="1632"/>
            <w:vAlign w:val="center"/>
            <w:shd w:fill="E8EEF7"/>
          </w:tcPr>
          <w:p>
            <w:pPr>
              <w:jc w:val="left"/>
            </w:pPr>
            <w:r/>
            <w:r>
              <w:rPr>
                <w:b/>
                <w:sz w:val="16"/>
              </w:rPr>
              <w:t>Mean cosine gain</w:t>
            </w:r>
          </w:p>
        </w:tc>
        <w:tc>
          <w:tcPr>
            <w:tcW w:type="dxa" w:w="1632"/>
            <w:vAlign w:val="center"/>
            <w:shd w:fill="E8EEF7"/>
          </w:tcPr>
          <w:p>
            <w:pPr>
              <w:jc w:val="center"/>
            </w:pPr>
            <w:r/>
            <w:r>
              <w:rPr>
                <w:b/>
                <w:sz w:val="16"/>
              </w:rPr>
              <w:t>Minimum gain</w:t>
            </w:r>
          </w:p>
        </w:tc>
        <w:tc>
          <w:tcPr>
            <w:tcW w:type="dxa" w:w="1632"/>
            <w:vAlign w:val="center"/>
            <w:shd w:fill="E8EEF7"/>
          </w:tcPr>
          <w:p>
            <w:pPr>
              <w:jc w:val="center"/>
            </w:pPr>
            <w:r/>
            <w:r>
              <w:rPr>
                <w:b/>
                <w:sz w:val="16"/>
              </w:rPr>
              <w:t>Maximum gain</w:t>
            </w:r>
          </w:p>
        </w:tc>
        <w:tc>
          <w:tcPr>
            <w:tcW w:type="dxa" w:w="1632"/>
            <w:vAlign w:val="center"/>
            <w:shd w:fill="E8EEF7"/>
          </w:tcPr>
          <w:p>
            <w:pPr>
              <w:jc w:val="center"/>
            </w:pPr>
            <w:r/>
            <w:r>
              <w:rPr>
                <w:b/>
                <w:sz w:val="16"/>
              </w:rPr>
              <w:t>Wins</w:t>
            </w:r>
          </w:p>
        </w:tc>
        <w:tc>
          <w:tcPr>
            <w:tcW w:type="dxa" w:w="1632"/>
            <w:vAlign w:val="center"/>
            <w:shd w:fill="E8EEF7"/>
          </w:tcPr>
          <w:p>
            <w:pPr>
              <w:jc w:val="center"/>
            </w:pPr>
            <w:r/>
            <w:r>
              <w:rPr>
                <w:b/>
                <w:sz w:val="16"/>
              </w:rPr>
              <w:t>Comparisons</w:t>
            </w:r>
          </w:p>
        </w:tc>
      </w:tr>
      <w:tr>
        <w:tc>
          <w:tcPr>
            <w:tcW w:type="dxa" w:w="1632"/>
            <w:vAlign w:val="center"/>
          </w:tcPr>
          <w:p>
            <w:pPr>
              <w:jc w:val="left"/>
            </w:pPr>
            <w:r/>
            <w:r>
              <w:rPr>
                <w:b w:val="0"/>
                <w:sz w:val="16"/>
              </w:rPr>
              <w:t>CSP minus Canonical 5-mer</w:t>
            </w:r>
          </w:p>
        </w:tc>
        <w:tc>
          <w:tcPr>
            <w:tcW w:type="dxa" w:w="1632"/>
            <w:vAlign w:val="center"/>
          </w:tcPr>
          <w:p>
            <w:pPr>
              <w:jc w:val="center"/>
            </w:pPr>
            <w:r/>
            <w:r>
              <w:rPr>
                <w:b w:val="0"/>
                <w:sz w:val="16"/>
              </w:rPr>
              <w:t>0.045</w:t>
            </w:r>
          </w:p>
        </w:tc>
        <w:tc>
          <w:tcPr>
            <w:tcW w:type="dxa" w:w="1632"/>
            <w:vAlign w:val="center"/>
          </w:tcPr>
          <w:p>
            <w:pPr>
              <w:jc w:val="center"/>
            </w:pPr>
            <w:r/>
            <w:r>
              <w:rPr>
                <w:b w:val="0"/>
                <w:sz w:val="16"/>
              </w:rPr>
              <w:t>0.004</w:t>
            </w:r>
          </w:p>
        </w:tc>
        <w:tc>
          <w:tcPr>
            <w:tcW w:type="dxa" w:w="1632"/>
            <w:vAlign w:val="center"/>
          </w:tcPr>
          <w:p>
            <w:pPr>
              <w:jc w:val="center"/>
            </w:pPr>
            <w:r/>
            <w:r>
              <w:rPr>
                <w:b w:val="0"/>
                <w:sz w:val="16"/>
              </w:rPr>
              <w:t>0.111</w:t>
            </w:r>
          </w:p>
        </w:tc>
        <w:tc>
          <w:tcPr>
            <w:tcW w:type="dxa" w:w="1632"/>
            <w:vAlign w:val="center"/>
          </w:tcPr>
          <w:p>
            <w:pPr>
              <w:jc w:val="center"/>
            </w:pPr>
            <w:r/>
            <w:r>
              <w:rPr>
                <w:b w:val="0"/>
                <w:sz w:val="16"/>
              </w:rPr>
              <w:t>42</w:t>
            </w:r>
          </w:p>
        </w:tc>
        <w:tc>
          <w:tcPr>
            <w:tcW w:type="dxa" w:w="1632"/>
            <w:vAlign w:val="center"/>
          </w:tcPr>
          <w:p>
            <w:pPr>
              <w:jc w:val="center"/>
            </w:pPr>
            <w:r/>
            <w:r>
              <w:rPr>
                <w:b w:val="0"/>
                <w:sz w:val="16"/>
              </w:rPr>
              <w:t>42</w:t>
            </w:r>
          </w:p>
        </w:tc>
      </w:tr>
      <w:tr>
        <w:tc>
          <w:tcPr>
            <w:tcW w:type="dxa" w:w="1632"/>
            <w:vAlign w:val="center"/>
          </w:tcPr>
          <w:p>
            <w:pPr>
              <w:jc w:val="left"/>
            </w:pPr>
            <w:r/>
            <w:r>
              <w:rPr>
                <w:b w:val="0"/>
                <w:sz w:val="16"/>
              </w:rPr>
              <w:t>CSP minus Canonical 7-mer</w:t>
            </w:r>
          </w:p>
        </w:tc>
        <w:tc>
          <w:tcPr>
            <w:tcW w:type="dxa" w:w="1632"/>
            <w:vAlign w:val="center"/>
          </w:tcPr>
          <w:p>
            <w:pPr>
              <w:jc w:val="center"/>
            </w:pPr>
            <w:r/>
            <w:r>
              <w:rPr>
                <w:b w:val="0"/>
                <w:sz w:val="16"/>
              </w:rPr>
              <w:t>0.08</w:t>
            </w:r>
          </w:p>
        </w:tc>
        <w:tc>
          <w:tcPr>
            <w:tcW w:type="dxa" w:w="1632"/>
            <w:vAlign w:val="center"/>
          </w:tcPr>
          <w:p>
            <w:pPr>
              <w:jc w:val="center"/>
            </w:pPr>
            <w:r/>
            <w:r>
              <w:rPr>
                <w:b w:val="0"/>
                <w:sz w:val="16"/>
              </w:rPr>
              <w:t>0.008</w:t>
            </w:r>
          </w:p>
        </w:tc>
        <w:tc>
          <w:tcPr>
            <w:tcW w:type="dxa" w:w="1632"/>
            <w:vAlign w:val="center"/>
          </w:tcPr>
          <w:p>
            <w:pPr>
              <w:jc w:val="center"/>
            </w:pPr>
            <w:r/>
            <w:r>
              <w:rPr>
                <w:b w:val="0"/>
                <w:sz w:val="16"/>
              </w:rPr>
              <w:t>0.163</w:t>
            </w:r>
          </w:p>
        </w:tc>
        <w:tc>
          <w:tcPr>
            <w:tcW w:type="dxa" w:w="1632"/>
            <w:vAlign w:val="center"/>
          </w:tcPr>
          <w:p>
            <w:pPr>
              <w:jc w:val="center"/>
            </w:pPr>
            <w:r/>
            <w:r>
              <w:rPr>
                <w:b w:val="0"/>
                <w:sz w:val="16"/>
              </w:rPr>
              <w:t>42</w:t>
            </w:r>
          </w:p>
        </w:tc>
        <w:tc>
          <w:tcPr>
            <w:tcW w:type="dxa" w:w="1632"/>
            <w:vAlign w:val="center"/>
          </w:tcPr>
          <w:p>
            <w:pPr>
              <w:jc w:val="center"/>
            </w:pPr>
            <w:r/>
            <w:r>
              <w:rPr>
                <w:b w:val="0"/>
                <w:sz w:val="16"/>
              </w:rPr>
              <w:t>42</w:t>
            </w:r>
          </w:p>
        </w:tc>
      </w:tr>
      <w:tr>
        <w:tc>
          <w:tcPr>
            <w:tcW w:type="dxa" w:w="1632"/>
            <w:vAlign w:val="center"/>
          </w:tcPr>
          <w:p>
            <w:pPr>
              <w:jc w:val="left"/>
            </w:pPr>
            <w:r/>
            <w:r>
              <w:rPr>
                <w:b w:val="0"/>
                <w:sz w:val="16"/>
              </w:rPr>
              <w:t>CSP minus Canonical spaced seed</w:t>
            </w:r>
          </w:p>
        </w:tc>
        <w:tc>
          <w:tcPr>
            <w:tcW w:type="dxa" w:w="1632"/>
            <w:vAlign w:val="center"/>
          </w:tcPr>
          <w:p>
            <w:pPr>
              <w:jc w:val="center"/>
            </w:pPr>
            <w:r/>
            <w:r>
              <w:rPr>
                <w:b w:val="0"/>
                <w:sz w:val="16"/>
              </w:rPr>
              <w:t>0.028</w:t>
            </w:r>
          </w:p>
        </w:tc>
        <w:tc>
          <w:tcPr>
            <w:tcW w:type="dxa" w:w="1632"/>
            <w:vAlign w:val="center"/>
          </w:tcPr>
          <w:p>
            <w:pPr>
              <w:jc w:val="center"/>
            </w:pPr>
            <w:r/>
            <w:r>
              <w:rPr>
                <w:b w:val="0"/>
                <w:sz w:val="16"/>
              </w:rPr>
              <w:t>0.002</w:t>
            </w:r>
          </w:p>
        </w:tc>
        <w:tc>
          <w:tcPr>
            <w:tcW w:type="dxa" w:w="1632"/>
            <w:vAlign w:val="center"/>
          </w:tcPr>
          <w:p>
            <w:pPr>
              <w:jc w:val="center"/>
            </w:pPr>
            <w:r/>
            <w:r>
              <w:rPr>
                <w:b w:val="0"/>
                <w:sz w:val="16"/>
              </w:rPr>
              <w:t>0.102</w:t>
            </w:r>
          </w:p>
        </w:tc>
        <w:tc>
          <w:tcPr>
            <w:tcW w:type="dxa" w:w="1632"/>
            <w:vAlign w:val="center"/>
          </w:tcPr>
          <w:p>
            <w:pPr>
              <w:jc w:val="center"/>
            </w:pPr>
            <w:r/>
            <w:r>
              <w:rPr>
                <w:b w:val="0"/>
                <w:sz w:val="16"/>
              </w:rPr>
              <w:t>42</w:t>
            </w:r>
          </w:p>
        </w:tc>
        <w:tc>
          <w:tcPr>
            <w:tcW w:type="dxa" w:w="1632"/>
            <w:vAlign w:val="center"/>
          </w:tcPr>
          <w:p>
            <w:pPr>
              <w:jc w:val="center"/>
            </w:pPr>
            <w:r/>
            <w:r>
              <w:rPr>
                <w:b w:val="0"/>
                <w:sz w:val="16"/>
              </w:rPr>
              <w:t>42</w:t>
            </w:r>
          </w:p>
        </w:tc>
      </w:tr>
      <w:tr>
        <w:tc>
          <w:tcPr>
            <w:tcW w:type="dxa" w:w="1632"/>
            <w:vAlign w:val="center"/>
          </w:tcPr>
          <w:p>
            <w:pPr>
              <w:jc w:val="left"/>
            </w:pPr>
            <w:r/>
            <w:r>
              <w:rPr>
                <w:b w:val="0"/>
                <w:sz w:val="16"/>
              </w:rPr>
              <w:t>CSP minus Canonical 5-mer + CSP</w:t>
            </w:r>
          </w:p>
        </w:tc>
        <w:tc>
          <w:tcPr>
            <w:tcW w:type="dxa" w:w="1632"/>
            <w:vAlign w:val="center"/>
          </w:tcPr>
          <w:p>
            <w:pPr>
              <w:jc w:val="center"/>
            </w:pPr>
            <w:r/>
            <w:r>
              <w:rPr>
                <w:b w:val="0"/>
                <w:sz w:val="16"/>
              </w:rPr>
              <w:t>0.022</w:t>
            </w:r>
          </w:p>
        </w:tc>
        <w:tc>
          <w:tcPr>
            <w:tcW w:type="dxa" w:w="1632"/>
            <w:vAlign w:val="center"/>
          </w:tcPr>
          <w:p>
            <w:pPr>
              <w:jc w:val="center"/>
            </w:pPr>
            <w:r/>
            <w:r>
              <w:rPr>
                <w:b w:val="0"/>
                <w:sz w:val="16"/>
              </w:rPr>
              <w:t>0.002</w:t>
            </w:r>
          </w:p>
        </w:tc>
        <w:tc>
          <w:tcPr>
            <w:tcW w:type="dxa" w:w="1632"/>
            <w:vAlign w:val="center"/>
          </w:tcPr>
          <w:p>
            <w:pPr>
              <w:jc w:val="center"/>
            </w:pPr>
            <w:r/>
            <w:r>
              <w:rPr>
                <w:b w:val="0"/>
                <w:sz w:val="16"/>
              </w:rPr>
              <w:t>0.055</w:t>
            </w:r>
          </w:p>
        </w:tc>
        <w:tc>
          <w:tcPr>
            <w:tcW w:type="dxa" w:w="1632"/>
            <w:vAlign w:val="center"/>
          </w:tcPr>
          <w:p>
            <w:pPr>
              <w:jc w:val="center"/>
            </w:pPr>
            <w:r/>
            <w:r>
              <w:rPr>
                <w:b w:val="0"/>
                <w:sz w:val="16"/>
              </w:rPr>
              <w:t>42</w:t>
            </w:r>
          </w:p>
        </w:tc>
        <w:tc>
          <w:tcPr>
            <w:tcW w:type="dxa" w:w="1632"/>
            <w:vAlign w:val="center"/>
          </w:tcPr>
          <w:p>
            <w:pPr>
              <w:jc w:val="center"/>
            </w:pPr>
            <w:r/>
            <w:r>
              <w:rPr>
                <w:b w:val="0"/>
                <w:sz w:val="16"/>
              </w:rPr>
              <w:t>42</w:t>
            </w:r>
          </w:p>
        </w:tc>
      </w:tr>
    </w:tbl>
    <w:p/>
    <w:p>
      <w:pPr>
        <w:pStyle w:val="Heading2"/>
      </w:pPr>
      <w:r>
        <w:t>Ablation showed that the property block, especially hydrogen-bond and entropy summaries, contributed to stability</w:t>
      </w:r>
    </w:p>
    <w:p>
      <w:r>
        <w:t>CSP's stability advantage was not attributable to one isolated scalar. The full property block improved stability over canonical spaced seed counts across the tested short-read perturbations. In singleton ablations, hydrogen-bond class had the largest mean cosine gain over canonical spaced seeds, followed by entropy, purine and GC summaries. N fraction alone added little in this setup, which is expected because N masking also changes the count space.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center"/>
            </w:pPr>
            <w:r/>
            <w:r>
              <w:rPr>
                <w:b/>
                <w:sz w:val="16"/>
              </w:rPr>
              <w:t>component</w:t>
            </w:r>
          </w:p>
        </w:tc>
        <w:tc>
          <w:tcPr>
            <w:tcW w:type="dxa" w:w="1958"/>
            <w:vAlign w:val="center"/>
            <w:shd w:fill="E8EEF7"/>
          </w:tcPr>
          <w:p>
            <w:pPr>
              <w:jc w:val="left"/>
            </w:pPr>
            <w:r/>
            <w:r>
              <w:rPr>
                <w:b/>
                <w:sz w:val="16"/>
              </w:rPr>
              <w:t>Mean_cosine_gain</w:t>
            </w:r>
          </w:p>
        </w:tc>
        <w:tc>
          <w:tcPr>
            <w:tcW w:type="dxa" w:w="1958"/>
            <w:vAlign w:val="center"/>
            <w:shd w:fill="E8EEF7"/>
          </w:tcPr>
          <w:p>
            <w:pPr>
              <w:jc w:val="center"/>
            </w:pPr>
            <w:r/>
            <w:r>
              <w:rPr>
                <w:b/>
                <w:sz w:val="16"/>
              </w:rPr>
              <w:t>Mean_L2_change</w:t>
            </w:r>
          </w:p>
        </w:tc>
        <w:tc>
          <w:tcPr>
            <w:tcW w:type="dxa" w:w="1958"/>
            <w:vAlign w:val="center"/>
            <w:shd w:fill="E8EEF7"/>
          </w:tcPr>
          <w:p>
            <w:pPr>
              <w:jc w:val="center"/>
            </w:pPr>
            <w:r/>
            <w:r>
              <w:rPr>
                <w:b/>
                <w:sz w:val="16"/>
              </w:rPr>
              <w:t>Max_cosine_gain</w:t>
            </w:r>
          </w:p>
        </w:tc>
        <w:tc>
          <w:tcPr>
            <w:tcW w:type="dxa" w:w="1958"/>
            <w:vAlign w:val="center"/>
            <w:shd w:fill="E8EEF7"/>
          </w:tcPr>
          <w:p>
            <w:pPr>
              <w:jc w:val="center"/>
            </w:pPr>
            <w:r/>
            <w:r>
              <w:rPr>
                <w:b/>
                <w:sz w:val="16"/>
              </w:rPr>
              <w:t>Min_L2_change</w:t>
            </w:r>
          </w:p>
        </w:tc>
      </w:tr>
      <w:tr>
        <w:tc>
          <w:tcPr>
            <w:tcW w:type="dxa" w:w="1958"/>
            <w:vAlign w:val="center"/>
          </w:tcPr>
          <w:p>
            <w:pPr>
              <w:jc w:val="center"/>
            </w:pPr>
            <w:r/>
            <w:r>
              <w:rPr>
                <w:b w:val="0"/>
                <w:sz w:val="16"/>
              </w:rPr>
              <w:t>hydrogen</w:t>
            </w:r>
          </w:p>
        </w:tc>
        <w:tc>
          <w:tcPr>
            <w:tcW w:type="dxa" w:w="1958"/>
            <w:vAlign w:val="center"/>
          </w:tcPr>
          <w:p>
            <w:pPr>
              <w:jc w:val="center"/>
            </w:pPr>
            <w:r/>
            <w:r>
              <w:rPr>
                <w:b w:val="0"/>
                <w:sz w:val="16"/>
              </w:rPr>
              <w:t>0.032</w:t>
            </w:r>
          </w:p>
        </w:tc>
        <w:tc>
          <w:tcPr>
            <w:tcW w:type="dxa" w:w="1958"/>
            <w:vAlign w:val="center"/>
          </w:tcPr>
          <w:p>
            <w:pPr>
              <w:jc w:val="center"/>
            </w:pPr>
            <w:r/>
            <w:r>
              <w:rPr>
                <w:b w:val="0"/>
                <w:sz w:val="16"/>
              </w:rPr>
              <w:t>-0.148</w:t>
            </w:r>
          </w:p>
        </w:tc>
        <w:tc>
          <w:tcPr>
            <w:tcW w:type="dxa" w:w="1958"/>
            <w:vAlign w:val="center"/>
          </w:tcPr>
          <w:p>
            <w:pPr>
              <w:jc w:val="center"/>
            </w:pPr>
            <w:r/>
            <w:r>
              <w:rPr>
                <w:b w:val="0"/>
                <w:sz w:val="16"/>
              </w:rPr>
              <w:t>0.098</w:t>
            </w:r>
          </w:p>
        </w:tc>
        <w:tc>
          <w:tcPr>
            <w:tcW w:type="dxa" w:w="1958"/>
            <w:vAlign w:val="center"/>
          </w:tcPr>
          <w:p>
            <w:pPr>
              <w:jc w:val="center"/>
            </w:pPr>
            <w:r/>
            <w:r>
              <w:rPr>
                <w:b w:val="0"/>
                <w:sz w:val="16"/>
              </w:rPr>
              <w:t>-0.3</w:t>
            </w:r>
          </w:p>
        </w:tc>
      </w:tr>
      <w:tr>
        <w:tc>
          <w:tcPr>
            <w:tcW w:type="dxa" w:w="1958"/>
            <w:vAlign w:val="center"/>
          </w:tcPr>
          <w:p>
            <w:pPr>
              <w:jc w:val="center"/>
            </w:pPr>
            <w:r/>
            <w:r>
              <w:rPr>
                <w:b w:val="0"/>
                <w:sz w:val="16"/>
              </w:rPr>
              <w:t>entropy</w:t>
            </w:r>
          </w:p>
        </w:tc>
        <w:tc>
          <w:tcPr>
            <w:tcW w:type="dxa" w:w="1958"/>
            <w:vAlign w:val="center"/>
          </w:tcPr>
          <w:p>
            <w:pPr>
              <w:jc w:val="center"/>
            </w:pPr>
            <w:r/>
            <w:r>
              <w:rPr>
                <w:b w:val="0"/>
                <w:sz w:val="16"/>
              </w:rPr>
              <w:t>0.016</w:t>
            </w:r>
          </w:p>
        </w:tc>
        <w:tc>
          <w:tcPr>
            <w:tcW w:type="dxa" w:w="1958"/>
            <w:vAlign w:val="center"/>
          </w:tcPr>
          <w:p>
            <w:pPr>
              <w:jc w:val="center"/>
            </w:pPr>
            <w:r/>
            <w:r>
              <w:rPr>
                <w:b w:val="0"/>
                <w:sz w:val="16"/>
              </w:rPr>
              <w:t>-0.056</w:t>
            </w:r>
          </w:p>
        </w:tc>
        <w:tc>
          <w:tcPr>
            <w:tcW w:type="dxa" w:w="1958"/>
            <w:vAlign w:val="center"/>
          </w:tcPr>
          <w:p>
            <w:pPr>
              <w:jc w:val="center"/>
            </w:pPr>
            <w:r/>
            <w:r>
              <w:rPr>
                <w:b w:val="0"/>
                <w:sz w:val="16"/>
              </w:rPr>
              <w:t>0.046</w:t>
            </w:r>
          </w:p>
        </w:tc>
        <w:tc>
          <w:tcPr>
            <w:tcW w:type="dxa" w:w="1958"/>
            <w:vAlign w:val="center"/>
          </w:tcPr>
          <w:p>
            <w:pPr>
              <w:jc w:val="center"/>
            </w:pPr>
            <w:r/>
            <w:r>
              <w:rPr>
                <w:b w:val="0"/>
                <w:sz w:val="16"/>
              </w:rPr>
              <w:t>-0.109</w:t>
            </w:r>
          </w:p>
        </w:tc>
      </w:tr>
      <w:tr>
        <w:tc>
          <w:tcPr>
            <w:tcW w:type="dxa" w:w="1958"/>
            <w:vAlign w:val="center"/>
          </w:tcPr>
          <w:p>
            <w:pPr>
              <w:jc w:val="center"/>
            </w:pPr>
            <w:r/>
            <w:r>
              <w:rPr>
                <w:b w:val="0"/>
                <w:sz w:val="16"/>
              </w:rPr>
              <w:t>purine</w:t>
            </w:r>
          </w:p>
        </w:tc>
        <w:tc>
          <w:tcPr>
            <w:tcW w:type="dxa" w:w="1958"/>
            <w:vAlign w:val="center"/>
          </w:tcPr>
          <w:p>
            <w:pPr>
              <w:jc w:val="center"/>
            </w:pPr>
            <w:r/>
            <w:r>
              <w:rPr>
                <w:b w:val="0"/>
                <w:sz w:val="16"/>
              </w:rPr>
              <w:t>0.013</w:t>
            </w:r>
          </w:p>
        </w:tc>
        <w:tc>
          <w:tcPr>
            <w:tcW w:type="dxa" w:w="1958"/>
            <w:vAlign w:val="center"/>
          </w:tcPr>
          <w:p>
            <w:pPr>
              <w:jc w:val="center"/>
            </w:pPr>
            <w:r/>
            <w:r>
              <w:rPr>
                <w:b w:val="0"/>
                <w:sz w:val="16"/>
              </w:rPr>
              <w:t>-0.044</w:t>
            </w:r>
          </w:p>
        </w:tc>
        <w:tc>
          <w:tcPr>
            <w:tcW w:type="dxa" w:w="1958"/>
            <w:vAlign w:val="center"/>
          </w:tcPr>
          <w:p>
            <w:pPr>
              <w:jc w:val="center"/>
            </w:pPr>
            <w:r/>
            <w:r>
              <w:rPr>
                <w:b w:val="0"/>
                <w:sz w:val="16"/>
              </w:rPr>
              <w:t>0.038</w:t>
            </w:r>
          </w:p>
        </w:tc>
        <w:tc>
          <w:tcPr>
            <w:tcW w:type="dxa" w:w="1958"/>
            <w:vAlign w:val="center"/>
          </w:tcPr>
          <w:p>
            <w:pPr>
              <w:jc w:val="center"/>
            </w:pPr>
            <w:r/>
            <w:r>
              <w:rPr>
                <w:b w:val="0"/>
                <w:sz w:val="16"/>
              </w:rPr>
              <w:t>-0.086</w:t>
            </w:r>
          </w:p>
        </w:tc>
      </w:tr>
      <w:tr>
        <w:tc>
          <w:tcPr>
            <w:tcW w:type="dxa" w:w="1958"/>
            <w:vAlign w:val="center"/>
          </w:tcPr>
          <w:p>
            <w:pPr>
              <w:jc w:val="center"/>
            </w:pPr>
            <w:r/>
            <w:r>
              <w:rPr>
                <w:b w:val="0"/>
                <w:sz w:val="16"/>
              </w:rPr>
              <w:t>gc</w:t>
            </w:r>
          </w:p>
        </w:tc>
        <w:tc>
          <w:tcPr>
            <w:tcW w:type="dxa" w:w="1958"/>
            <w:vAlign w:val="center"/>
          </w:tcPr>
          <w:p>
            <w:pPr>
              <w:jc w:val="center"/>
            </w:pPr>
            <w:r/>
            <w:r>
              <w:rPr>
                <w:b w:val="0"/>
                <w:sz w:val="16"/>
              </w:rPr>
              <w:t>0.012</w:t>
            </w:r>
          </w:p>
        </w:tc>
        <w:tc>
          <w:tcPr>
            <w:tcW w:type="dxa" w:w="1958"/>
            <w:vAlign w:val="center"/>
          </w:tcPr>
          <w:p>
            <w:pPr>
              <w:jc w:val="center"/>
            </w:pPr>
            <w:r/>
            <w:r>
              <w:rPr>
                <w:b w:val="0"/>
                <w:sz w:val="16"/>
              </w:rPr>
              <w:t>-0.043</w:t>
            </w:r>
          </w:p>
        </w:tc>
        <w:tc>
          <w:tcPr>
            <w:tcW w:type="dxa" w:w="1958"/>
            <w:vAlign w:val="center"/>
          </w:tcPr>
          <w:p>
            <w:pPr>
              <w:jc w:val="center"/>
            </w:pPr>
            <w:r/>
            <w:r>
              <w:rPr>
                <w:b w:val="0"/>
                <w:sz w:val="16"/>
              </w:rPr>
              <w:t>0.037</w:t>
            </w:r>
          </w:p>
        </w:tc>
        <w:tc>
          <w:tcPr>
            <w:tcW w:type="dxa" w:w="1958"/>
            <w:vAlign w:val="center"/>
          </w:tcPr>
          <w:p>
            <w:pPr>
              <w:jc w:val="center"/>
            </w:pPr>
            <w:r/>
            <w:r>
              <w:rPr>
                <w:b w:val="0"/>
                <w:sz w:val="16"/>
              </w:rPr>
              <w:t>-0.086</w:t>
            </w:r>
          </w:p>
        </w:tc>
      </w:tr>
      <w:tr>
        <w:tc>
          <w:tcPr>
            <w:tcW w:type="dxa" w:w="1958"/>
            <w:vAlign w:val="center"/>
          </w:tcPr>
          <w:p>
            <w:pPr>
              <w:jc w:val="center"/>
            </w:pPr>
            <w:r/>
            <w:r>
              <w:rPr>
                <w:b w:val="0"/>
                <w:sz w:val="16"/>
              </w:rPr>
              <w:t>length</w:t>
            </w:r>
          </w:p>
        </w:tc>
        <w:tc>
          <w:tcPr>
            <w:tcW w:type="dxa" w:w="1958"/>
            <w:vAlign w:val="center"/>
          </w:tcPr>
          <w:p>
            <w:pPr>
              <w:jc w:val="center"/>
            </w:pPr>
            <w:r/>
            <w:r>
              <w:rPr>
                <w:b w:val="0"/>
                <w:sz w:val="16"/>
              </w:rPr>
              <w:t>0.006</w:t>
            </w:r>
          </w:p>
        </w:tc>
        <w:tc>
          <w:tcPr>
            <w:tcW w:type="dxa" w:w="1958"/>
            <w:vAlign w:val="center"/>
          </w:tcPr>
          <w:p>
            <w:pPr>
              <w:jc w:val="center"/>
            </w:pPr>
            <w:r/>
            <w:r>
              <w:rPr>
                <w:b w:val="0"/>
                <w:sz w:val="16"/>
              </w:rPr>
              <w:t>-0.024</w:t>
            </w:r>
          </w:p>
        </w:tc>
        <w:tc>
          <w:tcPr>
            <w:tcW w:type="dxa" w:w="1958"/>
            <w:vAlign w:val="center"/>
          </w:tcPr>
          <w:p>
            <w:pPr>
              <w:jc w:val="center"/>
            </w:pPr>
            <w:r/>
            <w:r>
              <w:rPr>
                <w:b w:val="0"/>
                <w:sz w:val="16"/>
              </w:rPr>
              <w:t>0.014</w:t>
            </w:r>
          </w:p>
        </w:tc>
        <w:tc>
          <w:tcPr>
            <w:tcW w:type="dxa" w:w="1958"/>
            <w:vAlign w:val="center"/>
          </w:tcPr>
          <w:p>
            <w:pPr>
              <w:jc w:val="center"/>
            </w:pPr>
            <w:r/>
            <w:r>
              <w:rPr>
                <w:b w:val="0"/>
                <w:sz w:val="16"/>
              </w:rPr>
              <w:t>-0.055</w:t>
            </w:r>
          </w:p>
        </w:tc>
      </w:tr>
      <w:tr>
        <w:tc>
          <w:tcPr>
            <w:tcW w:type="dxa" w:w="1958"/>
            <w:vAlign w:val="center"/>
          </w:tcPr>
          <w:p>
            <w:pPr>
              <w:jc w:val="center"/>
            </w:pPr>
            <w:r/>
            <w:r>
              <w:rPr>
                <w:b w:val="0"/>
                <w:sz w:val="16"/>
              </w:rPr>
              <w:t>eiip</w:t>
            </w:r>
          </w:p>
        </w:tc>
        <w:tc>
          <w:tcPr>
            <w:tcW w:type="dxa" w:w="1958"/>
            <w:vAlign w:val="center"/>
          </w:tcPr>
          <w:p>
            <w:pPr>
              <w:jc w:val="center"/>
            </w:pPr>
            <w:r/>
            <w:r>
              <w:rPr>
                <w:b w:val="0"/>
                <w:sz w:val="16"/>
              </w:rPr>
              <w:t>0.001</w:t>
            </w:r>
          </w:p>
        </w:tc>
        <w:tc>
          <w:tcPr>
            <w:tcW w:type="dxa" w:w="1958"/>
            <w:vAlign w:val="center"/>
          </w:tcPr>
          <w:p>
            <w:pPr>
              <w:jc w:val="center"/>
            </w:pPr>
            <w:r/>
            <w:r>
              <w:rPr>
                <w:b w:val="0"/>
                <w:sz w:val="16"/>
              </w:rPr>
              <w:t>-0.002</w:t>
            </w:r>
          </w:p>
        </w:tc>
        <w:tc>
          <w:tcPr>
            <w:tcW w:type="dxa" w:w="1958"/>
            <w:vAlign w:val="center"/>
          </w:tcPr>
          <w:p>
            <w:pPr>
              <w:jc w:val="center"/>
            </w:pPr>
            <w:r/>
            <w:r>
              <w:rPr>
                <w:b w:val="0"/>
                <w:sz w:val="16"/>
              </w:rPr>
              <w:t>0.002</w:t>
            </w:r>
          </w:p>
        </w:tc>
        <w:tc>
          <w:tcPr>
            <w:tcW w:type="dxa" w:w="1958"/>
            <w:vAlign w:val="center"/>
          </w:tcPr>
          <w:p>
            <w:pPr>
              <w:jc w:val="center"/>
            </w:pPr>
            <w:r/>
            <w:r>
              <w:rPr>
                <w:b w:val="0"/>
                <w:sz w:val="16"/>
              </w:rPr>
              <w:t>-0.003</w:t>
            </w:r>
          </w:p>
        </w:tc>
      </w:tr>
      <w:tr>
        <w:tc>
          <w:tcPr>
            <w:tcW w:type="dxa" w:w="1958"/>
            <w:vAlign w:val="center"/>
          </w:tcPr>
          <w:p>
            <w:pPr>
              <w:jc w:val="center"/>
            </w:pPr>
            <w:r/>
            <w:r>
              <w:rPr>
                <w:b w:val="0"/>
                <w:sz w:val="16"/>
              </w:rPr>
              <w:t>n_fraction</w:t>
            </w:r>
          </w:p>
        </w:tc>
        <w:tc>
          <w:tcPr>
            <w:tcW w:type="dxa" w:w="1958"/>
            <w:vAlign w:val="center"/>
          </w:tcPr>
          <w:p>
            <w:pPr>
              <w:jc w:val="center"/>
            </w:pPr>
            <w:r/>
            <w:r>
              <w:rPr>
                <w:b w:val="0"/>
                <w:sz w:val="16"/>
              </w:rPr>
              <w:t>-0</w:t>
            </w:r>
          </w:p>
        </w:tc>
        <w:tc>
          <w:tcPr>
            <w:tcW w:type="dxa" w:w="1958"/>
            <w:vAlign w:val="center"/>
          </w:tcPr>
          <w:p>
            <w:pPr>
              <w:jc w:val="center"/>
            </w:pPr>
            <w:r/>
            <w:r>
              <w:rPr>
                <w:b w:val="0"/>
                <w:sz w:val="16"/>
              </w:rPr>
              <w:t>0</w:t>
            </w:r>
          </w:p>
        </w:tc>
        <w:tc>
          <w:tcPr>
            <w:tcW w:type="dxa" w:w="1958"/>
            <w:vAlign w:val="center"/>
          </w:tcPr>
          <w:p>
            <w:pPr>
              <w:jc w:val="center"/>
            </w:pPr>
            <w:r/>
            <w:r>
              <w:rPr>
                <w:b w:val="0"/>
                <w:sz w:val="16"/>
              </w:rPr>
              <w:t>0</w:t>
            </w:r>
          </w:p>
        </w:tc>
        <w:tc>
          <w:tcPr>
            <w:tcW w:type="dxa" w:w="1958"/>
            <w:vAlign w:val="center"/>
          </w:tcPr>
          <w:p>
            <w:pPr>
              <w:jc w:val="center"/>
            </w:pPr>
            <w:r/>
            <w:r>
              <w:rPr>
                <w:b w:val="0"/>
                <w:sz w:val="16"/>
              </w:rPr>
              <w:t>-0</w:t>
            </w:r>
          </w:p>
        </w:tc>
      </w:tr>
    </w:tbl>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E8EEF7"/>
          </w:tcPr>
          <w:p>
            <w:pPr>
              <w:jc w:val="center"/>
            </w:pPr>
            <w:r/>
            <w:r>
              <w:rPr>
                <w:b/>
                <w:sz w:val="16"/>
              </w:rPr>
              <w:t>Condition</w:t>
            </w:r>
          </w:p>
        </w:tc>
        <w:tc>
          <w:tcPr>
            <w:tcW w:type="dxa" w:w="1399"/>
            <w:vAlign w:val="center"/>
            <w:shd w:fill="E8EEF7"/>
          </w:tcPr>
          <w:p>
            <w:pPr>
              <w:jc w:val="center"/>
            </w:pPr>
            <w:r/>
            <w:r>
              <w:rPr>
                <w:b/>
                <w:sz w:val="16"/>
              </w:rPr>
              <w:t>Length</w:t>
            </w:r>
          </w:p>
        </w:tc>
        <w:tc>
          <w:tcPr>
            <w:tcW w:type="dxa" w:w="1399"/>
            <w:vAlign w:val="center"/>
            <w:shd w:fill="E8EEF7"/>
          </w:tcPr>
          <w:p>
            <w:pPr>
              <w:jc w:val="left"/>
            </w:pPr>
            <w:r/>
            <w:r>
              <w:rPr>
                <w:b/>
                <w:sz w:val="16"/>
              </w:rPr>
              <w:t>Cosine gain over spaced seed</w:t>
            </w:r>
          </w:p>
        </w:tc>
        <w:tc>
          <w:tcPr>
            <w:tcW w:type="dxa" w:w="1399"/>
            <w:vAlign w:val="center"/>
            <w:shd w:fill="E8EEF7"/>
          </w:tcPr>
          <w:p>
            <w:pPr>
              <w:jc w:val="left"/>
            </w:pPr>
            <w:r/>
            <w:r>
              <w:rPr>
                <w:b/>
                <w:sz w:val="16"/>
              </w:rPr>
              <w:t>L2 change over spaced seed</w:t>
            </w:r>
          </w:p>
        </w:tc>
        <w:tc>
          <w:tcPr>
            <w:tcW w:type="dxa" w:w="1399"/>
            <w:vAlign w:val="center"/>
            <w:shd w:fill="E8EEF7"/>
          </w:tcPr>
          <w:p>
            <w:pPr>
              <w:jc w:val="left"/>
            </w:pPr>
            <w:r/>
            <w:r>
              <w:rPr>
                <w:b/>
                <w:sz w:val="16"/>
              </w:rPr>
              <w:t>Mean paired cosine</w:t>
            </w:r>
          </w:p>
        </w:tc>
        <w:tc>
          <w:tcPr>
            <w:tcW w:type="dxa" w:w="1399"/>
            <w:vAlign w:val="center"/>
            <w:shd w:fill="E8EEF7"/>
          </w:tcPr>
          <w:p>
            <w:pPr>
              <w:jc w:val="center"/>
            </w:pPr>
            <w:r/>
            <w:r>
              <w:rPr>
                <w:b/>
                <w:sz w:val="16"/>
              </w:rPr>
              <w:t>Mean L2 drift</w:t>
            </w:r>
          </w:p>
        </w:tc>
        <w:tc>
          <w:tcPr>
            <w:tcW w:type="dxa" w:w="1399"/>
            <w:vAlign w:val="center"/>
            <w:shd w:fill="E8EEF7"/>
          </w:tcPr>
          <w:p>
            <w:pPr>
              <w:jc w:val="center"/>
            </w:pPr>
            <w:r/>
            <w:r>
              <w:rPr>
                <w:b/>
                <w:sz w:val="16"/>
              </w:rPr>
              <w:t>Features</w:t>
            </w:r>
          </w:p>
        </w:tc>
      </w:tr>
      <w:tr>
        <w:tc>
          <w:tcPr>
            <w:tcW w:type="dxa" w:w="1399"/>
            <w:vAlign w:val="center"/>
          </w:tcPr>
          <w:p>
            <w:pPr>
              <w:jc w:val="center"/>
            </w:pPr>
            <w:r/>
            <w:r>
              <w:rPr>
                <w:b w:val="0"/>
                <w:sz w:val="16"/>
              </w:rPr>
              <w:t>3% N mask</w:t>
            </w:r>
          </w:p>
        </w:tc>
        <w:tc>
          <w:tcPr>
            <w:tcW w:type="dxa" w:w="1399"/>
            <w:vAlign w:val="center"/>
          </w:tcPr>
          <w:p>
            <w:pPr>
              <w:jc w:val="center"/>
            </w:pPr>
            <w:r/>
            <w:r>
              <w:rPr>
                <w:b w:val="0"/>
                <w:sz w:val="16"/>
              </w:rPr>
              <w:t>69</w:t>
            </w:r>
          </w:p>
        </w:tc>
        <w:tc>
          <w:tcPr>
            <w:tcW w:type="dxa" w:w="1399"/>
            <w:vAlign w:val="center"/>
          </w:tcPr>
          <w:p>
            <w:pPr>
              <w:jc w:val="center"/>
            </w:pPr>
            <w:r/>
            <w:r>
              <w:rPr>
                <w:b w:val="0"/>
                <w:sz w:val="16"/>
              </w:rPr>
              <w:t>0.032</w:t>
            </w:r>
          </w:p>
        </w:tc>
        <w:tc>
          <w:tcPr>
            <w:tcW w:type="dxa" w:w="1399"/>
            <w:vAlign w:val="center"/>
          </w:tcPr>
          <w:p>
            <w:pPr>
              <w:jc w:val="center"/>
            </w:pPr>
            <w:r/>
            <w:r>
              <w:rPr>
                <w:b w:val="0"/>
                <w:sz w:val="16"/>
              </w:rPr>
              <w:t>-0.163</w:t>
            </w:r>
          </w:p>
        </w:tc>
        <w:tc>
          <w:tcPr>
            <w:tcW w:type="dxa" w:w="1399"/>
            <w:vAlign w:val="center"/>
          </w:tcPr>
          <w:p>
            <w:pPr>
              <w:jc w:val="center"/>
            </w:pPr>
            <w:r/>
            <w:r>
              <w:rPr>
                <w:b w:val="0"/>
                <w:sz w:val="16"/>
              </w:rPr>
              <w:t>0.994</w:t>
            </w:r>
          </w:p>
        </w:tc>
        <w:tc>
          <w:tcPr>
            <w:tcW w:type="dxa" w:w="1399"/>
            <w:vAlign w:val="center"/>
          </w:tcPr>
          <w:p>
            <w:pPr>
              <w:jc w:val="center"/>
            </w:pPr>
            <w:r/>
            <w:r>
              <w:rPr>
                <w:b w:val="0"/>
                <w:sz w:val="16"/>
              </w:rPr>
              <w:t>0.108</w:t>
            </w:r>
          </w:p>
        </w:tc>
        <w:tc>
          <w:tcPr>
            <w:tcW w:type="dxa" w:w="1399"/>
            <w:vAlign w:val="center"/>
          </w:tcPr>
          <w:p>
            <w:pPr>
              <w:jc w:val="center"/>
            </w:pPr>
            <w:r/>
            <w:r>
              <w:rPr>
                <w:b w:val="0"/>
                <w:sz w:val="16"/>
              </w:rPr>
              <w:t>147</w:t>
            </w:r>
          </w:p>
        </w:tc>
      </w:tr>
      <w:tr>
        <w:tc>
          <w:tcPr>
            <w:tcW w:type="dxa" w:w="1399"/>
            <w:vAlign w:val="center"/>
          </w:tcPr>
          <w:p>
            <w:pPr>
              <w:jc w:val="left"/>
            </w:pPr>
            <w:r/>
            <w:r>
              <w:rPr>
                <w:b w:val="0"/>
                <w:sz w:val="16"/>
              </w:rPr>
              <w:t>1% substitution + 3% N</w:t>
            </w:r>
          </w:p>
        </w:tc>
        <w:tc>
          <w:tcPr>
            <w:tcW w:type="dxa" w:w="1399"/>
            <w:vAlign w:val="center"/>
          </w:tcPr>
          <w:p>
            <w:pPr>
              <w:jc w:val="center"/>
            </w:pPr>
            <w:r/>
            <w:r>
              <w:rPr>
                <w:b w:val="0"/>
                <w:sz w:val="16"/>
              </w:rPr>
              <w:t>69</w:t>
            </w:r>
          </w:p>
        </w:tc>
        <w:tc>
          <w:tcPr>
            <w:tcW w:type="dxa" w:w="1399"/>
            <w:vAlign w:val="center"/>
          </w:tcPr>
          <w:p>
            <w:pPr>
              <w:jc w:val="center"/>
            </w:pPr>
            <w:r/>
            <w:r>
              <w:rPr>
                <w:b w:val="0"/>
                <w:sz w:val="16"/>
              </w:rPr>
              <w:t>0.053</w:t>
            </w:r>
          </w:p>
        </w:tc>
        <w:tc>
          <w:tcPr>
            <w:tcW w:type="dxa" w:w="1399"/>
            <w:vAlign w:val="center"/>
          </w:tcPr>
          <w:p>
            <w:pPr>
              <w:jc w:val="center"/>
            </w:pPr>
            <w:r/>
            <w:r>
              <w:rPr>
                <w:b w:val="0"/>
                <w:sz w:val="16"/>
              </w:rPr>
              <w:t>-0.212</w:t>
            </w:r>
          </w:p>
        </w:tc>
        <w:tc>
          <w:tcPr>
            <w:tcW w:type="dxa" w:w="1399"/>
            <w:vAlign w:val="center"/>
          </w:tcPr>
          <w:p>
            <w:pPr>
              <w:jc w:val="center"/>
            </w:pPr>
            <w:r/>
            <w:r>
              <w:rPr>
                <w:b w:val="0"/>
                <w:sz w:val="16"/>
              </w:rPr>
              <w:t>0.992</w:t>
            </w:r>
          </w:p>
        </w:tc>
        <w:tc>
          <w:tcPr>
            <w:tcW w:type="dxa" w:w="1399"/>
            <w:vAlign w:val="center"/>
          </w:tcPr>
          <w:p>
            <w:pPr>
              <w:jc w:val="center"/>
            </w:pPr>
            <w:r/>
            <w:r>
              <w:rPr>
                <w:b w:val="0"/>
                <w:sz w:val="16"/>
              </w:rPr>
              <w:t>0.127</w:t>
            </w:r>
          </w:p>
        </w:tc>
        <w:tc>
          <w:tcPr>
            <w:tcW w:type="dxa" w:w="1399"/>
            <w:vAlign w:val="center"/>
          </w:tcPr>
          <w:p>
            <w:pPr>
              <w:jc w:val="center"/>
            </w:pPr>
            <w:r/>
            <w:r>
              <w:rPr>
                <w:b w:val="0"/>
                <w:sz w:val="16"/>
              </w:rPr>
              <w:t>147</w:t>
            </w:r>
          </w:p>
        </w:tc>
      </w:tr>
      <w:tr>
        <w:tc>
          <w:tcPr>
            <w:tcW w:type="dxa" w:w="1399"/>
            <w:vAlign w:val="center"/>
          </w:tcPr>
          <w:p>
            <w:pPr>
              <w:jc w:val="left"/>
            </w:pPr>
            <w:r/>
            <w:r>
              <w:rPr>
                <w:b w:val="0"/>
                <w:sz w:val="16"/>
              </w:rPr>
              <w:t>6-bp local mismatch</w:t>
            </w:r>
          </w:p>
        </w:tc>
        <w:tc>
          <w:tcPr>
            <w:tcW w:type="dxa" w:w="1399"/>
            <w:vAlign w:val="center"/>
          </w:tcPr>
          <w:p>
            <w:pPr>
              <w:jc w:val="center"/>
            </w:pPr>
            <w:r/>
            <w:r>
              <w:rPr>
                <w:b w:val="0"/>
                <w:sz w:val="16"/>
              </w:rPr>
              <w:t>69</w:t>
            </w:r>
          </w:p>
        </w:tc>
        <w:tc>
          <w:tcPr>
            <w:tcW w:type="dxa" w:w="1399"/>
            <w:vAlign w:val="center"/>
          </w:tcPr>
          <w:p>
            <w:pPr>
              <w:jc w:val="center"/>
            </w:pPr>
            <w:r/>
            <w:r>
              <w:rPr>
                <w:b w:val="0"/>
                <w:sz w:val="16"/>
              </w:rPr>
              <w:t>0.101</w:t>
            </w:r>
          </w:p>
        </w:tc>
        <w:tc>
          <w:tcPr>
            <w:tcW w:type="dxa" w:w="1399"/>
            <w:vAlign w:val="center"/>
          </w:tcPr>
          <w:p>
            <w:pPr>
              <w:jc w:val="center"/>
            </w:pPr>
            <w:r/>
            <w:r>
              <w:rPr>
                <w:b w:val="0"/>
                <w:sz w:val="16"/>
              </w:rPr>
              <w:t>-0.317</w:t>
            </w:r>
          </w:p>
        </w:tc>
        <w:tc>
          <w:tcPr>
            <w:tcW w:type="dxa" w:w="1399"/>
            <w:vAlign w:val="center"/>
          </w:tcPr>
          <w:p>
            <w:pPr>
              <w:jc w:val="center"/>
            </w:pPr>
            <w:r/>
            <w:r>
              <w:rPr>
                <w:b w:val="0"/>
                <w:sz w:val="16"/>
              </w:rPr>
              <w:t>0.988</w:t>
            </w:r>
          </w:p>
        </w:tc>
        <w:tc>
          <w:tcPr>
            <w:tcW w:type="dxa" w:w="1399"/>
            <w:vAlign w:val="center"/>
          </w:tcPr>
          <w:p>
            <w:pPr>
              <w:jc w:val="center"/>
            </w:pPr>
            <w:r/>
            <w:r>
              <w:rPr>
                <w:b w:val="0"/>
                <w:sz w:val="16"/>
              </w:rPr>
              <w:t>0.156</w:t>
            </w:r>
          </w:p>
        </w:tc>
        <w:tc>
          <w:tcPr>
            <w:tcW w:type="dxa" w:w="1399"/>
            <w:vAlign w:val="center"/>
          </w:tcPr>
          <w:p>
            <w:pPr>
              <w:jc w:val="center"/>
            </w:pPr>
            <w:r/>
            <w:r>
              <w:rPr>
                <w:b w:val="0"/>
                <w:sz w:val="16"/>
              </w:rPr>
              <w:t>147</w:t>
            </w:r>
          </w:p>
        </w:tc>
      </w:tr>
      <w:tr>
        <w:tc>
          <w:tcPr>
            <w:tcW w:type="dxa" w:w="1399"/>
            <w:vAlign w:val="center"/>
          </w:tcPr>
          <w:p>
            <w:pPr>
              <w:jc w:val="center"/>
            </w:pPr>
            <w:r/>
            <w:r>
              <w:rPr>
                <w:b w:val="0"/>
                <w:sz w:val="16"/>
              </w:rPr>
              <w:t>3% N mask</w:t>
            </w:r>
          </w:p>
        </w:tc>
        <w:tc>
          <w:tcPr>
            <w:tcW w:type="dxa" w:w="1399"/>
            <w:vAlign w:val="center"/>
          </w:tcPr>
          <w:p>
            <w:pPr>
              <w:jc w:val="center"/>
            </w:pPr>
            <w:r/>
            <w:r>
              <w:rPr>
                <w:b w:val="0"/>
                <w:sz w:val="16"/>
              </w:rPr>
              <w:t>75</w:t>
            </w:r>
          </w:p>
        </w:tc>
        <w:tc>
          <w:tcPr>
            <w:tcW w:type="dxa" w:w="1399"/>
            <w:vAlign w:val="center"/>
          </w:tcPr>
          <w:p>
            <w:pPr>
              <w:jc w:val="center"/>
            </w:pPr>
            <w:r/>
            <w:r>
              <w:rPr>
                <w:b w:val="0"/>
                <w:sz w:val="16"/>
              </w:rPr>
              <w:t>0.027</w:t>
            </w:r>
          </w:p>
        </w:tc>
        <w:tc>
          <w:tcPr>
            <w:tcW w:type="dxa" w:w="1399"/>
            <w:vAlign w:val="center"/>
          </w:tcPr>
          <w:p>
            <w:pPr>
              <w:jc w:val="center"/>
            </w:pPr>
            <w:r/>
            <w:r>
              <w:rPr>
                <w:b w:val="0"/>
                <w:sz w:val="16"/>
              </w:rPr>
              <w:t>-0.152</w:t>
            </w:r>
          </w:p>
        </w:tc>
        <w:tc>
          <w:tcPr>
            <w:tcW w:type="dxa" w:w="1399"/>
            <w:vAlign w:val="center"/>
          </w:tcPr>
          <w:p>
            <w:pPr>
              <w:jc w:val="center"/>
            </w:pPr>
            <w:r/>
            <w:r>
              <w:rPr>
                <w:b w:val="0"/>
                <w:sz w:val="16"/>
              </w:rPr>
              <w:t>0.995</w:t>
            </w:r>
          </w:p>
        </w:tc>
        <w:tc>
          <w:tcPr>
            <w:tcW w:type="dxa" w:w="1399"/>
            <w:vAlign w:val="center"/>
          </w:tcPr>
          <w:p>
            <w:pPr>
              <w:jc w:val="center"/>
            </w:pPr>
            <w:r/>
            <w:r>
              <w:rPr>
                <w:b w:val="0"/>
                <w:sz w:val="16"/>
              </w:rPr>
              <w:t>0.1</w:t>
            </w:r>
          </w:p>
        </w:tc>
        <w:tc>
          <w:tcPr>
            <w:tcW w:type="dxa" w:w="1399"/>
            <w:vAlign w:val="center"/>
          </w:tcPr>
          <w:p>
            <w:pPr>
              <w:jc w:val="center"/>
            </w:pPr>
            <w:r/>
            <w:r>
              <w:rPr>
                <w:b w:val="0"/>
                <w:sz w:val="16"/>
              </w:rPr>
              <w:t>147</w:t>
            </w:r>
          </w:p>
        </w:tc>
      </w:tr>
      <w:tr>
        <w:tc>
          <w:tcPr>
            <w:tcW w:type="dxa" w:w="1399"/>
            <w:vAlign w:val="center"/>
          </w:tcPr>
          <w:p>
            <w:pPr>
              <w:jc w:val="left"/>
            </w:pPr>
            <w:r/>
            <w:r>
              <w:rPr>
                <w:b w:val="0"/>
                <w:sz w:val="16"/>
              </w:rPr>
              <w:t>1% substitution + 3% N</w:t>
            </w:r>
          </w:p>
        </w:tc>
        <w:tc>
          <w:tcPr>
            <w:tcW w:type="dxa" w:w="1399"/>
            <w:vAlign w:val="center"/>
          </w:tcPr>
          <w:p>
            <w:pPr>
              <w:jc w:val="center"/>
            </w:pPr>
            <w:r/>
            <w:r>
              <w:rPr>
                <w:b w:val="0"/>
                <w:sz w:val="16"/>
              </w:rPr>
              <w:t>75</w:t>
            </w:r>
          </w:p>
        </w:tc>
        <w:tc>
          <w:tcPr>
            <w:tcW w:type="dxa" w:w="1399"/>
            <w:vAlign w:val="center"/>
          </w:tcPr>
          <w:p>
            <w:pPr>
              <w:jc w:val="center"/>
            </w:pPr>
            <w:r/>
            <w:r>
              <w:rPr>
                <w:b w:val="0"/>
                <w:sz w:val="16"/>
              </w:rPr>
              <w:t>0.047</w:t>
            </w:r>
          </w:p>
        </w:tc>
        <w:tc>
          <w:tcPr>
            <w:tcW w:type="dxa" w:w="1399"/>
            <w:vAlign w:val="center"/>
          </w:tcPr>
          <w:p>
            <w:pPr>
              <w:jc w:val="center"/>
            </w:pPr>
            <w:r/>
            <w:r>
              <w:rPr>
                <w:b w:val="0"/>
                <w:sz w:val="16"/>
              </w:rPr>
              <w:t>-0.198</w:t>
            </w:r>
          </w:p>
        </w:tc>
        <w:tc>
          <w:tcPr>
            <w:tcW w:type="dxa" w:w="1399"/>
            <w:vAlign w:val="center"/>
          </w:tcPr>
          <w:p>
            <w:pPr>
              <w:jc w:val="center"/>
            </w:pPr>
            <w:r/>
            <w:r>
              <w:rPr>
                <w:b w:val="0"/>
                <w:sz w:val="16"/>
              </w:rPr>
              <w:t>0.993</w:t>
            </w:r>
          </w:p>
        </w:tc>
        <w:tc>
          <w:tcPr>
            <w:tcW w:type="dxa" w:w="1399"/>
            <w:vAlign w:val="center"/>
          </w:tcPr>
          <w:p>
            <w:pPr>
              <w:jc w:val="center"/>
            </w:pPr>
            <w:r/>
            <w:r>
              <w:rPr>
                <w:b w:val="0"/>
                <w:sz w:val="16"/>
              </w:rPr>
              <w:t>0.119</w:t>
            </w:r>
          </w:p>
        </w:tc>
        <w:tc>
          <w:tcPr>
            <w:tcW w:type="dxa" w:w="1399"/>
            <w:vAlign w:val="center"/>
          </w:tcPr>
          <w:p>
            <w:pPr>
              <w:jc w:val="center"/>
            </w:pPr>
            <w:r/>
            <w:r>
              <w:rPr>
                <w:b w:val="0"/>
                <w:sz w:val="16"/>
              </w:rPr>
              <w:t>147</w:t>
            </w:r>
          </w:p>
        </w:tc>
      </w:tr>
      <w:tr>
        <w:tc>
          <w:tcPr>
            <w:tcW w:type="dxa" w:w="1399"/>
            <w:vAlign w:val="center"/>
          </w:tcPr>
          <w:p>
            <w:pPr>
              <w:jc w:val="left"/>
            </w:pPr>
            <w:r/>
            <w:r>
              <w:rPr>
                <w:b w:val="0"/>
                <w:sz w:val="16"/>
              </w:rPr>
              <w:t>6-bp local mismatch</w:t>
            </w:r>
          </w:p>
        </w:tc>
        <w:tc>
          <w:tcPr>
            <w:tcW w:type="dxa" w:w="1399"/>
            <w:vAlign w:val="center"/>
          </w:tcPr>
          <w:p>
            <w:pPr>
              <w:jc w:val="center"/>
            </w:pPr>
            <w:r/>
            <w:r>
              <w:rPr>
                <w:b w:val="0"/>
                <w:sz w:val="16"/>
              </w:rPr>
              <w:t>75</w:t>
            </w:r>
          </w:p>
        </w:tc>
        <w:tc>
          <w:tcPr>
            <w:tcW w:type="dxa" w:w="1399"/>
            <w:vAlign w:val="center"/>
          </w:tcPr>
          <w:p>
            <w:pPr>
              <w:jc w:val="center"/>
            </w:pPr>
            <w:r/>
            <w:r>
              <w:rPr>
                <w:b w:val="0"/>
                <w:sz w:val="16"/>
              </w:rPr>
              <w:t>0.089</w:t>
            </w:r>
          </w:p>
        </w:tc>
        <w:tc>
          <w:tcPr>
            <w:tcW w:type="dxa" w:w="1399"/>
            <w:vAlign w:val="center"/>
          </w:tcPr>
          <w:p>
            <w:pPr>
              <w:jc w:val="center"/>
            </w:pPr>
            <w:r/>
            <w:r>
              <w:rPr>
                <w:b w:val="0"/>
                <w:sz w:val="16"/>
              </w:rPr>
              <w:t>-0.297</w:t>
            </w:r>
          </w:p>
        </w:tc>
        <w:tc>
          <w:tcPr>
            <w:tcW w:type="dxa" w:w="1399"/>
            <w:vAlign w:val="center"/>
          </w:tcPr>
          <w:p>
            <w:pPr>
              <w:jc w:val="center"/>
            </w:pPr>
            <w:r/>
            <w:r>
              <w:rPr>
                <w:b w:val="0"/>
                <w:sz w:val="16"/>
              </w:rPr>
              <w:t>0.989</w:t>
            </w:r>
          </w:p>
        </w:tc>
        <w:tc>
          <w:tcPr>
            <w:tcW w:type="dxa" w:w="1399"/>
            <w:vAlign w:val="center"/>
          </w:tcPr>
          <w:p>
            <w:pPr>
              <w:jc w:val="center"/>
            </w:pPr>
            <w:r/>
            <w:r>
              <w:rPr>
                <w:b w:val="0"/>
                <w:sz w:val="16"/>
              </w:rPr>
              <w:t>0.146</w:t>
            </w:r>
          </w:p>
        </w:tc>
        <w:tc>
          <w:tcPr>
            <w:tcW w:type="dxa" w:w="1399"/>
            <w:vAlign w:val="center"/>
          </w:tcPr>
          <w:p>
            <w:pPr>
              <w:jc w:val="center"/>
            </w:pPr>
            <w:r/>
            <w:r>
              <w:rPr>
                <w:b w:val="0"/>
                <w:sz w:val="16"/>
              </w:rPr>
              <w:t>147</w:t>
            </w:r>
          </w:p>
        </w:tc>
      </w:tr>
      <w:tr>
        <w:tc>
          <w:tcPr>
            <w:tcW w:type="dxa" w:w="1399"/>
            <w:vAlign w:val="center"/>
          </w:tcPr>
          <w:p>
            <w:pPr>
              <w:jc w:val="center"/>
            </w:pPr>
            <w:r/>
            <w:r>
              <w:rPr>
                <w:b w:val="0"/>
                <w:sz w:val="16"/>
              </w:rPr>
              <w:t>3% N mask</w:t>
            </w:r>
          </w:p>
        </w:tc>
        <w:tc>
          <w:tcPr>
            <w:tcW w:type="dxa" w:w="1399"/>
            <w:vAlign w:val="center"/>
          </w:tcPr>
          <w:p>
            <w:pPr>
              <w:jc w:val="center"/>
            </w:pPr>
            <w:r/>
            <w:r>
              <w:rPr>
                <w:b w:val="0"/>
                <w:sz w:val="16"/>
              </w:rPr>
              <w:t>150</w:t>
            </w:r>
          </w:p>
        </w:tc>
        <w:tc>
          <w:tcPr>
            <w:tcW w:type="dxa" w:w="1399"/>
            <w:vAlign w:val="center"/>
          </w:tcPr>
          <w:p>
            <w:pPr>
              <w:jc w:val="center"/>
            </w:pPr>
            <w:r/>
            <w:r>
              <w:rPr>
                <w:b w:val="0"/>
                <w:sz w:val="16"/>
              </w:rPr>
              <w:t>0.019</w:t>
            </w:r>
          </w:p>
        </w:tc>
        <w:tc>
          <w:tcPr>
            <w:tcW w:type="dxa" w:w="1399"/>
            <w:vAlign w:val="center"/>
          </w:tcPr>
          <w:p>
            <w:pPr>
              <w:jc w:val="center"/>
            </w:pPr>
            <w:r/>
            <w:r>
              <w:rPr>
                <w:b w:val="0"/>
                <w:sz w:val="16"/>
              </w:rPr>
              <w:t>-0.126</w:t>
            </w:r>
          </w:p>
        </w:tc>
        <w:tc>
          <w:tcPr>
            <w:tcW w:type="dxa" w:w="1399"/>
            <w:vAlign w:val="center"/>
          </w:tcPr>
          <w:p>
            <w:pPr>
              <w:jc w:val="center"/>
            </w:pPr>
            <w:r/>
            <w:r>
              <w:rPr>
                <w:b w:val="0"/>
                <w:sz w:val="16"/>
              </w:rPr>
              <w:t>0.996</w:t>
            </w:r>
          </w:p>
        </w:tc>
        <w:tc>
          <w:tcPr>
            <w:tcW w:type="dxa" w:w="1399"/>
            <w:vAlign w:val="center"/>
          </w:tcPr>
          <w:p>
            <w:pPr>
              <w:jc w:val="center"/>
            </w:pPr>
            <w:r/>
            <w:r>
              <w:rPr>
                <w:b w:val="0"/>
                <w:sz w:val="16"/>
              </w:rPr>
              <w:t>0.087</w:t>
            </w:r>
          </w:p>
        </w:tc>
        <w:tc>
          <w:tcPr>
            <w:tcW w:type="dxa" w:w="1399"/>
            <w:vAlign w:val="center"/>
          </w:tcPr>
          <w:p>
            <w:pPr>
              <w:jc w:val="center"/>
            </w:pPr>
            <w:r/>
            <w:r>
              <w:rPr>
                <w:b w:val="0"/>
                <w:sz w:val="16"/>
              </w:rPr>
              <w:t>147</w:t>
            </w:r>
          </w:p>
        </w:tc>
      </w:tr>
      <w:tr>
        <w:tc>
          <w:tcPr>
            <w:tcW w:type="dxa" w:w="1399"/>
            <w:vAlign w:val="center"/>
          </w:tcPr>
          <w:p>
            <w:pPr>
              <w:jc w:val="left"/>
            </w:pPr>
            <w:r/>
            <w:r>
              <w:rPr>
                <w:b w:val="0"/>
                <w:sz w:val="16"/>
              </w:rPr>
              <w:t>1% substitution + 3% N</w:t>
            </w:r>
          </w:p>
        </w:tc>
        <w:tc>
          <w:tcPr>
            <w:tcW w:type="dxa" w:w="1399"/>
            <w:vAlign w:val="center"/>
          </w:tcPr>
          <w:p>
            <w:pPr>
              <w:jc w:val="center"/>
            </w:pPr>
            <w:r/>
            <w:r>
              <w:rPr>
                <w:b w:val="0"/>
                <w:sz w:val="16"/>
              </w:rPr>
              <w:t>150</w:t>
            </w:r>
          </w:p>
        </w:tc>
        <w:tc>
          <w:tcPr>
            <w:tcW w:type="dxa" w:w="1399"/>
            <w:vAlign w:val="center"/>
          </w:tcPr>
          <w:p>
            <w:pPr>
              <w:jc w:val="center"/>
            </w:pPr>
            <w:r/>
            <w:r>
              <w:rPr>
                <w:b w:val="0"/>
                <w:sz w:val="16"/>
              </w:rPr>
              <w:t>0.033</w:t>
            </w:r>
          </w:p>
        </w:tc>
        <w:tc>
          <w:tcPr>
            <w:tcW w:type="dxa" w:w="1399"/>
            <w:vAlign w:val="center"/>
          </w:tcPr>
          <w:p>
            <w:pPr>
              <w:jc w:val="center"/>
            </w:pPr>
            <w:r/>
            <w:r>
              <w:rPr>
                <w:b w:val="0"/>
                <w:sz w:val="16"/>
              </w:rPr>
              <w:t>-0.169</w:t>
            </w:r>
          </w:p>
        </w:tc>
        <w:tc>
          <w:tcPr>
            <w:tcW w:type="dxa" w:w="1399"/>
            <w:vAlign w:val="center"/>
          </w:tcPr>
          <w:p>
            <w:pPr>
              <w:jc w:val="center"/>
            </w:pPr>
            <w:r/>
            <w:r>
              <w:rPr>
                <w:b w:val="0"/>
                <w:sz w:val="16"/>
              </w:rPr>
              <w:t>0.995</w:t>
            </w:r>
          </w:p>
        </w:tc>
        <w:tc>
          <w:tcPr>
            <w:tcW w:type="dxa" w:w="1399"/>
            <w:vAlign w:val="center"/>
          </w:tcPr>
          <w:p>
            <w:pPr>
              <w:jc w:val="center"/>
            </w:pPr>
            <w:r/>
            <w:r>
              <w:rPr>
                <w:b w:val="0"/>
                <w:sz w:val="16"/>
              </w:rPr>
              <w:t>0.103</w:t>
            </w:r>
          </w:p>
        </w:tc>
        <w:tc>
          <w:tcPr>
            <w:tcW w:type="dxa" w:w="1399"/>
            <w:vAlign w:val="center"/>
          </w:tcPr>
          <w:p>
            <w:pPr>
              <w:jc w:val="center"/>
            </w:pPr>
            <w:r/>
            <w:r>
              <w:rPr>
                <w:b w:val="0"/>
                <w:sz w:val="16"/>
              </w:rPr>
              <w:t>147</w:t>
            </w:r>
          </w:p>
        </w:tc>
      </w:tr>
      <w:tr>
        <w:tc>
          <w:tcPr>
            <w:tcW w:type="dxa" w:w="1399"/>
            <w:vAlign w:val="center"/>
          </w:tcPr>
          <w:p>
            <w:pPr>
              <w:jc w:val="left"/>
            </w:pPr>
            <w:r/>
            <w:r>
              <w:rPr>
                <w:b w:val="0"/>
                <w:sz w:val="16"/>
              </w:rPr>
              <w:t>6-bp local mismatch</w:t>
            </w:r>
          </w:p>
        </w:tc>
        <w:tc>
          <w:tcPr>
            <w:tcW w:type="dxa" w:w="1399"/>
            <w:vAlign w:val="center"/>
          </w:tcPr>
          <w:p>
            <w:pPr>
              <w:jc w:val="center"/>
            </w:pPr>
            <w:r/>
            <w:r>
              <w:rPr>
                <w:b w:val="0"/>
                <w:sz w:val="16"/>
              </w:rPr>
              <w:t>150</w:t>
            </w:r>
          </w:p>
        </w:tc>
        <w:tc>
          <w:tcPr>
            <w:tcW w:type="dxa" w:w="1399"/>
            <w:vAlign w:val="center"/>
          </w:tcPr>
          <w:p>
            <w:pPr>
              <w:jc w:val="center"/>
            </w:pPr>
            <w:r/>
            <w:r>
              <w:rPr>
                <w:b w:val="0"/>
                <w:sz w:val="16"/>
              </w:rPr>
              <w:t>0.031</w:t>
            </w:r>
          </w:p>
        </w:tc>
        <w:tc>
          <w:tcPr>
            <w:tcW w:type="dxa" w:w="1399"/>
            <w:vAlign w:val="center"/>
          </w:tcPr>
          <w:p>
            <w:pPr>
              <w:jc w:val="center"/>
            </w:pPr>
            <w:r/>
            <w:r>
              <w:rPr>
                <w:b w:val="0"/>
                <w:sz w:val="16"/>
              </w:rPr>
              <w:t>-0.178</w:t>
            </w:r>
          </w:p>
        </w:tc>
        <w:tc>
          <w:tcPr>
            <w:tcW w:type="dxa" w:w="1399"/>
            <w:vAlign w:val="center"/>
          </w:tcPr>
          <w:p>
            <w:pPr>
              <w:jc w:val="center"/>
            </w:pPr>
            <w:r/>
            <w:r>
              <w:rPr>
                <w:b w:val="0"/>
                <w:sz w:val="16"/>
              </w:rPr>
              <w:t>0.996</w:t>
            </w:r>
          </w:p>
        </w:tc>
        <w:tc>
          <w:tcPr>
            <w:tcW w:type="dxa" w:w="1399"/>
            <w:vAlign w:val="center"/>
          </w:tcPr>
          <w:p>
            <w:pPr>
              <w:jc w:val="center"/>
            </w:pPr>
            <w:r/>
            <w:r>
              <w:rPr>
                <w:b w:val="0"/>
                <w:sz w:val="16"/>
              </w:rPr>
              <w:t>0.085</w:t>
            </w:r>
          </w:p>
        </w:tc>
        <w:tc>
          <w:tcPr>
            <w:tcW w:type="dxa" w:w="1399"/>
            <w:vAlign w:val="center"/>
          </w:tcPr>
          <w:p>
            <w:pPr>
              <w:jc w:val="center"/>
            </w:pPr>
            <w:r/>
            <w:r>
              <w:rPr>
                <w:b w:val="0"/>
                <w:sz w:val="16"/>
              </w:rPr>
              <w:t>147</w:t>
            </w:r>
          </w:p>
        </w:tc>
      </w:tr>
    </w:tbl>
    <w:p/>
    <w:p>
      <w:pPr>
        <w:jc w:val="center"/>
      </w:pPr>
      <w:r>
        <w:drawing>
          <wp:inline xmlns:a="http://schemas.openxmlformats.org/drawingml/2006/main" xmlns:pic="http://schemas.openxmlformats.org/drawingml/2006/picture">
            <wp:extent cx="5760720" cy="2850537"/>
            <wp:docPr id="3" name="Picture 3"/>
            <wp:cNvGraphicFramePr>
              <a:graphicFrameLocks noChangeAspect="1"/>
            </wp:cNvGraphicFramePr>
            <a:graphic>
              <a:graphicData uri="http://schemas.openxmlformats.org/drawingml/2006/picture">
                <pic:pic>
                  <pic:nvPicPr>
                    <pic:cNvPr id="0" name="stage2_fig_csp_singleton_ablation.png"/>
                    <pic:cNvPicPr/>
                  </pic:nvPicPr>
                  <pic:blipFill>
                    <a:blip r:embed="rId12"/>
                    <a:stretch>
                      <a:fillRect/>
                    </a:stretch>
                  </pic:blipFill>
                  <pic:spPr>
                    <a:xfrm>
                      <a:off x="0" y="0"/>
                      <a:ext cx="5760720" cy="2850537"/>
                    </a:xfrm>
                    <a:prstGeom prst="rect"/>
                  </pic:spPr>
                </pic:pic>
              </a:graphicData>
            </a:graphic>
          </wp:inline>
        </w:drawing>
      </w:r>
    </w:p>
    <w:p>
      <w:pPr>
        <w:jc w:val="center"/>
      </w:pPr>
      <w:r>
        <w:rPr>
          <w:i/>
          <w:sz w:val="18"/>
        </w:rPr>
        <w:t>Figure 3. Singleton property ablation.</w:t>
      </w:r>
    </w:p>
    <w:p>
      <w:pPr>
        <w:pStyle w:val="Heading2"/>
      </w:pPr>
      <w:r>
        <w:t>Lightweight readout probes separated robustness from identity resolution</w:t>
      </w:r>
    </w:p>
    <w:p>
      <w:r>
        <w:t>Readout probes did not reproduce the stability ranking as a universal accuracy ranking. In the within-genus species probe, canonical 5-mer had the highest mean macro-F1 among the tested stage-2 representations, followed closely by canonical 7-mer and the canonical 5-mer+CSP hybrid. CSP was lower. In the target/background probe, CSP had the highest mean macro-F1 but the absolute scores remained modest. This distinction is central: CSP preserved perturbed information well, but exact k-mer evidence remained important for fine identity resolution.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center"/>
            </w:pPr>
            <w:r/>
            <w:r>
              <w:rPr>
                <w:b/>
                <w:sz w:val="16"/>
              </w:rPr>
              <w:t>Task</w:t>
            </w:r>
          </w:p>
        </w:tc>
        <w:tc>
          <w:tcPr>
            <w:tcW w:type="dxa" w:w="1958"/>
            <w:vAlign w:val="center"/>
            <w:shd w:fill="E8EEF7"/>
          </w:tcPr>
          <w:p>
            <w:pPr>
              <w:jc w:val="center"/>
            </w:pPr>
            <w:r/>
            <w:r>
              <w:rPr>
                <w:b/>
                <w:sz w:val="16"/>
              </w:rPr>
              <w:t>Representation</w:t>
            </w:r>
          </w:p>
        </w:tc>
        <w:tc>
          <w:tcPr>
            <w:tcW w:type="dxa" w:w="1958"/>
            <w:vAlign w:val="center"/>
            <w:shd w:fill="E8EEF7"/>
          </w:tcPr>
          <w:p>
            <w:pPr>
              <w:jc w:val="center"/>
            </w:pPr>
            <w:r/>
            <w:r>
              <w:rPr>
                <w:b/>
                <w:sz w:val="16"/>
              </w:rPr>
              <w:t>Mean_macro_F1</w:t>
            </w:r>
          </w:p>
        </w:tc>
        <w:tc>
          <w:tcPr>
            <w:tcW w:type="dxa" w:w="1958"/>
            <w:vAlign w:val="center"/>
            <w:shd w:fill="E8EEF7"/>
          </w:tcPr>
          <w:p>
            <w:pPr>
              <w:jc w:val="center"/>
            </w:pPr>
            <w:r/>
            <w:r>
              <w:rPr>
                <w:b/>
                <w:sz w:val="16"/>
              </w:rPr>
              <w:t>Mean_accuracy</w:t>
            </w:r>
          </w:p>
        </w:tc>
        <w:tc>
          <w:tcPr>
            <w:tcW w:type="dxa" w:w="1958"/>
            <w:vAlign w:val="center"/>
            <w:shd w:fill="E8EEF7"/>
          </w:tcPr>
          <w:p>
            <w:pPr>
              <w:jc w:val="center"/>
            </w:pPr>
            <w:r/>
            <w:r>
              <w:rPr>
                <w:b/>
                <w:sz w:val="16"/>
              </w:rPr>
              <w:t>Mean_features</w:t>
            </w:r>
          </w:p>
        </w:tc>
      </w:tr>
      <w:tr>
        <w:tc>
          <w:tcPr>
            <w:tcW w:type="dxa" w:w="1958"/>
            <w:vAlign w:val="center"/>
          </w:tcPr>
          <w:p>
            <w:pPr>
              <w:jc w:val="left"/>
            </w:pPr>
            <w:r/>
            <w:r>
              <w:rPr>
                <w:b w:val="0"/>
                <w:sz w:val="16"/>
              </w:rPr>
              <w:t>Target/background</w:t>
            </w:r>
          </w:p>
        </w:tc>
        <w:tc>
          <w:tcPr>
            <w:tcW w:type="dxa" w:w="1958"/>
            <w:vAlign w:val="center"/>
          </w:tcPr>
          <w:p>
            <w:pPr>
              <w:jc w:val="center"/>
            </w:pPr>
            <w:r/>
            <w:r>
              <w:rPr>
                <w:b w:val="0"/>
                <w:sz w:val="16"/>
              </w:rPr>
              <w:t>CSP</w:t>
            </w:r>
          </w:p>
        </w:tc>
        <w:tc>
          <w:tcPr>
            <w:tcW w:type="dxa" w:w="1958"/>
            <w:vAlign w:val="center"/>
          </w:tcPr>
          <w:p>
            <w:pPr>
              <w:jc w:val="center"/>
            </w:pPr>
            <w:r/>
            <w:r>
              <w:rPr>
                <w:b w:val="0"/>
                <w:sz w:val="16"/>
              </w:rPr>
              <w:t>0.507</w:t>
            </w:r>
          </w:p>
        </w:tc>
        <w:tc>
          <w:tcPr>
            <w:tcW w:type="dxa" w:w="1958"/>
            <w:vAlign w:val="center"/>
          </w:tcPr>
          <w:p>
            <w:pPr>
              <w:jc w:val="center"/>
            </w:pPr>
            <w:r/>
            <w:r>
              <w:rPr>
                <w:b w:val="0"/>
                <w:sz w:val="16"/>
              </w:rPr>
              <w:t>0.553</w:t>
            </w:r>
          </w:p>
        </w:tc>
        <w:tc>
          <w:tcPr>
            <w:tcW w:type="dxa" w:w="1958"/>
            <w:vAlign w:val="center"/>
          </w:tcPr>
          <w:p>
            <w:pPr>
              <w:jc w:val="center"/>
            </w:pPr>
            <w:r/>
            <w:r>
              <w:rPr>
                <w:b w:val="0"/>
                <w:sz w:val="16"/>
              </w:rPr>
              <w:t>146.99</w:t>
            </w:r>
          </w:p>
        </w:tc>
      </w:tr>
      <w:tr>
        <w:tc>
          <w:tcPr>
            <w:tcW w:type="dxa" w:w="1958"/>
            <w:vAlign w:val="center"/>
          </w:tcPr>
          <w:p>
            <w:pPr>
              <w:jc w:val="left"/>
            </w:pPr>
            <w:r/>
            <w:r>
              <w:rPr>
                <w:b w:val="0"/>
                <w:sz w:val="16"/>
              </w:rPr>
              <w:t>Target/background</w:t>
            </w:r>
          </w:p>
        </w:tc>
        <w:tc>
          <w:tcPr>
            <w:tcW w:type="dxa" w:w="1958"/>
            <w:vAlign w:val="center"/>
          </w:tcPr>
          <w:p>
            <w:pPr>
              <w:jc w:val="center"/>
            </w:pPr>
            <w:r/>
            <w:r>
              <w:rPr>
                <w:b w:val="0"/>
                <w:sz w:val="16"/>
              </w:rPr>
              <w:t>Canonical 5-mer</w:t>
            </w:r>
          </w:p>
        </w:tc>
        <w:tc>
          <w:tcPr>
            <w:tcW w:type="dxa" w:w="1958"/>
            <w:vAlign w:val="center"/>
          </w:tcPr>
          <w:p>
            <w:pPr>
              <w:jc w:val="center"/>
            </w:pPr>
            <w:r/>
            <w:r>
              <w:rPr>
                <w:b w:val="0"/>
                <w:sz w:val="16"/>
              </w:rPr>
              <w:t>0.491</w:t>
            </w:r>
          </w:p>
        </w:tc>
        <w:tc>
          <w:tcPr>
            <w:tcW w:type="dxa" w:w="1958"/>
            <w:vAlign w:val="center"/>
          </w:tcPr>
          <w:p>
            <w:pPr>
              <w:jc w:val="center"/>
            </w:pPr>
            <w:r/>
            <w:r>
              <w:rPr>
                <w:b w:val="0"/>
                <w:sz w:val="16"/>
              </w:rPr>
              <w:t>0.552</w:t>
            </w:r>
          </w:p>
        </w:tc>
        <w:tc>
          <w:tcPr>
            <w:tcW w:type="dxa" w:w="1958"/>
            <w:vAlign w:val="center"/>
          </w:tcPr>
          <w:p>
            <w:pPr>
              <w:jc w:val="center"/>
            </w:pPr>
            <w:r/>
            <w:r>
              <w:rPr>
                <w:b w:val="0"/>
                <w:sz w:val="16"/>
              </w:rPr>
              <w:t>505.68</w:t>
            </w:r>
          </w:p>
        </w:tc>
      </w:tr>
      <w:tr>
        <w:tc>
          <w:tcPr>
            <w:tcW w:type="dxa" w:w="1958"/>
            <w:vAlign w:val="center"/>
          </w:tcPr>
          <w:p>
            <w:pPr>
              <w:jc w:val="left"/>
            </w:pPr>
            <w:r/>
            <w:r>
              <w:rPr>
                <w:b w:val="0"/>
                <w:sz w:val="16"/>
              </w:rPr>
              <w:t>Target/background</w:t>
            </w:r>
          </w:p>
        </w:tc>
        <w:tc>
          <w:tcPr>
            <w:tcW w:type="dxa" w:w="1958"/>
            <w:vAlign w:val="center"/>
          </w:tcPr>
          <w:p>
            <w:pPr>
              <w:jc w:val="left"/>
            </w:pPr>
            <w:r/>
            <w:r>
              <w:rPr>
                <w:b w:val="0"/>
                <w:sz w:val="16"/>
              </w:rPr>
              <w:t>Canonical 5-mer + CSP</w:t>
            </w:r>
          </w:p>
        </w:tc>
        <w:tc>
          <w:tcPr>
            <w:tcW w:type="dxa" w:w="1958"/>
            <w:vAlign w:val="center"/>
          </w:tcPr>
          <w:p>
            <w:pPr>
              <w:jc w:val="center"/>
            </w:pPr>
            <w:r/>
            <w:r>
              <w:rPr>
                <w:b w:val="0"/>
                <w:sz w:val="16"/>
              </w:rPr>
              <w:t>0.49</w:t>
            </w:r>
          </w:p>
        </w:tc>
        <w:tc>
          <w:tcPr>
            <w:tcW w:type="dxa" w:w="1958"/>
            <w:vAlign w:val="center"/>
          </w:tcPr>
          <w:p>
            <w:pPr>
              <w:jc w:val="center"/>
            </w:pPr>
            <w:r/>
            <w:r>
              <w:rPr>
                <w:b w:val="0"/>
                <w:sz w:val="16"/>
              </w:rPr>
              <w:t>0.542</w:t>
            </w:r>
          </w:p>
        </w:tc>
        <w:tc>
          <w:tcPr>
            <w:tcW w:type="dxa" w:w="1958"/>
            <w:vAlign w:val="center"/>
          </w:tcPr>
          <w:p>
            <w:pPr>
              <w:jc w:val="center"/>
            </w:pPr>
            <w:r/>
            <w:r>
              <w:rPr>
                <w:b w:val="0"/>
                <w:sz w:val="16"/>
              </w:rPr>
              <w:t>652.67</w:t>
            </w:r>
          </w:p>
        </w:tc>
      </w:tr>
      <w:tr>
        <w:tc>
          <w:tcPr>
            <w:tcW w:type="dxa" w:w="1958"/>
            <w:vAlign w:val="center"/>
          </w:tcPr>
          <w:p>
            <w:pPr>
              <w:jc w:val="left"/>
            </w:pPr>
            <w:r/>
            <w:r>
              <w:rPr>
                <w:b w:val="0"/>
                <w:sz w:val="16"/>
              </w:rPr>
              <w:t>Target/background</w:t>
            </w:r>
          </w:p>
        </w:tc>
        <w:tc>
          <w:tcPr>
            <w:tcW w:type="dxa" w:w="1958"/>
            <w:vAlign w:val="center"/>
          </w:tcPr>
          <w:p>
            <w:pPr>
              <w:jc w:val="left"/>
            </w:pPr>
            <w:r/>
            <w:r>
              <w:rPr>
                <w:b w:val="0"/>
                <w:sz w:val="16"/>
              </w:rPr>
              <w:t>Canonical spaced seed</w:t>
            </w:r>
          </w:p>
        </w:tc>
        <w:tc>
          <w:tcPr>
            <w:tcW w:type="dxa" w:w="1958"/>
            <w:vAlign w:val="center"/>
          </w:tcPr>
          <w:p>
            <w:pPr>
              <w:jc w:val="center"/>
            </w:pPr>
            <w:r/>
            <w:r>
              <w:rPr>
                <w:b w:val="0"/>
                <w:sz w:val="16"/>
              </w:rPr>
              <w:t>0.481</w:t>
            </w:r>
          </w:p>
        </w:tc>
        <w:tc>
          <w:tcPr>
            <w:tcW w:type="dxa" w:w="1958"/>
            <w:vAlign w:val="center"/>
          </w:tcPr>
          <w:p>
            <w:pPr>
              <w:jc w:val="center"/>
            </w:pPr>
            <w:r/>
            <w:r>
              <w:rPr>
                <w:b w:val="0"/>
                <w:sz w:val="16"/>
              </w:rPr>
              <w:t>0.549</w:t>
            </w:r>
          </w:p>
        </w:tc>
        <w:tc>
          <w:tcPr>
            <w:tcW w:type="dxa" w:w="1958"/>
            <w:vAlign w:val="center"/>
          </w:tcPr>
          <w:p>
            <w:pPr>
              <w:jc w:val="center"/>
            </w:pPr>
            <w:r/>
            <w:r>
              <w:rPr>
                <w:b w:val="0"/>
                <w:sz w:val="16"/>
              </w:rPr>
              <w:t>135.99</w:t>
            </w:r>
          </w:p>
        </w:tc>
      </w:tr>
      <w:tr>
        <w:tc>
          <w:tcPr>
            <w:tcW w:type="dxa" w:w="1958"/>
            <w:vAlign w:val="center"/>
          </w:tcPr>
          <w:p>
            <w:pPr>
              <w:jc w:val="left"/>
            </w:pPr>
            <w:r/>
            <w:r>
              <w:rPr>
                <w:b w:val="0"/>
                <w:sz w:val="16"/>
              </w:rPr>
              <w:t>Target/background</w:t>
            </w:r>
          </w:p>
        </w:tc>
        <w:tc>
          <w:tcPr>
            <w:tcW w:type="dxa" w:w="1958"/>
            <w:vAlign w:val="center"/>
          </w:tcPr>
          <w:p>
            <w:pPr>
              <w:jc w:val="center"/>
            </w:pPr>
            <w:r/>
            <w:r>
              <w:rPr>
                <w:b w:val="0"/>
                <w:sz w:val="16"/>
              </w:rPr>
              <w:t>Canonical 7-mer</w:t>
            </w:r>
          </w:p>
        </w:tc>
        <w:tc>
          <w:tcPr>
            <w:tcW w:type="dxa" w:w="1958"/>
            <w:vAlign w:val="center"/>
          </w:tcPr>
          <w:p>
            <w:pPr>
              <w:jc w:val="center"/>
            </w:pPr>
            <w:r/>
            <w:r>
              <w:rPr>
                <w:b w:val="0"/>
                <w:sz w:val="16"/>
              </w:rPr>
              <w:t>0.453</w:t>
            </w:r>
          </w:p>
        </w:tc>
        <w:tc>
          <w:tcPr>
            <w:tcW w:type="dxa" w:w="1958"/>
            <w:vAlign w:val="center"/>
          </w:tcPr>
          <w:p>
            <w:pPr>
              <w:jc w:val="center"/>
            </w:pPr>
            <w:r/>
            <w:r>
              <w:rPr>
                <w:b w:val="0"/>
                <w:sz w:val="16"/>
              </w:rPr>
              <w:t>0.574</w:t>
            </w:r>
          </w:p>
        </w:tc>
        <w:tc>
          <w:tcPr>
            <w:tcW w:type="dxa" w:w="1958"/>
            <w:vAlign w:val="center"/>
          </w:tcPr>
          <w:p>
            <w:pPr>
              <w:jc w:val="center"/>
            </w:pPr>
            <w:r/>
            <w:r>
              <w:rPr>
                <w:b w:val="0"/>
                <w:sz w:val="16"/>
              </w:rPr>
              <w:t>4395.8</w:t>
            </w:r>
          </w:p>
        </w:tc>
      </w:tr>
      <w:tr>
        <w:tc>
          <w:tcPr>
            <w:tcW w:type="dxa" w:w="1958"/>
            <w:vAlign w:val="center"/>
          </w:tcPr>
          <w:p>
            <w:pPr>
              <w:jc w:val="left"/>
            </w:pPr>
            <w:r/>
            <w:r>
              <w:rPr>
                <w:b w:val="0"/>
                <w:sz w:val="16"/>
              </w:rPr>
              <w:t>Within-genus species</w:t>
            </w:r>
          </w:p>
        </w:tc>
        <w:tc>
          <w:tcPr>
            <w:tcW w:type="dxa" w:w="1958"/>
            <w:vAlign w:val="center"/>
          </w:tcPr>
          <w:p>
            <w:pPr>
              <w:jc w:val="center"/>
            </w:pPr>
            <w:r/>
            <w:r>
              <w:rPr>
                <w:b w:val="0"/>
                <w:sz w:val="16"/>
              </w:rPr>
              <w:t>Canonical 5-mer</w:t>
            </w:r>
          </w:p>
        </w:tc>
        <w:tc>
          <w:tcPr>
            <w:tcW w:type="dxa" w:w="1958"/>
            <w:vAlign w:val="center"/>
          </w:tcPr>
          <w:p>
            <w:pPr>
              <w:jc w:val="center"/>
            </w:pPr>
            <w:r/>
            <w:r>
              <w:rPr>
                <w:b w:val="0"/>
                <w:sz w:val="16"/>
              </w:rPr>
              <w:t>0.309</w:t>
            </w:r>
          </w:p>
        </w:tc>
        <w:tc>
          <w:tcPr>
            <w:tcW w:type="dxa" w:w="1958"/>
            <w:vAlign w:val="center"/>
          </w:tcPr>
          <w:p>
            <w:pPr>
              <w:jc w:val="center"/>
            </w:pPr>
            <w:r/>
            <w:r>
              <w:rPr>
                <w:b w:val="0"/>
                <w:sz w:val="16"/>
              </w:rPr>
              <w:t>0.329</w:t>
            </w:r>
          </w:p>
        </w:tc>
        <w:tc>
          <w:tcPr>
            <w:tcW w:type="dxa" w:w="1958"/>
            <w:vAlign w:val="center"/>
          </w:tcPr>
          <w:p>
            <w:pPr>
              <w:jc w:val="center"/>
            </w:pPr>
            <w:r/>
            <w:r>
              <w:rPr>
                <w:b w:val="0"/>
                <w:sz w:val="16"/>
              </w:rPr>
              <w:t>507.783</w:t>
            </w:r>
          </w:p>
        </w:tc>
      </w:tr>
      <w:tr>
        <w:tc>
          <w:tcPr>
            <w:tcW w:type="dxa" w:w="1958"/>
            <w:vAlign w:val="center"/>
          </w:tcPr>
          <w:p>
            <w:pPr>
              <w:jc w:val="left"/>
            </w:pPr>
            <w:r/>
            <w:r>
              <w:rPr>
                <w:b w:val="0"/>
                <w:sz w:val="16"/>
              </w:rPr>
              <w:t>Within-genus species</w:t>
            </w:r>
          </w:p>
        </w:tc>
        <w:tc>
          <w:tcPr>
            <w:tcW w:type="dxa" w:w="1958"/>
            <w:vAlign w:val="center"/>
          </w:tcPr>
          <w:p>
            <w:pPr>
              <w:jc w:val="center"/>
            </w:pPr>
            <w:r/>
            <w:r>
              <w:rPr>
                <w:b w:val="0"/>
                <w:sz w:val="16"/>
              </w:rPr>
              <w:t>Canonical 7-mer</w:t>
            </w:r>
          </w:p>
        </w:tc>
        <w:tc>
          <w:tcPr>
            <w:tcW w:type="dxa" w:w="1958"/>
            <w:vAlign w:val="center"/>
          </w:tcPr>
          <w:p>
            <w:pPr>
              <w:jc w:val="center"/>
            </w:pPr>
            <w:r/>
            <w:r>
              <w:rPr>
                <w:b w:val="0"/>
                <w:sz w:val="16"/>
              </w:rPr>
              <w:t>0.307</w:t>
            </w:r>
          </w:p>
        </w:tc>
        <w:tc>
          <w:tcPr>
            <w:tcW w:type="dxa" w:w="1958"/>
            <w:vAlign w:val="center"/>
          </w:tcPr>
          <w:p>
            <w:pPr>
              <w:jc w:val="center"/>
            </w:pPr>
            <w:r/>
            <w:r>
              <w:rPr>
                <w:b w:val="0"/>
                <w:sz w:val="16"/>
              </w:rPr>
              <w:t>0.331</w:t>
            </w:r>
          </w:p>
        </w:tc>
        <w:tc>
          <w:tcPr>
            <w:tcW w:type="dxa" w:w="1958"/>
            <w:vAlign w:val="center"/>
          </w:tcPr>
          <w:p>
            <w:pPr>
              <w:jc w:val="center"/>
            </w:pPr>
            <w:r/>
            <w:r>
              <w:rPr>
                <w:b w:val="0"/>
                <w:sz w:val="16"/>
              </w:rPr>
              <w:t>4946.21</w:t>
            </w:r>
          </w:p>
        </w:tc>
      </w:tr>
      <w:tr>
        <w:tc>
          <w:tcPr>
            <w:tcW w:type="dxa" w:w="1958"/>
            <w:vAlign w:val="center"/>
          </w:tcPr>
          <w:p>
            <w:pPr>
              <w:jc w:val="left"/>
            </w:pPr>
            <w:r/>
            <w:r>
              <w:rPr>
                <w:b w:val="0"/>
                <w:sz w:val="16"/>
              </w:rPr>
              <w:t>Within-genus species</w:t>
            </w:r>
          </w:p>
        </w:tc>
        <w:tc>
          <w:tcPr>
            <w:tcW w:type="dxa" w:w="1958"/>
            <w:vAlign w:val="center"/>
          </w:tcPr>
          <w:p>
            <w:pPr>
              <w:jc w:val="left"/>
            </w:pPr>
            <w:r/>
            <w:r>
              <w:rPr>
                <w:b w:val="0"/>
                <w:sz w:val="16"/>
              </w:rPr>
              <w:t>Canonical 5-mer + CSP</w:t>
            </w:r>
          </w:p>
        </w:tc>
        <w:tc>
          <w:tcPr>
            <w:tcW w:type="dxa" w:w="1958"/>
            <w:vAlign w:val="center"/>
          </w:tcPr>
          <w:p>
            <w:pPr>
              <w:jc w:val="center"/>
            </w:pPr>
            <w:r/>
            <w:r>
              <w:rPr>
                <w:b w:val="0"/>
                <w:sz w:val="16"/>
              </w:rPr>
              <w:t>0.307</w:t>
            </w:r>
          </w:p>
        </w:tc>
        <w:tc>
          <w:tcPr>
            <w:tcW w:type="dxa" w:w="1958"/>
            <w:vAlign w:val="center"/>
          </w:tcPr>
          <w:p>
            <w:pPr>
              <w:jc w:val="center"/>
            </w:pPr>
            <w:r/>
            <w:r>
              <w:rPr>
                <w:b w:val="0"/>
                <w:sz w:val="16"/>
              </w:rPr>
              <w:t>0.326</w:t>
            </w:r>
          </w:p>
        </w:tc>
        <w:tc>
          <w:tcPr>
            <w:tcW w:type="dxa" w:w="1958"/>
            <w:vAlign w:val="center"/>
          </w:tcPr>
          <w:p>
            <w:pPr>
              <w:jc w:val="center"/>
            </w:pPr>
            <w:r/>
            <w:r>
              <w:rPr>
                <w:b w:val="0"/>
                <w:sz w:val="16"/>
              </w:rPr>
              <w:t>654.758</w:t>
            </w:r>
          </w:p>
        </w:tc>
      </w:tr>
      <w:tr>
        <w:tc>
          <w:tcPr>
            <w:tcW w:type="dxa" w:w="1958"/>
            <w:vAlign w:val="center"/>
          </w:tcPr>
          <w:p>
            <w:pPr>
              <w:jc w:val="left"/>
            </w:pPr>
            <w:r/>
            <w:r>
              <w:rPr>
                <w:b w:val="0"/>
                <w:sz w:val="16"/>
              </w:rPr>
              <w:t>Within-genus species</w:t>
            </w:r>
          </w:p>
        </w:tc>
        <w:tc>
          <w:tcPr>
            <w:tcW w:type="dxa" w:w="1958"/>
            <w:vAlign w:val="center"/>
          </w:tcPr>
          <w:p>
            <w:pPr>
              <w:jc w:val="center"/>
            </w:pPr>
            <w:r/>
            <w:r>
              <w:rPr>
                <w:b w:val="0"/>
                <w:sz w:val="16"/>
              </w:rPr>
              <w:t>CSP</w:t>
            </w:r>
          </w:p>
        </w:tc>
        <w:tc>
          <w:tcPr>
            <w:tcW w:type="dxa" w:w="1958"/>
            <w:vAlign w:val="center"/>
          </w:tcPr>
          <w:p>
            <w:pPr>
              <w:jc w:val="center"/>
            </w:pPr>
            <w:r/>
            <w:r>
              <w:rPr>
                <w:b w:val="0"/>
                <w:sz w:val="16"/>
              </w:rPr>
              <w:t>0.301</w:t>
            </w:r>
          </w:p>
        </w:tc>
        <w:tc>
          <w:tcPr>
            <w:tcW w:type="dxa" w:w="1958"/>
            <w:vAlign w:val="center"/>
          </w:tcPr>
          <w:p>
            <w:pPr>
              <w:jc w:val="center"/>
            </w:pPr>
            <w:r/>
            <w:r>
              <w:rPr>
                <w:b w:val="0"/>
                <w:sz w:val="16"/>
              </w:rPr>
              <w:t>0.319</w:t>
            </w:r>
          </w:p>
        </w:tc>
        <w:tc>
          <w:tcPr>
            <w:tcW w:type="dxa" w:w="1958"/>
            <w:vAlign w:val="center"/>
          </w:tcPr>
          <w:p>
            <w:pPr>
              <w:jc w:val="center"/>
            </w:pPr>
            <w:r/>
            <w:r>
              <w:rPr>
                <w:b w:val="0"/>
                <w:sz w:val="16"/>
              </w:rPr>
              <w:t>146.975</w:t>
            </w:r>
          </w:p>
        </w:tc>
      </w:tr>
      <w:tr>
        <w:tc>
          <w:tcPr>
            <w:tcW w:type="dxa" w:w="1958"/>
            <w:vAlign w:val="center"/>
          </w:tcPr>
          <w:p>
            <w:pPr>
              <w:jc w:val="left"/>
            </w:pPr>
            <w:r/>
            <w:r>
              <w:rPr>
                <w:b w:val="0"/>
                <w:sz w:val="16"/>
              </w:rPr>
              <w:t>Within-genus species</w:t>
            </w:r>
          </w:p>
        </w:tc>
        <w:tc>
          <w:tcPr>
            <w:tcW w:type="dxa" w:w="1958"/>
            <w:vAlign w:val="center"/>
          </w:tcPr>
          <w:p>
            <w:pPr>
              <w:jc w:val="left"/>
            </w:pPr>
            <w:r/>
            <w:r>
              <w:rPr>
                <w:b w:val="0"/>
                <w:sz w:val="16"/>
              </w:rPr>
              <w:t>Canonical spaced seed</w:t>
            </w:r>
          </w:p>
        </w:tc>
        <w:tc>
          <w:tcPr>
            <w:tcW w:type="dxa" w:w="1958"/>
            <w:vAlign w:val="center"/>
          </w:tcPr>
          <w:p>
            <w:pPr>
              <w:jc w:val="center"/>
            </w:pPr>
            <w:r/>
            <w:r>
              <w:rPr>
                <w:b w:val="0"/>
                <w:sz w:val="16"/>
              </w:rPr>
              <w:t>0.297</w:t>
            </w:r>
          </w:p>
        </w:tc>
        <w:tc>
          <w:tcPr>
            <w:tcW w:type="dxa" w:w="1958"/>
            <w:vAlign w:val="center"/>
          </w:tcPr>
          <w:p>
            <w:pPr>
              <w:jc w:val="center"/>
            </w:pPr>
            <w:r/>
            <w:r>
              <w:rPr>
                <w:b w:val="0"/>
                <w:sz w:val="16"/>
              </w:rPr>
              <w:t>0.316</w:t>
            </w:r>
          </w:p>
        </w:tc>
        <w:tc>
          <w:tcPr>
            <w:tcW w:type="dxa" w:w="1958"/>
            <w:vAlign w:val="center"/>
          </w:tcPr>
          <w:p>
            <w:pPr>
              <w:jc w:val="center"/>
            </w:pPr>
            <w:r/>
            <w:r>
              <w:rPr>
                <w:b w:val="0"/>
                <w:sz w:val="16"/>
              </w:rPr>
              <w:t>135.975</w:t>
            </w:r>
          </w:p>
        </w:tc>
      </w:tr>
    </w:tbl>
    <w:p/>
    <w:p>
      <w:pPr>
        <w:jc w:val="center"/>
      </w:pPr>
      <w:r>
        <w:drawing>
          <wp:inline xmlns:a="http://schemas.openxmlformats.org/drawingml/2006/main" xmlns:pic="http://schemas.openxmlformats.org/drawingml/2006/picture">
            <wp:extent cx="5760720" cy="2187410"/>
            <wp:docPr id="4" name="Picture 4"/>
            <wp:cNvGraphicFramePr>
              <a:graphicFrameLocks noChangeAspect="1"/>
            </wp:cNvGraphicFramePr>
            <a:graphic>
              <a:graphicData uri="http://schemas.openxmlformats.org/drawingml/2006/picture">
                <pic:pic>
                  <pic:nvPicPr>
                    <pic:cNvPr id="0" name="stage2_fig_readout_aggregate.png"/>
                    <pic:cNvPicPr/>
                  </pic:nvPicPr>
                  <pic:blipFill>
                    <a:blip r:embed="rId13"/>
                    <a:stretch>
                      <a:fillRect/>
                    </a:stretch>
                  </pic:blipFill>
                  <pic:spPr>
                    <a:xfrm>
                      <a:off x="0" y="0"/>
                      <a:ext cx="5760720" cy="2187410"/>
                    </a:xfrm>
                    <a:prstGeom prst="rect"/>
                  </pic:spPr>
                </pic:pic>
              </a:graphicData>
            </a:graphic>
          </wp:inline>
        </w:drawing>
      </w:r>
    </w:p>
    <w:p>
      <w:pPr>
        <w:jc w:val="center"/>
      </w:pPr>
      <w:r>
        <w:rPr>
          <w:i/>
          <w:sz w:val="18"/>
        </w:rPr>
        <w:t>Figure 4. Lightweight readout probes remained task-dependent.</w:t>
      </w:r>
    </w:p>
    <w:p>
      <w:pPr>
        <w:pStyle w:val="Heading2"/>
      </w:pPr>
      <w:r>
        <w:t>k and spaced-pattern sensitivity argued against a single-parameter recommendation</w:t>
      </w:r>
    </w:p>
    <w:p>
      <w:r>
        <w:t>The parameter grid showed that the best readout configuration changed with task and read length. Target/background at 69 bp favored a canonical spaced pattern, target/background at 75 bp favored k=5, and within-genus species at 150 bp favored canonical k=6. This supports the paper's framing as a representation-diagnostics study rather than a universal prescription for one k or one seed pattern.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E8EEF7"/>
          </w:tcPr>
          <w:p>
            <w:pPr>
              <w:jc w:val="center"/>
            </w:pPr>
            <w:r/>
            <w:r>
              <w:rPr>
                <w:b/>
                <w:sz w:val="16"/>
              </w:rPr>
              <w:t>Probe</w:t>
            </w:r>
          </w:p>
        </w:tc>
        <w:tc>
          <w:tcPr>
            <w:tcW w:type="dxa" w:w="1399"/>
            <w:vAlign w:val="center"/>
            <w:shd w:fill="E8EEF7"/>
          </w:tcPr>
          <w:p>
            <w:pPr>
              <w:jc w:val="center"/>
            </w:pPr>
            <w:r/>
            <w:r>
              <w:rPr>
                <w:b/>
                <w:sz w:val="16"/>
              </w:rPr>
              <w:t>Length</w:t>
            </w:r>
          </w:p>
        </w:tc>
        <w:tc>
          <w:tcPr>
            <w:tcW w:type="dxa" w:w="1399"/>
            <w:vAlign w:val="center"/>
            <w:shd w:fill="E8EEF7"/>
          </w:tcPr>
          <w:p>
            <w:pPr>
              <w:jc w:val="center"/>
            </w:pPr>
            <w:r/>
            <w:r>
              <w:rPr>
                <w:b/>
                <w:sz w:val="16"/>
              </w:rPr>
              <w:t>Method</w:t>
            </w:r>
          </w:p>
        </w:tc>
        <w:tc>
          <w:tcPr>
            <w:tcW w:type="dxa" w:w="1399"/>
            <w:vAlign w:val="center"/>
            <w:shd w:fill="E8EEF7"/>
          </w:tcPr>
          <w:p>
            <w:pPr>
              <w:jc w:val="center"/>
            </w:pPr>
            <w:r/>
            <w:r>
              <w:rPr>
                <w:b/>
                <w:sz w:val="16"/>
              </w:rPr>
              <w:t>Parameter</w:t>
            </w:r>
          </w:p>
        </w:tc>
        <w:tc>
          <w:tcPr>
            <w:tcW w:type="dxa" w:w="1399"/>
            <w:vAlign w:val="center"/>
            <w:shd w:fill="E8EEF7"/>
          </w:tcPr>
          <w:p>
            <w:pPr>
              <w:jc w:val="center"/>
            </w:pPr>
            <w:r/>
            <w:r>
              <w:rPr>
                <w:b/>
                <w:sz w:val="16"/>
              </w:rPr>
              <w:t>Mean macro-F1</w:t>
            </w:r>
          </w:p>
        </w:tc>
        <w:tc>
          <w:tcPr>
            <w:tcW w:type="dxa" w:w="1399"/>
            <w:vAlign w:val="center"/>
            <w:shd w:fill="E8EEF7"/>
          </w:tcPr>
          <w:p>
            <w:pPr>
              <w:jc w:val="center"/>
            </w:pPr>
            <w:r/>
            <w:r>
              <w:rPr>
                <w:b/>
                <w:sz w:val="16"/>
              </w:rPr>
              <w:t>SD macro-F1</w:t>
            </w:r>
          </w:p>
        </w:tc>
        <w:tc>
          <w:tcPr>
            <w:tcW w:type="dxa" w:w="1399"/>
            <w:vAlign w:val="center"/>
            <w:shd w:fill="E8EEF7"/>
          </w:tcPr>
          <w:p>
            <w:pPr>
              <w:jc w:val="center"/>
            </w:pPr>
            <w:r/>
            <w:r>
              <w:rPr>
                <w:b/>
                <w:sz w:val="16"/>
              </w:rPr>
              <w:t>Mean features</w:t>
            </w:r>
          </w:p>
        </w:tc>
      </w:tr>
      <w:tr>
        <w:tc>
          <w:tcPr>
            <w:tcW w:type="dxa" w:w="1399"/>
            <w:vAlign w:val="center"/>
          </w:tcPr>
          <w:p>
            <w:pPr>
              <w:jc w:val="left"/>
            </w:pPr>
            <w:r/>
            <w:r>
              <w:rPr>
                <w:b w:val="0"/>
                <w:sz w:val="16"/>
              </w:rPr>
              <w:t>target_background</w:t>
            </w:r>
          </w:p>
        </w:tc>
        <w:tc>
          <w:tcPr>
            <w:tcW w:type="dxa" w:w="1399"/>
            <w:vAlign w:val="center"/>
          </w:tcPr>
          <w:p>
            <w:pPr>
              <w:jc w:val="center"/>
            </w:pPr>
            <w:r/>
            <w:r>
              <w:rPr>
                <w:b w:val="0"/>
                <w:sz w:val="16"/>
              </w:rPr>
              <w:t>69</w:t>
            </w:r>
          </w:p>
        </w:tc>
        <w:tc>
          <w:tcPr>
            <w:tcW w:type="dxa" w:w="1399"/>
            <w:vAlign w:val="center"/>
          </w:tcPr>
          <w:p>
            <w:pPr>
              <w:jc w:val="left"/>
            </w:pPr>
            <w:r/>
            <w:r>
              <w:rPr>
                <w:b w:val="0"/>
                <w:sz w:val="16"/>
              </w:rPr>
              <w:t>canonical spaced</w:t>
            </w:r>
          </w:p>
        </w:tc>
        <w:tc>
          <w:tcPr>
            <w:tcW w:type="dxa" w:w="1399"/>
            <w:vAlign w:val="center"/>
          </w:tcPr>
          <w:p>
            <w:pPr>
              <w:jc w:val="center"/>
            </w:pPr>
            <w:r/>
            <w:r>
              <w:rPr>
                <w:b w:val="0"/>
                <w:sz w:val="16"/>
              </w:rPr>
              <w:t>pattern=0-2-5-7</w:t>
            </w:r>
          </w:p>
        </w:tc>
        <w:tc>
          <w:tcPr>
            <w:tcW w:type="dxa" w:w="1399"/>
            <w:vAlign w:val="center"/>
          </w:tcPr>
          <w:p>
            <w:pPr>
              <w:jc w:val="center"/>
            </w:pPr>
            <w:r/>
            <w:r>
              <w:rPr>
                <w:b w:val="0"/>
                <w:sz w:val="16"/>
              </w:rPr>
              <w:t>0.555</w:t>
            </w:r>
          </w:p>
        </w:tc>
        <w:tc>
          <w:tcPr>
            <w:tcW w:type="dxa" w:w="1399"/>
            <w:vAlign w:val="center"/>
          </w:tcPr>
          <w:p>
            <w:pPr>
              <w:jc w:val="center"/>
            </w:pPr>
            <w:r/>
            <w:r>
              <w:rPr>
                <w:b w:val="0"/>
                <w:sz w:val="16"/>
              </w:rPr>
              <w:t>0.085</w:t>
            </w:r>
          </w:p>
        </w:tc>
        <w:tc>
          <w:tcPr>
            <w:tcW w:type="dxa" w:w="1399"/>
            <w:vAlign w:val="center"/>
          </w:tcPr>
          <w:p>
            <w:pPr>
              <w:jc w:val="center"/>
            </w:pPr>
            <w:r/>
            <w:r>
              <w:rPr>
                <w:b w:val="0"/>
                <w:sz w:val="16"/>
              </w:rPr>
              <w:t>136</w:t>
            </w:r>
          </w:p>
        </w:tc>
      </w:tr>
      <w:tr>
        <w:tc>
          <w:tcPr>
            <w:tcW w:type="dxa" w:w="1399"/>
            <w:vAlign w:val="center"/>
          </w:tcPr>
          <w:p>
            <w:pPr>
              <w:jc w:val="left"/>
            </w:pPr>
            <w:r/>
            <w:r>
              <w:rPr>
                <w:b w:val="0"/>
                <w:sz w:val="16"/>
              </w:rPr>
              <w:t>target_background</w:t>
            </w:r>
          </w:p>
        </w:tc>
        <w:tc>
          <w:tcPr>
            <w:tcW w:type="dxa" w:w="1399"/>
            <w:vAlign w:val="center"/>
          </w:tcPr>
          <w:p>
            <w:pPr>
              <w:jc w:val="center"/>
            </w:pPr>
            <w:r/>
            <w:r>
              <w:rPr>
                <w:b w:val="0"/>
                <w:sz w:val="16"/>
              </w:rPr>
              <w:t>75</w:t>
            </w:r>
          </w:p>
        </w:tc>
        <w:tc>
          <w:tcPr>
            <w:tcW w:type="dxa" w:w="1399"/>
            <w:vAlign w:val="center"/>
          </w:tcPr>
          <w:p>
            <w:pPr>
              <w:jc w:val="center"/>
            </w:pPr>
            <w:r/>
            <w:r>
              <w:rPr>
                <w:b w:val="0"/>
                <w:sz w:val="16"/>
              </w:rPr>
              <w:t>k-mer</w:t>
            </w:r>
          </w:p>
        </w:tc>
        <w:tc>
          <w:tcPr>
            <w:tcW w:type="dxa" w:w="1399"/>
            <w:vAlign w:val="center"/>
          </w:tcPr>
          <w:p>
            <w:pPr>
              <w:jc w:val="center"/>
            </w:pPr>
            <w:r/>
            <w:r>
              <w:rPr>
                <w:b w:val="0"/>
                <w:sz w:val="16"/>
              </w:rPr>
              <w:t>k=5</w:t>
            </w:r>
          </w:p>
        </w:tc>
        <w:tc>
          <w:tcPr>
            <w:tcW w:type="dxa" w:w="1399"/>
            <w:vAlign w:val="center"/>
          </w:tcPr>
          <w:p>
            <w:pPr>
              <w:jc w:val="center"/>
            </w:pPr>
            <w:r/>
            <w:r>
              <w:rPr>
                <w:b w:val="0"/>
                <w:sz w:val="16"/>
              </w:rPr>
              <w:t>0.543</w:t>
            </w:r>
          </w:p>
        </w:tc>
        <w:tc>
          <w:tcPr>
            <w:tcW w:type="dxa" w:w="1399"/>
            <w:vAlign w:val="center"/>
          </w:tcPr>
          <w:p>
            <w:pPr>
              <w:jc w:val="center"/>
            </w:pPr>
            <w:r/>
            <w:r>
              <w:rPr>
                <w:b w:val="0"/>
                <w:sz w:val="16"/>
              </w:rPr>
              <w:t>0.11</w:t>
            </w:r>
          </w:p>
        </w:tc>
        <w:tc>
          <w:tcPr>
            <w:tcW w:type="dxa" w:w="1399"/>
            <w:vAlign w:val="center"/>
          </w:tcPr>
          <w:p>
            <w:pPr>
              <w:jc w:val="center"/>
            </w:pPr>
            <w:r/>
            <w:r>
              <w:rPr>
                <w:b w:val="0"/>
                <w:sz w:val="16"/>
              </w:rPr>
              <w:t>983.8</w:t>
            </w:r>
          </w:p>
        </w:tc>
      </w:tr>
      <w:tr>
        <w:tc>
          <w:tcPr>
            <w:tcW w:type="dxa" w:w="1399"/>
            <w:vAlign w:val="center"/>
          </w:tcPr>
          <w:p>
            <w:pPr>
              <w:jc w:val="left"/>
            </w:pPr>
            <w:r/>
            <w:r>
              <w:rPr>
                <w:b w:val="0"/>
                <w:sz w:val="16"/>
              </w:rPr>
              <w:t>target_background</w:t>
            </w:r>
          </w:p>
        </w:tc>
        <w:tc>
          <w:tcPr>
            <w:tcW w:type="dxa" w:w="1399"/>
            <w:vAlign w:val="center"/>
          </w:tcPr>
          <w:p>
            <w:pPr>
              <w:jc w:val="center"/>
            </w:pPr>
            <w:r/>
            <w:r>
              <w:rPr>
                <w:b w:val="0"/>
                <w:sz w:val="16"/>
              </w:rPr>
              <w:t>150</w:t>
            </w:r>
          </w:p>
        </w:tc>
        <w:tc>
          <w:tcPr>
            <w:tcW w:type="dxa" w:w="1399"/>
            <w:vAlign w:val="center"/>
          </w:tcPr>
          <w:p>
            <w:pPr>
              <w:jc w:val="center"/>
            </w:pPr>
            <w:r/>
            <w:r>
              <w:rPr>
                <w:b w:val="0"/>
                <w:sz w:val="16"/>
              </w:rPr>
              <w:t>canonical k-mer</w:t>
            </w:r>
          </w:p>
        </w:tc>
        <w:tc>
          <w:tcPr>
            <w:tcW w:type="dxa" w:w="1399"/>
            <w:vAlign w:val="center"/>
          </w:tcPr>
          <w:p>
            <w:pPr>
              <w:jc w:val="center"/>
            </w:pPr>
            <w:r/>
            <w:r>
              <w:rPr>
                <w:b w:val="0"/>
                <w:sz w:val="16"/>
              </w:rPr>
              <w:t>k=6</w:t>
            </w:r>
          </w:p>
        </w:tc>
        <w:tc>
          <w:tcPr>
            <w:tcW w:type="dxa" w:w="1399"/>
            <w:vAlign w:val="center"/>
          </w:tcPr>
          <w:p>
            <w:pPr>
              <w:jc w:val="center"/>
            </w:pPr>
            <w:r/>
            <w:r>
              <w:rPr>
                <w:b w:val="0"/>
                <w:sz w:val="16"/>
              </w:rPr>
              <w:t>0.582</w:t>
            </w:r>
          </w:p>
        </w:tc>
        <w:tc>
          <w:tcPr>
            <w:tcW w:type="dxa" w:w="1399"/>
            <w:vAlign w:val="center"/>
          </w:tcPr>
          <w:p>
            <w:pPr>
              <w:jc w:val="center"/>
            </w:pPr>
            <w:r/>
            <w:r>
              <w:rPr>
                <w:b w:val="0"/>
                <w:sz w:val="16"/>
              </w:rPr>
              <w:t>0.075</w:t>
            </w:r>
          </w:p>
        </w:tc>
        <w:tc>
          <w:tcPr>
            <w:tcW w:type="dxa" w:w="1399"/>
            <w:vAlign w:val="center"/>
          </w:tcPr>
          <w:p>
            <w:pPr>
              <w:jc w:val="center"/>
            </w:pPr>
            <w:r/>
            <w:r>
              <w:rPr>
                <w:b w:val="0"/>
                <w:sz w:val="16"/>
              </w:rPr>
              <w:t>1957.2</w:t>
            </w:r>
          </w:p>
        </w:tc>
      </w:tr>
      <w:tr>
        <w:tc>
          <w:tcPr>
            <w:tcW w:type="dxa" w:w="1399"/>
            <w:vAlign w:val="center"/>
          </w:tcPr>
          <w:p>
            <w:pPr>
              <w:jc w:val="left"/>
            </w:pPr>
            <w:r/>
            <w:r>
              <w:rPr>
                <w:b w:val="0"/>
                <w:sz w:val="16"/>
              </w:rPr>
              <w:t>within_genus_species</w:t>
            </w:r>
          </w:p>
        </w:tc>
        <w:tc>
          <w:tcPr>
            <w:tcW w:type="dxa" w:w="1399"/>
            <w:vAlign w:val="center"/>
          </w:tcPr>
          <w:p>
            <w:pPr>
              <w:jc w:val="center"/>
            </w:pPr>
            <w:r/>
            <w:r>
              <w:rPr>
                <w:b w:val="0"/>
                <w:sz w:val="16"/>
              </w:rPr>
              <w:t>69</w:t>
            </w:r>
          </w:p>
        </w:tc>
        <w:tc>
          <w:tcPr>
            <w:tcW w:type="dxa" w:w="1399"/>
            <w:vAlign w:val="center"/>
          </w:tcPr>
          <w:p>
            <w:pPr>
              <w:jc w:val="left"/>
            </w:pPr>
            <w:r/>
            <w:r>
              <w:rPr>
                <w:b w:val="0"/>
                <w:sz w:val="16"/>
              </w:rPr>
              <w:t>canonical spaced + property</w:t>
            </w:r>
          </w:p>
        </w:tc>
        <w:tc>
          <w:tcPr>
            <w:tcW w:type="dxa" w:w="1399"/>
            <w:vAlign w:val="center"/>
          </w:tcPr>
          <w:p>
            <w:pPr>
              <w:jc w:val="center"/>
            </w:pPr>
            <w:r/>
            <w:r>
              <w:rPr>
                <w:b w:val="0"/>
                <w:sz w:val="16"/>
              </w:rPr>
              <w:t>pattern=0-3-5-8</w:t>
            </w:r>
          </w:p>
        </w:tc>
        <w:tc>
          <w:tcPr>
            <w:tcW w:type="dxa" w:w="1399"/>
            <w:vAlign w:val="center"/>
          </w:tcPr>
          <w:p>
            <w:pPr>
              <w:jc w:val="center"/>
            </w:pPr>
            <w:r/>
            <w:r>
              <w:rPr>
                <w:b w:val="0"/>
                <w:sz w:val="16"/>
              </w:rPr>
              <w:t>0.351</w:t>
            </w:r>
          </w:p>
        </w:tc>
        <w:tc>
          <w:tcPr>
            <w:tcW w:type="dxa" w:w="1399"/>
            <w:vAlign w:val="center"/>
          </w:tcPr>
          <w:p>
            <w:pPr>
              <w:jc w:val="center"/>
            </w:pPr>
            <w:r/>
            <w:r>
              <w:rPr>
                <w:b w:val="0"/>
                <w:sz w:val="16"/>
              </w:rPr>
              <w:t>0.124</w:t>
            </w:r>
          </w:p>
        </w:tc>
        <w:tc>
          <w:tcPr>
            <w:tcW w:type="dxa" w:w="1399"/>
            <w:vAlign w:val="center"/>
          </w:tcPr>
          <w:p>
            <w:pPr>
              <w:jc w:val="center"/>
            </w:pPr>
            <w:r/>
            <w:r>
              <w:rPr>
                <w:b w:val="0"/>
                <w:sz w:val="16"/>
              </w:rPr>
              <w:t>147</w:t>
            </w:r>
          </w:p>
        </w:tc>
      </w:tr>
      <w:tr>
        <w:tc>
          <w:tcPr>
            <w:tcW w:type="dxa" w:w="1399"/>
            <w:vAlign w:val="center"/>
          </w:tcPr>
          <w:p>
            <w:pPr>
              <w:jc w:val="left"/>
            </w:pPr>
            <w:r/>
            <w:r>
              <w:rPr>
                <w:b w:val="0"/>
                <w:sz w:val="16"/>
              </w:rPr>
              <w:t>within_genus_species</w:t>
            </w:r>
          </w:p>
        </w:tc>
        <w:tc>
          <w:tcPr>
            <w:tcW w:type="dxa" w:w="1399"/>
            <w:vAlign w:val="center"/>
          </w:tcPr>
          <w:p>
            <w:pPr>
              <w:jc w:val="center"/>
            </w:pPr>
            <w:r/>
            <w:r>
              <w:rPr>
                <w:b w:val="0"/>
                <w:sz w:val="16"/>
              </w:rPr>
              <w:t>75</w:t>
            </w:r>
          </w:p>
        </w:tc>
        <w:tc>
          <w:tcPr>
            <w:tcW w:type="dxa" w:w="1399"/>
            <w:vAlign w:val="center"/>
          </w:tcPr>
          <w:p>
            <w:pPr>
              <w:jc w:val="center"/>
            </w:pPr>
            <w:r/>
            <w:r>
              <w:rPr>
                <w:b w:val="0"/>
                <w:sz w:val="16"/>
              </w:rPr>
              <w:t>k-mer</w:t>
            </w:r>
          </w:p>
        </w:tc>
        <w:tc>
          <w:tcPr>
            <w:tcW w:type="dxa" w:w="1399"/>
            <w:vAlign w:val="center"/>
          </w:tcPr>
          <w:p>
            <w:pPr>
              <w:jc w:val="center"/>
            </w:pPr>
            <w:r/>
            <w:r>
              <w:rPr>
                <w:b w:val="0"/>
                <w:sz w:val="16"/>
              </w:rPr>
              <w:t>k=5</w:t>
            </w:r>
          </w:p>
        </w:tc>
        <w:tc>
          <w:tcPr>
            <w:tcW w:type="dxa" w:w="1399"/>
            <w:vAlign w:val="center"/>
          </w:tcPr>
          <w:p>
            <w:pPr>
              <w:jc w:val="center"/>
            </w:pPr>
            <w:r/>
            <w:r>
              <w:rPr>
                <w:b w:val="0"/>
                <w:sz w:val="16"/>
              </w:rPr>
              <w:t>0.373</w:t>
            </w:r>
          </w:p>
        </w:tc>
        <w:tc>
          <w:tcPr>
            <w:tcW w:type="dxa" w:w="1399"/>
            <w:vAlign w:val="center"/>
          </w:tcPr>
          <w:p>
            <w:pPr>
              <w:jc w:val="center"/>
            </w:pPr>
            <w:r/>
            <w:r>
              <w:rPr>
                <w:b w:val="0"/>
                <w:sz w:val="16"/>
              </w:rPr>
              <w:t>0.135</w:t>
            </w:r>
          </w:p>
        </w:tc>
        <w:tc>
          <w:tcPr>
            <w:tcW w:type="dxa" w:w="1399"/>
            <w:vAlign w:val="center"/>
          </w:tcPr>
          <w:p>
            <w:pPr>
              <w:jc w:val="center"/>
            </w:pPr>
            <w:r/>
            <w:r>
              <w:rPr>
                <w:b w:val="0"/>
                <w:sz w:val="16"/>
              </w:rPr>
              <w:t>979.5</w:t>
            </w:r>
          </w:p>
        </w:tc>
      </w:tr>
      <w:tr>
        <w:tc>
          <w:tcPr>
            <w:tcW w:type="dxa" w:w="1399"/>
            <w:vAlign w:val="center"/>
          </w:tcPr>
          <w:p>
            <w:pPr>
              <w:jc w:val="left"/>
            </w:pPr>
            <w:r/>
            <w:r>
              <w:rPr>
                <w:b w:val="0"/>
                <w:sz w:val="16"/>
              </w:rPr>
              <w:t>within_genus_species</w:t>
            </w:r>
          </w:p>
        </w:tc>
        <w:tc>
          <w:tcPr>
            <w:tcW w:type="dxa" w:w="1399"/>
            <w:vAlign w:val="center"/>
          </w:tcPr>
          <w:p>
            <w:pPr>
              <w:jc w:val="center"/>
            </w:pPr>
            <w:r/>
            <w:r>
              <w:rPr>
                <w:b w:val="0"/>
                <w:sz w:val="16"/>
              </w:rPr>
              <w:t>150</w:t>
            </w:r>
          </w:p>
        </w:tc>
        <w:tc>
          <w:tcPr>
            <w:tcW w:type="dxa" w:w="1399"/>
            <w:vAlign w:val="center"/>
          </w:tcPr>
          <w:p>
            <w:pPr>
              <w:jc w:val="center"/>
            </w:pPr>
            <w:r/>
            <w:r>
              <w:rPr>
                <w:b w:val="0"/>
                <w:sz w:val="16"/>
              </w:rPr>
              <w:t>canonical k-mer</w:t>
            </w:r>
          </w:p>
        </w:tc>
        <w:tc>
          <w:tcPr>
            <w:tcW w:type="dxa" w:w="1399"/>
            <w:vAlign w:val="center"/>
          </w:tcPr>
          <w:p>
            <w:pPr>
              <w:jc w:val="center"/>
            </w:pPr>
            <w:r/>
            <w:r>
              <w:rPr>
                <w:b w:val="0"/>
                <w:sz w:val="16"/>
              </w:rPr>
              <w:t>k=6</w:t>
            </w:r>
          </w:p>
        </w:tc>
        <w:tc>
          <w:tcPr>
            <w:tcW w:type="dxa" w:w="1399"/>
            <w:vAlign w:val="center"/>
          </w:tcPr>
          <w:p>
            <w:pPr>
              <w:jc w:val="center"/>
            </w:pPr>
            <w:r/>
            <w:r>
              <w:rPr>
                <w:b w:val="0"/>
                <w:sz w:val="16"/>
              </w:rPr>
              <w:t>0.398</w:t>
            </w:r>
          </w:p>
        </w:tc>
        <w:tc>
          <w:tcPr>
            <w:tcW w:type="dxa" w:w="1399"/>
            <w:vAlign w:val="center"/>
          </w:tcPr>
          <w:p>
            <w:pPr>
              <w:jc w:val="center"/>
            </w:pPr>
            <w:r/>
            <w:r>
              <w:rPr>
                <w:b w:val="0"/>
                <w:sz w:val="16"/>
              </w:rPr>
              <w:t>0.181</w:t>
            </w:r>
          </w:p>
        </w:tc>
        <w:tc>
          <w:tcPr>
            <w:tcW w:type="dxa" w:w="1399"/>
            <w:vAlign w:val="center"/>
          </w:tcPr>
          <w:p>
            <w:pPr>
              <w:jc w:val="center"/>
            </w:pPr>
            <w:r/>
            <w:r>
              <w:rPr>
                <w:b w:val="0"/>
                <w:sz w:val="16"/>
              </w:rPr>
              <w:t>1971.33</w:t>
            </w:r>
          </w:p>
        </w:tc>
      </w:tr>
    </w:tbl>
    <w:p/>
    <w:p>
      <w:pPr>
        <w:pStyle w:val="Heading2"/>
      </w:pPr>
      <w:r>
        <w:t>Deterministic neural probes showed model compatibility, not neural superiority</w:t>
      </w:r>
    </w:p>
    <w:p>
      <w:r>
        <w:t>The additional PyTorch probe trained 252 small neural readouts with fixed seeds. It did not support a broad claim that CNNs or tiny Transformers automatically improve ultra-short read interpretation. In target/background probes, 1D-CNN over one-hot channels had the highest mean macro-F1, while CSP read by a tabular MLP was close and used only 147 features on average. In global species and within-genus Enterobacter stress probes, the best small models were tabular MLPs over canonical or hybrid vectors, and absolute macro-F1 values remained low. This supports a practical model-matching interpretation: CSP is a natural compact tabular auxiliary input, whereas one-hot or property channels are more appropriate when a CNN or attention model is explicitly trained.</w:t>
      </w:r>
    </w:p>
    <w:p>
      <w:r>
        <w:rPr>
          <w:i/>
          <w:sz w:val="18"/>
        </w:rPr>
        <w:t>Table omitted from the DOCX body for layout stability; the full table is available in the Markdown manuscript and stage-2 table files (21 rows, 8 columns).</w:t>
      </w:r>
    </w:p>
    <w:p>
      <w:pPr>
        <w:jc w:val="center"/>
      </w:pPr>
      <w:r>
        <w:drawing>
          <wp:inline xmlns:a="http://schemas.openxmlformats.org/drawingml/2006/main" xmlns:pic="http://schemas.openxmlformats.org/drawingml/2006/picture">
            <wp:extent cx="5760720" cy="1937400"/>
            <wp:docPr id="5" name="Picture 5"/>
            <wp:cNvGraphicFramePr>
              <a:graphicFrameLocks noChangeAspect="1"/>
            </wp:cNvGraphicFramePr>
            <a:graphic>
              <a:graphicData uri="http://schemas.openxmlformats.org/drawingml/2006/picture">
                <pic:pic>
                  <pic:nvPicPr>
                    <pic:cNvPr id="0" name="stage2_fig_neural_compatibility.png"/>
                    <pic:cNvPicPr/>
                  </pic:nvPicPr>
                  <pic:blipFill>
                    <a:blip r:embed="rId14"/>
                    <a:stretch>
                      <a:fillRect/>
                    </a:stretch>
                  </pic:blipFill>
                  <pic:spPr>
                    <a:xfrm>
                      <a:off x="0" y="0"/>
                      <a:ext cx="5760720" cy="1937400"/>
                    </a:xfrm>
                    <a:prstGeom prst="rect"/>
                  </pic:spPr>
                </pic:pic>
              </a:graphicData>
            </a:graphic>
          </wp:inline>
        </w:drawing>
      </w:r>
    </w:p>
    <w:p>
      <w:pPr>
        <w:jc w:val="center"/>
      </w:pPr>
      <w:r>
        <w:rPr>
          <w:i/>
          <w:sz w:val="18"/>
        </w:rPr>
        <w:t>Figure 5. Deterministic neural compatibility probes.</w:t>
      </w:r>
    </w:p>
    <w:p>
      <w:pPr>
        <w:pStyle w:val="Heading2"/>
      </w:pPr>
      <w:r>
        <w:t>Context loss around 125-150 bp was position-dependent, not a single read-length threshold</w:t>
      </w:r>
    </w:p>
    <w:p>
      <w:r>
        <w:t>The attention-context diagnostic directly addressed the concern that a coarse 125 versus 150 bp comparison could misidentify a threshold. The first length with full motif-pair visibility shifted with motif placement: 130 bp when the motif pair began near position 120, 140 bp near position 130, 148 bp near position 138 and 155 bp near position 145. Thus the loss of context is not simply proportional to the number of missing bases. If a biologically or semantically relevant motif relation lies outside the read, self-attention can still connect observed tokens but cannot model the missing relation.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8EEF7"/>
          </w:tcPr>
          <w:p>
            <w:pPr>
              <w:jc w:val="center"/>
            </w:pPr>
            <w:r/>
            <w:r>
              <w:rPr>
                <w:b/>
                <w:sz w:val="16"/>
              </w:rPr>
              <w:t>Motif position</w:t>
            </w:r>
          </w:p>
        </w:tc>
        <w:tc>
          <w:tcPr>
            <w:tcW w:type="dxa" w:w="2448"/>
            <w:vAlign w:val="center"/>
            <w:shd w:fill="E8EEF7"/>
          </w:tcPr>
          <w:p>
            <w:pPr>
              <w:jc w:val="left"/>
            </w:pPr>
            <w:r/>
            <w:r>
              <w:rPr>
                <w:b/>
                <w:sz w:val="16"/>
              </w:rPr>
              <w:t>First length with full motif-pair visibility</w:t>
            </w:r>
          </w:p>
        </w:tc>
        <w:tc>
          <w:tcPr>
            <w:tcW w:type="dxa" w:w="2448"/>
            <w:vAlign w:val="center"/>
            <w:shd w:fill="E8EEF7"/>
          </w:tcPr>
          <w:p>
            <w:pPr>
              <w:jc w:val="left"/>
            </w:pPr>
            <w:r/>
            <w:r>
              <w:rPr>
                <w:b/>
                <w:sz w:val="16"/>
              </w:rPr>
              <w:t>Maximum pair visibility</w:t>
            </w:r>
          </w:p>
        </w:tc>
        <w:tc>
          <w:tcPr>
            <w:tcW w:type="dxa" w:w="2448"/>
            <w:vAlign w:val="center"/>
            <w:shd w:fill="E8EEF7"/>
          </w:tcPr>
          <w:p>
            <w:pPr>
              <w:jc w:val="center"/>
            </w:pPr>
            <w:r/>
            <w:r>
              <w:rPr>
                <w:b/>
                <w:sz w:val="16"/>
              </w:rPr>
              <w:t>Lengths tested</w:t>
            </w:r>
          </w:p>
        </w:tc>
      </w:tr>
      <w:tr>
        <w:tc>
          <w:tcPr>
            <w:tcW w:type="dxa" w:w="2448"/>
            <w:vAlign w:val="center"/>
          </w:tcPr>
          <w:p>
            <w:pPr>
              <w:jc w:val="center"/>
            </w:pPr>
            <w:r/>
            <w:r>
              <w:rPr>
                <w:b w:val="0"/>
                <w:sz w:val="16"/>
              </w:rPr>
              <w:t>120</w:t>
            </w:r>
          </w:p>
        </w:tc>
        <w:tc>
          <w:tcPr>
            <w:tcW w:type="dxa" w:w="2448"/>
            <w:vAlign w:val="center"/>
          </w:tcPr>
          <w:p>
            <w:pPr>
              <w:jc w:val="center"/>
            </w:pPr>
            <w:r/>
            <w:r>
              <w:rPr>
                <w:b w:val="0"/>
                <w:sz w:val="16"/>
              </w:rPr>
              <w:t>130</w:t>
            </w:r>
          </w:p>
        </w:tc>
        <w:tc>
          <w:tcPr>
            <w:tcW w:type="dxa" w:w="2448"/>
            <w:vAlign w:val="center"/>
          </w:tcPr>
          <w:p>
            <w:pPr>
              <w:jc w:val="center"/>
            </w:pPr>
            <w:r/>
            <w:r>
              <w:rPr>
                <w:b w:val="0"/>
                <w:sz w:val="16"/>
              </w:rPr>
              <w:t>1</w:t>
            </w:r>
          </w:p>
        </w:tc>
        <w:tc>
          <w:tcPr>
            <w:tcW w:type="dxa" w:w="2448"/>
            <w:vAlign w:val="center"/>
          </w:tcPr>
          <w:p>
            <w:pPr>
              <w:jc w:val="left"/>
            </w:pPr>
            <w:r/>
            <w:r>
              <w:rPr>
                <w:b w:val="0"/>
                <w:sz w:val="16"/>
              </w:rPr>
              <w:t>110,115,120,125,130,135,138,140,142,145,148,150,155,160</w:t>
            </w:r>
          </w:p>
        </w:tc>
      </w:tr>
      <w:tr>
        <w:tc>
          <w:tcPr>
            <w:tcW w:type="dxa" w:w="2448"/>
            <w:vAlign w:val="center"/>
          </w:tcPr>
          <w:p>
            <w:pPr>
              <w:jc w:val="center"/>
            </w:pPr>
            <w:r/>
            <w:r>
              <w:rPr>
                <w:b w:val="0"/>
                <w:sz w:val="16"/>
              </w:rPr>
              <w:t>130</w:t>
            </w:r>
          </w:p>
        </w:tc>
        <w:tc>
          <w:tcPr>
            <w:tcW w:type="dxa" w:w="2448"/>
            <w:vAlign w:val="center"/>
          </w:tcPr>
          <w:p>
            <w:pPr>
              <w:jc w:val="center"/>
            </w:pPr>
            <w:r/>
            <w:r>
              <w:rPr>
                <w:b w:val="0"/>
                <w:sz w:val="16"/>
              </w:rPr>
              <w:t>140</w:t>
            </w:r>
          </w:p>
        </w:tc>
        <w:tc>
          <w:tcPr>
            <w:tcW w:type="dxa" w:w="2448"/>
            <w:vAlign w:val="center"/>
          </w:tcPr>
          <w:p>
            <w:pPr>
              <w:jc w:val="center"/>
            </w:pPr>
            <w:r/>
            <w:r>
              <w:rPr>
                <w:b w:val="0"/>
                <w:sz w:val="16"/>
              </w:rPr>
              <w:t>1</w:t>
            </w:r>
          </w:p>
        </w:tc>
        <w:tc>
          <w:tcPr>
            <w:tcW w:type="dxa" w:w="2448"/>
            <w:vAlign w:val="center"/>
          </w:tcPr>
          <w:p>
            <w:pPr>
              <w:jc w:val="left"/>
            </w:pPr>
            <w:r/>
            <w:r>
              <w:rPr>
                <w:b w:val="0"/>
                <w:sz w:val="16"/>
              </w:rPr>
              <w:t>110,115,120,125,130,135,138,140,142,145,148,150,155,160</w:t>
            </w:r>
          </w:p>
        </w:tc>
      </w:tr>
      <w:tr>
        <w:tc>
          <w:tcPr>
            <w:tcW w:type="dxa" w:w="2448"/>
            <w:vAlign w:val="center"/>
          </w:tcPr>
          <w:p>
            <w:pPr>
              <w:jc w:val="center"/>
            </w:pPr>
            <w:r/>
            <w:r>
              <w:rPr>
                <w:b w:val="0"/>
                <w:sz w:val="16"/>
              </w:rPr>
              <w:t>138</w:t>
            </w:r>
          </w:p>
        </w:tc>
        <w:tc>
          <w:tcPr>
            <w:tcW w:type="dxa" w:w="2448"/>
            <w:vAlign w:val="center"/>
          </w:tcPr>
          <w:p>
            <w:pPr>
              <w:jc w:val="center"/>
            </w:pPr>
            <w:r/>
            <w:r>
              <w:rPr>
                <w:b w:val="0"/>
                <w:sz w:val="16"/>
              </w:rPr>
              <w:t>148</w:t>
            </w:r>
          </w:p>
        </w:tc>
        <w:tc>
          <w:tcPr>
            <w:tcW w:type="dxa" w:w="2448"/>
            <w:vAlign w:val="center"/>
          </w:tcPr>
          <w:p>
            <w:pPr>
              <w:jc w:val="center"/>
            </w:pPr>
            <w:r/>
            <w:r>
              <w:rPr>
                <w:b w:val="0"/>
                <w:sz w:val="16"/>
              </w:rPr>
              <w:t>1</w:t>
            </w:r>
          </w:p>
        </w:tc>
        <w:tc>
          <w:tcPr>
            <w:tcW w:type="dxa" w:w="2448"/>
            <w:vAlign w:val="center"/>
          </w:tcPr>
          <w:p>
            <w:pPr>
              <w:jc w:val="left"/>
            </w:pPr>
            <w:r/>
            <w:r>
              <w:rPr>
                <w:b w:val="0"/>
                <w:sz w:val="16"/>
              </w:rPr>
              <w:t>110,115,120,125,130,135,138,140,142,145,148,150,155,160</w:t>
            </w:r>
          </w:p>
        </w:tc>
      </w:tr>
      <w:tr>
        <w:tc>
          <w:tcPr>
            <w:tcW w:type="dxa" w:w="2448"/>
            <w:vAlign w:val="center"/>
          </w:tcPr>
          <w:p>
            <w:pPr>
              <w:jc w:val="center"/>
            </w:pPr>
            <w:r/>
            <w:r>
              <w:rPr>
                <w:b w:val="0"/>
                <w:sz w:val="16"/>
              </w:rPr>
              <w:t>145</w:t>
            </w:r>
          </w:p>
        </w:tc>
        <w:tc>
          <w:tcPr>
            <w:tcW w:type="dxa" w:w="2448"/>
            <w:vAlign w:val="center"/>
          </w:tcPr>
          <w:p>
            <w:pPr>
              <w:jc w:val="center"/>
            </w:pPr>
            <w:r/>
            <w:r>
              <w:rPr>
                <w:b w:val="0"/>
                <w:sz w:val="16"/>
              </w:rPr>
              <w:t>155</w:t>
            </w:r>
          </w:p>
        </w:tc>
        <w:tc>
          <w:tcPr>
            <w:tcW w:type="dxa" w:w="2448"/>
            <w:vAlign w:val="center"/>
          </w:tcPr>
          <w:p>
            <w:pPr>
              <w:jc w:val="center"/>
            </w:pPr>
            <w:r/>
            <w:r>
              <w:rPr>
                <w:b w:val="0"/>
                <w:sz w:val="16"/>
              </w:rPr>
              <w:t>1</w:t>
            </w:r>
          </w:p>
        </w:tc>
        <w:tc>
          <w:tcPr>
            <w:tcW w:type="dxa" w:w="2448"/>
            <w:vAlign w:val="center"/>
          </w:tcPr>
          <w:p>
            <w:pPr>
              <w:jc w:val="left"/>
            </w:pPr>
            <w:r/>
            <w:r>
              <w:rPr>
                <w:b w:val="0"/>
                <w:sz w:val="16"/>
              </w:rPr>
              <w:t>110,115,120,125,130,135,138,140,142,145,148,150,155,160</w:t>
            </w:r>
          </w:p>
        </w:tc>
      </w:tr>
    </w:tbl>
    <w:p/>
    <w:p>
      <w:pPr>
        <w:jc w:val="center"/>
      </w:pPr>
      <w:r>
        <w:drawing>
          <wp:inline xmlns:a="http://schemas.openxmlformats.org/drawingml/2006/main" xmlns:pic="http://schemas.openxmlformats.org/drawingml/2006/picture">
            <wp:extent cx="5760720" cy="3116788"/>
            <wp:docPr id="6" name="Picture 6"/>
            <wp:cNvGraphicFramePr>
              <a:graphicFrameLocks noChangeAspect="1"/>
            </wp:cNvGraphicFramePr>
            <a:graphic>
              <a:graphicData uri="http://schemas.openxmlformats.org/drawingml/2006/picture">
                <pic:pic>
                  <pic:nvPicPr>
                    <pic:cNvPr id="0" name="stage2_fig_attention_breakpoints.png"/>
                    <pic:cNvPicPr/>
                  </pic:nvPicPr>
                  <pic:blipFill>
                    <a:blip r:embed="rId15"/>
                    <a:stretch>
                      <a:fillRect/>
                    </a:stretch>
                  </pic:blipFill>
                  <pic:spPr>
                    <a:xfrm>
                      <a:off x="0" y="0"/>
                      <a:ext cx="5760720" cy="3116788"/>
                    </a:xfrm>
                    <a:prstGeom prst="rect"/>
                  </pic:spPr>
                </pic:pic>
              </a:graphicData>
            </a:graphic>
          </wp:inline>
        </w:drawing>
      </w:r>
    </w:p>
    <w:p>
      <w:pPr>
        <w:jc w:val="center"/>
      </w:pPr>
      <w:r>
        <w:rPr>
          <w:i/>
          <w:sz w:val="18"/>
        </w:rPr>
        <w:t>Figure 6. Attention-style context visibility breakpoints.</w:t>
      </w:r>
    </w:p>
    <w:p>
      <w:pPr>
        <w:jc w:val="center"/>
      </w:pPr>
      <w:r>
        <w:drawing>
          <wp:inline xmlns:a="http://schemas.openxmlformats.org/drawingml/2006/main" xmlns:pic="http://schemas.openxmlformats.org/drawingml/2006/picture">
            <wp:extent cx="5760720" cy="3112667"/>
            <wp:docPr id="7" name="Picture 7"/>
            <wp:cNvGraphicFramePr>
              <a:graphicFrameLocks noChangeAspect="1"/>
            </wp:cNvGraphicFramePr>
            <a:graphic>
              <a:graphicData uri="http://schemas.openxmlformats.org/drawingml/2006/picture">
                <pic:pic>
                  <pic:nvPicPr>
                    <pic:cNvPr id="0" name="stage2_fig_attention_f1_breakpoints.png"/>
                    <pic:cNvPicPr/>
                  </pic:nvPicPr>
                  <pic:blipFill>
                    <a:blip r:embed="rId16"/>
                    <a:stretch>
                      <a:fillRect/>
                    </a:stretch>
                  </pic:blipFill>
                  <pic:spPr>
                    <a:xfrm>
                      <a:off x="0" y="0"/>
                      <a:ext cx="5760720" cy="3112667"/>
                    </a:xfrm>
                    <a:prstGeom prst="rect"/>
                  </pic:spPr>
                </pic:pic>
              </a:graphicData>
            </a:graphic>
          </wp:inline>
        </w:drawing>
      </w:r>
    </w:p>
    <w:p>
      <w:pPr>
        <w:jc w:val="center"/>
      </w:pPr>
      <w:r>
        <w:rPr>
          <w:i/>
          <w:sz w:val="18"/>
        </w:rPr>
        <w:t>Figure 7. Best readout transitions around motif visibility.</w:t>
      </w:r>
    </w:p>
    <w:p>
      <w:pPr>
        <w:pStyle w:val="Heading2"/>
      </w:pPr>
      <w:r>
        <w:t>ARG/SNP boundary probes bounded the role of CSP</w:t>
      </w:r>
    </w:p>
    <w:p>
      <w:r>
        <w:t>Synthetic ARG/SNP probes showed why CSP should be treated as auxiliary evidence. CSP was again frequently the top stability representation, but the readout tasks were too easy for many representations in ARG-family and ARG-allele settings. The resistance-SNP probe showed closer differences among methods. These results do not establish clinical ARG or SNP calling. They support a weaker but useful interpretation: CSP can preserve perturbed ARG-like feature proximity, while exact k-mer, alignment or curated database evidence remains necessary for allele-level and SNP-level decisions.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E8EEF7"/>
          </w:tcPr>
          <w:p>
            <w:pPr>
              <w:jc w:val="center"/>
            </w:pPr>
            <w:r/>
            <w:r>
              <w:rPr>
                <w:b/>
                <w:sz w:val="16"/>
              </w:rPr>
              <w:t>Boundary task</w:t>
            </w:r>
          </w:p>
        </w:tc>
        <w:tc>
          <w:tcPr>
            <w:tcW w:type="dxa" w:w="1224"/>
            <w:vAlign w:val="center"/>
            <w:shd w:fill="E8EEF7"/>
          </w:tcPr>
          <w:p>
            <w:pPr>
              <w:jc w:val="center"/>
            </w:pPr>
            <w:r/>
            <w:r>
              <w:rPr>
                <w:b/>
                <w:sz w:val="16"/>
              </w:rPr>
              <w:t>Condition</w:t>
            </w:r>
          </w:p>
        </w:tc>
        <w:tc>
          <w:tcPr>
            <w:tcW w:type="dxa" w:w="1224"/>
            <w:vAlign w:val="center"/>
            <w:shd w:fill="E8EEF7"/>
          </w:tcPr>
          <w:p>
            <w:pPr>
              <w:jc w:val="center"/>
            </w:pPr>
            <w:r/>
            <w:r>
              <w:rPr>
                <w:b/>
                <w:sz w:val="16"/>
              </w:rPr>
              <w:t>Length</w:t>
            </w:r>
          </w:p>
        </w:tc>
        <w:tc>
          <w:tcPr>
            <w:tcW w:type="dxa" w:w="1224"/>
            <w:vAlign w:val="center"/>
            <w:shd w:fill="E8EEF7"/>
          </w:tcPr>
          <w:p>
            <w:pPr>
              <w:jc w:val="center"/>
            </w:pPr>
            <w:r/>
            <w:r>
              <w:rPr>
                <w:b/>
                <w:sz w:val="16"/>
              </w:rPr>
              <w:t>Representation</w:t>
            </w:r>
          </w:p>
        </w:tc>
        <w:tc>
          <w:tcPr>
            <w:tcW w:type="dxa" w:w="1224"/>
            <w:vAlign w:val="center"/>
            <w:shd w:fill="E8EEF7"/>
          </w:tcPr>
          <w:p>
            <w:pPr>
              <w:jc w:val="left"/>
            </w:pPr>
            <w:r/>
            <w:r>
              <w:rPr>
                <w:b/>
                <w:sz w:val="16"/>
              </w:rPr>
              <w:t>Mean paired cosine</w:t>
            </w:r>
          </w:p>
        </w:tc>
        <w:tc>
          <w:tcPr>
            <w:tcW w:type="dxa" w:w="1224"/>
            <w:vAlign w:val="center"/>
            <w:shd w:fill="E8EEF7"/>
          </w:tcPr>
          <w:p>
            <w:pPr>
              <w:jc w:val="center"/>
            </w:pPr>
            <w:r/>
            <w:r>
              <w:rPr>
                <w:b/>
                <w:sz w:val="16"/>
              </w:rPr>
              <w:t>Mean L2 drift</w:t>
            </w:r>
          </w:p>
        </w:tc>
        <w:tc>
          <w:tcPr>
            <w:tcW w:type="dxa" w:w="1224"/>
            <w:vAlign w:val="center"/>
            <w:shd w:fill="E8EEF7"/>
          </w:tcPr>
          <w:p>
            <w:pPr>
              <w:jc w:val="left"/>
            </w:pPr>
            <w:r/>
            <w:r>
              <w:rPr>
                <w:b/>
                <w:sz w:val="16"/>
              </w:rPr>
              <w:t>Nearest-clean retrieval</w:t>
            </w:r>
          </w:p>
        </w:tc>
        <w:tc>
          <w:tcPr>
            <w:tcW w:type="dxa" w:w="1224"/>
            <w:vAlign w:val="center"/>
            <w:shd w:fill="E8EEF7"/>
          </w:tcPr>
          <w:p>
            <w:pPr>
              <w:jc w:val="center"/>
            </w:pPr>
            <w:r/>
            <w:r>
              <w:rPr>
                <w:b/>
                <w:sz w:val="16"/>
              </w:rPr>
              <w:t>Features</w:t>
            </w:r>
          </w:p>
        </w:tc>
      </w:tr>
      <w:tr>
        <w:tc>
          <w:tcPr>
            <w:tcW w:type="dxa" w:w="1224"/>
            <w:vAlign w:val="center"/>
          </w:tcPr>
          <w:p>
            <w:pPr>
              <w:jc w:val="center"/>
            </w:pPr>
            <w:r/>
            <w:r>
              <w:rPr>
                <w:b w:val="0"/>
                <w:sz w:val="16"/>
              </w:rPr>
              <w:t>arg_allele</w:t>
            </w:r>
          </w:p>
        </w:tc>
        <w:tc>
          <w:tcPr>
            <w:tcW w:type="dxa" w:w="1224"/>
            <w:vAlign w:val="center"/>
          </w:tcPr>
          <w:p>
            <w:pPr>
              <w:jc w:val="center"/>
            </w:pPr>
            <w:r/>
            <w:r>
              <w:rPr>
                <w:b w:val="0"/>
                <w:sz w:val="16"/>
              </w:rPr>
              <w:t>3% N mask</w:t>
            </w:r>
          </w:p>
        </w:tc>
        <w:tc>
          <w:tcPr>
            <w:tcW w:type="dxa" w:w="1224"/>
            <w:vAlign w:val="center"/>
          </w:tcPr>
          <w:p>
            <w:pPr>
              <w:jc w:val="center"/>
            </w:pPr>
            <w:r/>
            <w:r>
              <w:rPr>
                <w:b w:val="0"/>
                <w:sz w:val="16"/>
              </w:rPr>
              <w:t>69</w:t>
            </w:r>
          </w:p>
        </w:tc>
        <w:tc>
          <w:tcPr>
            <w:tcW w:type="dxa" w:w="1224"/>
            <w:vAlign w:val="center"/>
          </w:tcPr>
          <w:p>
            <w:pPr>
              <w:jc w:val="center"/>
            </w:pPr>
            <w:r/>
            <w:r>
              <w:rPr>
                <w:b w:val="0"/>
                <w:sz w:val="16"/>
              </w:rPr>
              <w:t>CSP</w:t>
            </w:r>
          </w:p>
        </w:tc>
        <w:tc>
          <w:tcPr>
            <w:tcW w:type="dxa" w:w="1224"/>
            <w:vAlign w:val="center"/>
          </w:tcPr>
          <w:p>
            <w:pPr>
              <w:jc w:val="center"/>
            </w:pPr>
            <w:r/>
            <w:r>
              <w:rPr>
                <w:b w:val="0"/>
                <w:sz w:val="16"/>
              </w:rPr>
              <w:t>0.994</w:t>
            </w:r>
          </w:p>
        </w:tc>
        <w:tc>
          <w:tcPr>
            <w:tcW w:type="dxa" w:w="1224"/>
            <w:vAlign w:val="center"/>
          </w:tcPr>
          <w:p>
            <w:pPr>
              <w:jc w:val="center"/>
            </w:pPr>
            <w:r/>
            <w:r>
              <w:rPr>
                <w:b w:val="0"/>
                <w:sz w:val="16"/>
              </w:rPr>
              <w:t>0.105</w:t>
            </w:r>
          </w:p>
        </w:tc>
        <w:tc>
          <w:tcPr>
            <w:tcW w:type="dxa" w:w="1224"/>
            <w:vAlign w:val="center"/>
          </w:tcPr>
          <w:p>
            <w:pPr>
              <w:jc w:val="center"/>
            </w:pPr>
            <w:r/>
            <w:r>
              <w:rPr>
                <w:b w:val="0"/>
                <w:sz w:val="16"/>
              </w:rPr>
              <w:t>0.125</w:t>
            </w:r>
          </w:p>
        </w:tc>
        <w:tc>
          <w:tcPr>
            <w:tcW w:type="dxa" w:w="1224"/>
            <w:vAlign w:val="center"/>
          </w:tcPr>
          <w:p>
            <w:pPr>
              <w:jc w:val="center"/>
            </w:pPr>
            <w:r/>
            <w:r>
              <w:rPr>
                <w:b w:val="0"/>
                <w:sz w:val="16"/>
              </w:rPr>
              <w:t>78</w:t>
            </w:r>
          </w:p>
        </w:tc>
      </w:tr>
      <w:tr>
        <w:tc>
          <w:tcPr>
            <w:tcW w:type="dxa" w:w="1224"/>
            <w:vAlign w:val="center"/>
          </w:tcPr>
          <w:p>
            <w:pPr>
              <w:jc w:val="center"/>
            </w:pPr>
            <w:r/>
            <w:r>
              <w:rPr>
                <w:b w:val="0"/>
                <w:sz w:val="16"/>
              </w:rPr>
              <w:t>arg_allele</w:t>
            </w:r>
          </w:p>
        </w:tc>
        <w:tc>
          <w:tcPr>
            <w:tcW w:type="dxa" w:w="1224"/>
            <w:vAlign w:val="center"/>
          </w:tcPr>
          <w:p>
            <w:pPr>
              <w:jc w:val="center"/>
            </w:pPr>
            <w:r/>
            <w:r>
              <w:rPr>
                <w:b w:val="0"/>
                <w:sz w:val="16"/>
              </w:rPr>
              <w:t>3% N mask</w:t>
            </w:r>
          </w:p>
        </w:tc>
        <w:tc>
          <w:tcPr>
            <w:tcW w:type="dxa" w:w="1224"/>
            <w:vAlign w:val="center"/>
          </w:tcPr>
          <w:p>
            <w:pPr>
              <w:jc w:val="center"/>
            </w:pPr>
            <w:r/>
            <w:r>
              <w:rPr>
                <w:b w:val="0"/>
                <w:sz w:val="16"/>
              </w:rPr>
              <w:t>75</w:t>
            </w:r>
          </w:p>
        </w:tc>
        <w:tc>
          <w:tcPr>
            <w:tcW w:type="dxa" w:w="1224"/>
            <w:vAlign w:val="center"/>
          </w:tcPr>
          <w:p>
            <w:pPr>
              <w:jc w:val="center"/>
            </w:pPr>
            <w:r/>
            <w:r>
              <w:rPr>
                <w:b w:val="0"/>
                <w:sz w:val="16"/>
              </w:rPr>
              <w:t>CSP</w:t>
            </w:r>
          </w:p>
        </w:tc>
        <w:tc>
          <w:tcPr>
            <w:tcW w:type="dxa" w:w="1224"/>
            <w:vAlign w:val="center"/>
          </w:tcPr>
          <w:p>
            <w:pPr>
              <w:jc w:val="center"/>
            </w:pPr>
            <w:r/>
            <w:r>
              <w:rPr>
                <w:b w:val="0"/>
                <w:sz w:val="16"/>
              </w:rPr>
              <w:t>0.995</w:t>
            </w:r>
          </w:p>
        </w:tc>
        <w:tc>
          <w:tcPr>
            <w:tcW w:type="dxa" w:w="1224"/>
            <w:vAlign w:val="center"/>
          </w:tcPr>
          <w:p>
            <w:pPr>
              <w:jc w:val="center"/>
            </w:pPr>
            <w:r/>
            <w:r>
              <w:rPr>
                <w:b w:val="0"/>
                <w:sz w:val="16"/>
              </w:rPr>
              <w:t>0.1</w:t>
            </w:r>
          </w:p>
        </w:tc>
        <w:tc>
          <w:tcPr>
            <w:tcW w:type="dxa" w:w="1224"/>
            <w:vAlign w:val="center"/>
          </w:tcPr>
          <w:p>
            <w:pPr>
              <w:jc w:val="center"/>
            </w:pPr>
            <w:r/>
            <w:r>
              <w:rPr>
                <w:b w:val="0"/>
                <w:sz w:val="16"/>
              </w:rPr>
              <w:t>0.114</w:t>
            </w:r>
          </w:p>
        </w:tc>
        <w:tc>
          <w:tcPr>
            <w:tcW w:type="dxa" w:w="1224"/>
            <w:vAlign w:val="center"/>
          </w:tcPr>
          <w:p>
            <w:pPr>
              <w:jc w:val="center"/>
            </w:pPr>
            <w:r/>
            <w:r>
              <w:rPr>
                <w:b w:val="0"/>
                <w:sz w:val="16"/>
              </w:rPr>
              <w:t>81</w:t>
            </w:r>
          </w:p>
        </w:tc>
      </w:tr>
      <w:tr>
        <w:tc>
          <w:tcPr>
            <w:tcW w:type="dxa" w:w="1224"/>
            <w:vAlign w:val="center"/>
          </w:tcPr>
          <w:p>
            <w:pPr>
              <w:jc w:val="center"/>
            </w:pPr>
            <w:r/>
            <w:r>
              <w:rPr>
                <w:b w:val="0"/>
                <w:sz w:val="16"/>
              </w:rPr>
              <w:t>arg_allele</w:t>
            </w:r>
          </w:p>
        </w:tc>
        <w:tc>
          <w:tcPr>
            <w:tcW w:type="dxa" w:w="1224"/>
            <w:vAlign w:val="center"/>
          </w:tcPr>
          <w:p>
            <w:pPr>
              <w:jc w:val="left"/>
            </w:pPr>
            <w:r/>
            <w:r>
              <w:rPr>
                <w:b w:val="0"/>
                <w:sz w:val="16"/>
              </w:rPr>
              <w:t>6-bp local mismatch</w:t>
            </w:r>
          </w:p>
        </w:tc>
        <w:tc>
          <w:tcPr>
            <w:tcW w:type="dxa" w:w="1224"/>
            <w:vAlign w:val="center"/>
          </w:tcPr>
          <w:p>
            <w:pPr>
              <w:jc w:val="center"/>
            </w:pPr>
            <w:r/>
            <w:r>
              <w:rPr>
                <w:b w:val="0"/>
                <w:sz w:val="16"/>
              </w:rPr>
              <w:t>69</w:t>
            </w:r>
          </w:p>
        </w:tc>
        <w:tc>
          <w:tcPr>
            <w:tcW w:type="dxa" w:w="1224"/>
            <w:vAlign w:val="center"/>
          </w:tcPr>
          <w:p>
            <w:pPr>
              <w:jc w:val="center"/>
            </w:pPr>
            <w:r/>
            <w:r>
              <w:rPr>
                <w:b w:val="0"/>
                <w:sz w:val="16"/>
              </w:rPr>
              <w:t>CSP</w:t>
            </w:r>
          </w:p>
        </w:tc>
        <w:tc>
          <w:tcPr>
            <w:tcW w:type="dxa" w:w="1224"/>
            <w:vAlign w:val="center"/>
          </w:tcPr>
          <w:p>
            <w:pPr>
              <w:jc w:val="center"/>
            </w:pPr>
            <w:r/>
            <w:r>
              <w:rPr>
                <w:b w:val="0"/>
                <w:sz w:val="16"/>
              </w:rPr>
              <w:t>0.99</w:t>
            </w:r>
          </w:p>
        </w:tc>
        <w:tc>
          <w:tcPr>
            <w:tcW w:type="dxa" w:w="1224"/>
            <w:vAlign w:val="center"/>
          </w:tcPr>
          <w:p>
            <w:pPr>
              <w:jc w:val="center"/>
            </w:pPr>
            <w:r/>
            <w:r>
              <w:rPr>
                <w:b w:val="0"/>
                <w:sz w:val="16"/>
              </w:rPr>
              <w:t>0.139</w:t>
            </w:r>
          </w:p>
        </w:tc>
        <w:tc>
          <w:tcPr>
            <w:tcW w:type="dxa" w:w="1224"/>
            <w:vAlign w:val="center"/>
          </w:tcPr>
          <w:p>
            <w:pPr>
              <w:jc w:val="center"/>
            </w:pPr>
            <w:r/>
            <w:r>
              <w:rPr>
                <w:b w:val="0"/>
                <w:sz w:val="16"/>
              </w:rPr>
              <w:t>0.119</w:t>
            </w:r>
          </w:p>
        </w:tc>
        <w:tc>
          <w:tcPr>
            <w:tcW w:type="dxa" w:w="1224"/>
            <w:vAlign w:val="center"/>
          </w:tcPr>
          <w:p>
            <w:pPr>
              <w:jc w:val="center"/>
            </w:pPr>
            <w:r/>
            <w:r>
              <w:rPr>
                <w:b w:val="0"/>
                <w:sz w:val="16"/>
              </w:rPr>
              <w:t>78</w:t>
            </w:r>
          </w:p>
        </w:tc>
      </w:tr>
      <w:tr>
        <w:tc>
          <w:tcPr>
            <w:tcW w:type="dxa" w:w="1224"/>
            <w:vAlign w:val="center"/>
          </w:tcPr>
          <w:p>
            <w:pPr>
              <w:jc w:val="center"/>
            </w:pPr>
            <w:r/>
            <w:r>
              <w:rPr>
                <w:b w:val="0"/>
                <w:sz w:val="16"/>
              </w:rPr>
              <w:t>arg_allele</w:t>
            </w:r>
          </w:p>
        </w:tc>
        <w:tc>
          <w:tcPr>
            <w:tcW w:type="dxa" w:w="1224"/>
            <w:vAlign w:val="center"/>
          </w:tcPr>
          <w:p>
            <w:pPr>
              <w:jc w:val="left"/>
            </w:pPr>
            <w:r/>
            <w:r>
              <w:rPr>
                <w:b w:val="0"/>
                <w:sz w:val="16"/>
              </w:rPr>
              <w:t>6-bp local mismatch</w:t>
            </w:r>
          </w:p>
        </w:tc>
        <w:tc>
          <w:tcPr>
            <w:tcW w:type="dxa" w:w="1224"/>
            <w:vAlign w:val="center"/>
          </w:tcPr>
          <w:p>
            <w:pPr>
              <w:jc w:val="center"/>
            </w:pPr>
            <w:r/>
            <w:r>
              <w:rPr>
                <w:b w:val="0"/>
                <w:sz w:val="16"/>
              </w:rPr>
              <w:t>75</w:t>
            </w:r>
          </w:p>
        </w:tc>
        <w:tc>
          <w:tcPr>
            <w:tcW w:type="dxa" w:w="1224"/>
            <w:vAlign w:val="center"/>
          </w:tcPr>
          <w:p>
            <w:pPr>
              <w:jc w:val="center"/>
            </w:pPr>
            <w:r/>
            <w:r>
              <w:rPr>
                <w:b w:val="0"/>
                <w:sz w:val="16"/>
              </w:rPr>
              <w:t>CSP</w:t>
            </w:r>
          </w:p>
        </w:tc>
        <w:tc>
          <w:tcPr>
            <w:tcW w:type="dxa" w:w="1224"/>
            <w:vAlign w:val="center"/>
          </w:tcPr>
          <w:p>
            <w:pPr>
              <w:jc w:val="center"/>
            </w:pPr>
            <w:r/>
            <w:r>
              <w:rPr>
                <w:b w:val="0"/>
                <w:sz w:val="16"/>
              </w:rPr>
              <w:t>0.991</w:t>
            </w:r>
          </w:p>
        </w:tc>
        <w:tc>
          <w:tcPr>
            <w:tcW w:type="dxa" w:w="1224"/>
            <w:vAlign w:val="center"/>
          </w:tcPr>
          <w:p>
            <w:pPr>
              <w:jc w:val="center"/>
            </w:pPr>
            <w:r/>
            <w:r>
              <w:rPr>
                <w:b w:val="0"/>
                <w:sz w:val="16"/>
              </w:rPr>
              <w:t>0.131</w:t>
            </w:r>
          </w:p>
        </w:tc>
        <w:tc>
          <w:tcPr>
            <w:tcW w:type="dxa" w:w="1224"/>
            <w:vAlign w:val="center"/>
          </w:tcPr>
          <w:p>
            <w:pPr>
              <w:jc w:val="center"/>
            </w:pPr>
            <w:r/>
            <w:r>
              <w:rPr>
                <w:b w:val="0"/>
                <w:sz w:val="16"/>
              </w:rPr>
              <w:t>0.119</w:t>
            </w:r>
          </w:p>
        </w:tc>
        <w:tc>
          <w:tcPr>
            <w:tcW w:type="dxa" w:w="1224"/>
            <w:vAlign w:val="center"/>
          </w:tcPr>
          <w:p>
            <w:pPr>
              <w:jc w:val="center"/>
            </w:pPr>
            <w:r/>
            <w:r>
              <w:rPr>
                <w:b w:val="0"/>
                <w:sz w:val="16"/>
              </w:rPr>
              <w:t>81</w:t>
            </w:r>
          </w:p>
        </w:tc>
      </w:tr>
      <w:tr>
        <w:tc>
          <w:tcPr>
            <w:tcW w:type="dxa" w:w="1224"/>
            <w:vAlign w:val="center"/>
          </w:tcPr>
          <w:p>
            <w:pPr>
              <w:jc w:val="center"/>
            </w:pPr>
            <w:r/>
            <w:r>
              <w:rPr>
                <w:b w:val="0"/>
                <w:sz w:val="16"/>
              </w:rPr>
              <w:t>arg_family</w:t>
            </w:r>
          </w:p>
        </w:tc>
        <w:tc>
          <w:tcPr>
            <w:tcW w:type="dxa" w:w="1224"/>
            <w:vAlign w:val="center"/>
          </w:tcPr>
          <w:p>
            <w:pPr>
              <w:jc w:val="center"/>
            </w:pPr>
            <w:r/>
            <w:r>
              <w:rPr>
                <w:b w:val="0"/>
                <w:sz w:val="16"/>
              </w:rPr>
              <w:t>3% N mask</w:t>
            </w:r>
          </w:p>
        </w:tc>
        <w:tc>
          <w:tcPr>
            <w:tcW w:type="dxa" w:w="1224"/>
            <w:vAlign w:val="center"/>
          </w:tcPr>
          <w:p>
            <w:pPr>
              <w:jc w:val="center"/>
            </w:pPr>
            <w:r/>
            <w:r>
              <w:rPr>
                <w:b w:val="0"/>
                <w:sz w:val="16"/>
              </w:rPr>
              <w:t>69</w:t>
            </w:r>
          </w:p>
        </w:tc>
        <w:tc>
          <w:tcPr>
            <w:tcW w:type="dxa" w:w="1224"/>
            <w:vAlign w:val="center"/>
          </w:tcPr>
          <w:p>
            <w:pPr>
              <w:jc w:val="center"/>
            </w:pPr>
            <w:r/>
            <w:r>
              <w:rPr>
                <w:b w:val="0"/>
                <w:sz w:val="16"/>
              </w:rPr>
              <w:t>CSP</w:t>
            </w:r>
          </w:p>
        </w:tc>
        <w:tc>
          <w:tcPr>
            <w:tcW w:type="dxa" w:w="1224"/>
            <w:vAlign w:val="center"/>
          </w:tcPr>
          <w:p>
            <w:pPr>
              <w:jc w:val="center"/>
            </w:pPr>
            <w:r/>
            <w:r>
              <w:rPr>
                <w:b w:val="0"/>
                <w:sz w:val="16"/>
              </w:rPr>
              <w:t>0.994</w:t>
            </w:r>
          </w:p>
        </w:tc>
        <w:tc>
          <w:tcPr>
            <w:tcW w:type="dxa" w:w="1224"/>
            <w:vAlign w:val="center"/>
          </w:tcPr>
          <w:p>
            <w:pPr>
              <w:jc w:val="center"/>
            </w:pPr>
            <w:r/>
            <w:r>
              <w:rPr>
                <w:b w:val="0"/>
                <w:sz w:val="16"/>
              </w:rPr>
              <w:t>0.105</w:t>
            </w:r>
          </w:p>
        </w:tc>
        <w:tc>
          <w:tcPr>
            <w:tcW w:type="dxa" w:w="1224"/>
            <w:vAlign w:val="center"/>
          </w:tcPr>
          <w:p>
            <w:pPr>
              <w:jc w:val="center"/>
            </w:pPr>
            <w:r/>
            <w:r>
              <w:rPr>
                <w:b w:val="0"/>
                <w:sz w:val="16"/>
              </w:rPr>
              <w:t>0.108</w:t>
            </w:r>
          </w:p>
        </w:tc>
        <w:tc>
          <w:tcPr>
            <w:tcW w:type="dxa" w:w="1224"/>
            <w:vAlign w:val="center"/>
          </w:tcPr>
          <w:p>
            <w:pPr>
              <w:jc w:val="center"/>
            </w:pPr>
            <w:r/>
            <w:r>
              <w:rPr>
                <w:b w:val="0"/>
                <w:sz w:val="16"/>
              </w:rPr>
              <w:t>101</w:t>
            </w:r>
          </w:p>
        </w:tc>
      </w:tr>
      <w:tr>
        <w:tc>
          <w:tcPr>
            <w:tcW w:type="dxa" w:w="1224"/>
            <w:vAlign w:val="center"/>
          </w:tcPr>
          <w:p>
            <w:pPr>
              <w:jc w:val="center"/>
            </w:pPr>
            <w:r/>
            <w:r>
              <w:rPr>
                <w:b w:val="0"/>
                <w:sz w:val="16"/>
              </w:rPr>
              <w:t>arg_family</w:t>
            </w:r>
          </w:p>
        </w:tc>
        <w:tc>
          <w:tcPr>
            <w:tcW w:type="dxa" w:w="1224"/>
            <w:vAlign w:val="center"/>
          </w:tcPr>
          <w:p>
            <w:pPr>
              <w:jc w:val="center"/>
            </w:pPr>
            <w:r/>
            <w:r>
              <w:rPr>
                <w:b w:val="0"/>
                <w:sz w:val="16"/>
              </w:rPr>
              <w:t>3% N mask</w:t>
            </w:r>
          </w:p>
        </w:tc>
        <w:tc>
          <w:tcPr>
            <w:tcW w:type="dxa" w:w="1224"/>
            <w:vAlign w:val="center"/>
          </w:tcPr>
          <w:p>
            <w:pPr>
              <w:jc w:val="center"/>
            </w:pPr>
            <w:r/>
            <w:r>
              <w:rPr>
                <w:b w:val="0"/>
                <w:sz w:val="16"/>
              </w:rPr>
              <w:t>75</w:t>
            </w:r>
          </w:p>
        </w:tc>
        <w:tc>
          <w:tcPr>
            <w:tcW w:type="dxa" w:w="1224"/>
            <w:vAlign w:val="center"/>
          </w:tcPr>
          <w:p>
            <w:pPr>
              <w:jc w:val="center"/>
            </w:pPr>
            <w:r/>
            <w:r>
              <w:rPr>
                <w:b w:val="0"/>
                <w:sz w:val="16"/>
              </w:rPr>
              <w:t>CSP</w:t>
            </w:r>
          </w:p>
        </w:tc>
        <w:tc>
          <w:tcPr>
            <w:tcW w:type="dxa" w:w="1224"/>
            <w:vAlign w:val="center"/>
          </w:tcPr>
          <w:p>
            <w:pPr>
              <w:jc w:val="center"/>
            </w:pPr>
            <w:r/>
            <w:r>
              <w:rPr>
                <w:b w:val="0"/>
                <w:sz w:val="16"/>
              </w:rPr>
              <w:t>0.995</w:t>
            </w:r>
          </w:p>
        </w:tc>
        <w:tc>
          <w:tcPr>
            <w:tcW w:type="dxa" w:w="1224"/>
            <w:vAlign w:val="center"/>
          </w:tcPr>
          <w:p>
            <w:pPr>
              <w:jc w:val="center"/>
            </w:pPr>
            <w:r/>
            <w:r>
              <w:rPr>
                <w:b w:val="0"/>
                <w:sz w:val="16"/>
              </w:rPr>
              <w:t>0.099</w:t>
            </w:r>
          </w:p>
        </w:tc>
        <w:tc>
          <w:tcPr>
            <w:tcW w:type="dxa" w:w="1224"/>
            <w:vAlign w:val="center"/>
          </w:tcPr>
          <w:p>
            <w:pPr>
              <w:jc w:val="center"/>
            </w:pPr>
            <w:r/>
            <w:r>
              <w:rPr>
                <w:b w:val="0"/>
                <w:sz w:val="16"/>
              </w:rPr>
              <w:t>0.122</w:t>
            </w:r>
          </w:p>
        </w:tc>
        <w:tc>
          <w:tcPr>
            <w:tcW w:type="dxa" w:w="1224"/>
            <w:vAlign w:val="center"/>
          </w:tcPr>
          <w:p>
            <w:pPr>
              <w:jc w:val="center"/>
            </w:pPr>
            <w:r/>
            <w:r>
              <w:rPr>
                <w:b w:val="0"/>
                <w:sz w:val="16"/>
              </w:rPr>
              <w:t>107</w:t>
            </w:r>
          </w:p>
        </w:tc>
      </w:tr>
      <w:tr>
        <w:tc>
          <w:tcPr>
            <w:tcW w:type="dxa" w:w="1224"/>
            <w:vAlign w:val="center"/>
          </w:tcPr>
          <w:p>
            <w:pPr>
              <w:jc w:val="center"/>
            </w:pPr>
            <w:r/>
            <w:r>
              <w:rPr>
                <w:b w:val="0"/>
                <w:sz w:val="16"/>
              </w:rPr>
              <w:t>arg_family</w:t>
            </w:r>
          </w:p>
        </w:tc>
        <w:tc>
          <w:tcPr>
            <w:tcW w:type="dxa" w:w="1224"/>
            <w:vAlign w:val="center"/>
          </w:tcPr>
          <w:p>
            <w:pPr>
              <w:jc w:val="left"/>
            </w:pPr>
            <w:r/>
            <w:r>
              <w:rPr>
                <w:b w:val="0"/>
                <w:sz w:val="16"/>
              </w:rPr>
              <w:t>6-bp local mismatch</w:t>
            </w:r>
          </w:p>
        </w:tc>
        <w:tc>
          <w:tcPr>
            <w:tcW w:type="dxa" w:w="1224"/>
            <w:vAlign w:val="center"/>
          </w:tcPr>
          <w:p>
            <w:pPr>
              <w:jc w:val="center"/>
            </w:pPr>
            <w:r/>
            <w:r>
              <w:rPr>
                <w:b w:val="0"/>
                <w:sz w:val="16"/>
              </w:rPr>
              <w:t>69</w:t>
            </w:r>
          </w:p>
        </w:tc>
        <w:tc>
          <w:tcPr>
            <w:tcW w:type="dxa" w:w="1224"/>
            <w:vAlign w:val="center"/>
          </w:tcPr>
          <w:p>
            <w:pPr>
              <w:jc w:val="center"/>
            </w:pPr>
            <w:r/>
            <w:r>
              <w:rPr>
                <w:b w:val="0"/>
                <w:sz w:val="16"/>
              </w:rPr>
              <w:t>CSP</w:t>
            </w:r>
          </w:p>
        </w:tc>
        <w:tc>
          <w:tcPr>
            <w:tcW w:type="dxa" w:w="1224"/>
            <w:vAlign w:val="center"/>
          </w:tcPr>
          <w:p>
            <w:pPr>
              <w:jc w:val="center"/>
            </w:pPr>
            <w:r/>
            <w:r>
              <w:rPr>
                <w:b w:val="0"/>
                <w:sz w:val="16"/>
              </w:rPr>
              <w:t>0.989</w:t>
            </w:r>
          </w:p>
        </w:tc>
        <w:tc>
          <w:tcPr>
            <w:tcW w:type="dxa" w:w="1224"/>
            <w:vAlign w:val="center"/>
          </w:tcPr>
          <w:p>
            <w:pPr>
              <w:jc w:val="center"/>
            </w:pPr>
            <w:r/>
            <w:r>
              <w:rPr>
                <w:b w:val="0"/>
                <w:sz w:val="16"/>
              </w:rPr>
              <w:t>0.145</w:t>
            </w:r>
          </w:p>
        </w:tc>
        <w:tc>
          <w:tcPr>
            <w:tcW w:type="dxa" w:w="1224"/>
            <w:vAlign w:val="center"/>
          </w:tcPr>
          <w:p>
            <w:pPr>
              <w:jc w:val="center"/>
            </w:pPr>
            <w:r/>
            <w:r>
              <w:rPr>
                <w:b w:val="0"/>
                <w:sz w:val="16"/>
              </w:rPr>
              <w:t>0.094</w:t>
            </w:r>
          </w:p>
        </w:tc>
        <w:tc>
          <w:tcPr>
            <w:tcW w:type="dxa" w:w="1224"/>
            <w:vAlign w:val="center"/>
          </w:tcPr>
          <w:p>
            <w:pPr>
              <w:jc w:val="center"/>
            </w:pPr>
            <w:r/>
            <w:r>
              <w:rPr>
                <w:b w:val="0"/>
                <w:sz w:val="16"/>
              </w:rPr>
              <w:t>101</w:t>
            </w:r>
          </w:p>
        </w:tc>
      </w:tr>
      <w:tr>
        <w:tc>
          <w:tcPr>
            <w:tcW w:type="dxa" w:w="1224"/>
            <w:vAlign w:val="center"/>
          </w:tcPr>
          <w:p>
            <w:pPr>
              <w:jc w:val="center"/>
            </w:pPr>
            <w:r/>
            <w:r>
              <w:rPr>
                <w:b w:val="0"/>
                <w:sz w:val="16"/>
              </w:rPr>
              <w:t>arg_family</w:t>
            </w:r>
          </w:p>
        </w:tc>
        <w:tc>
          <w:tcPr>
            <w:tcW w:type="dxa" w:w="1224"/>
            <w:vAlign w:val="center"/>
          </w:tcPr>
          <w:p>
            <w:pPr>
              <w:jc w:val="left"/>
            </w:pPr>
            <w:r/>
            <w:r>
              <w:rPr>
                <w:b w:val="0"/>
                <w:sz w:val="16"/>
              </w:rPr>
              <w:t>6-bp local mismatch</w:t>
            </w:r>
          </w:p>
        </w:tc>
        <w:tc>
          <w:tcPr>
            <w:tcW w:type="dxa" w:w="1224"/>
            <w:vAlign w:val="center"/>
          </w:tcPr>
          <w:p>
            <w:pPr>
              <w:jc w:val="center"/>
            </w:pPr>
            <w:r/>
            <w:r>
              <w:rPr>
                <w:b w:val="0"/>
                <w:sz w:val="16"/>
              </w:rPr>
              <w:t>75</w:t>
            </w:r>
          </w:p>
        </w:tc>
        <w:tc>
          <w:tcPr>
            <w:tcW w:type="dxa" w:w="1224"/>
            <w:vAlign w:val="center"/>
          </w:tcPr>
          <w:p>
            <w:pPr>
              <w:jc w:val="center"/>
            </w:pPr>
            <w:r/>
            <w:r>
              <w:rPr>
                <w:b w:val="0"/>
                <w:sz w:val="16"/>
              </w:rPr>
              <w:t>CSP</w:t>
            </w:r>
          </w:p>
        </w:tc>
        <w:tc>
          <w:tcPr>
            <w:tcW w:type="dxa" w:w="1224"/>
            <w:vAlign w:val="center"/>
          </w:tcPr>
          <w:p>
            <w:pPr>
              <w:jc w:val="center"/>
            </w:pPr>
            <w:r/>
            <w:r>
              <w:rPr>
                <w:b w:val="0"/>
                <w:sz w:val="16"/>
              </w:rPr>
              <w:t>0.99</w:t>
            </w:r>
          </w:p>
        </w:tc>
        <w:tc>
          <w:tcPr>
            <w:tcW w:type="dxa" w:w="1224"/>
            <w:vAlign w:val="center"/>
          </w:tcPr>
          <w:p>
            <w:pPr>
              <w:jc w:val="center"/>
            </w:pPr>
            <w:r/>
            <w:r>
              <w:rPr>
                <w:b w:val="0"/>
                <w:sz w:val="16"/>
              </w:rPr>
              <w:t>0.137</w:t>
            </w:r>
          </w:p>
        </w:tc>
        <w:tc>
          <w:tcPr>
            <w:tcW w:type="dxa" w:w="1224"/>
            <w:vAlign w:val="center"/>
          </w:tcPr>
          <w:p>
            <w:pPr>
              <w:jc w:val="center"/>
            </w:pPr>
            <w:r/>
            <w:r>
              <w:rPr>
                <w:b w:val="0"/>
                <w:sz w:val="16"/>
              </w:rPr>
              <w:t>0.106</w:t>
            </w:r>
          </w:p>
        </w:tc>
        <w:tc>
          <w:tcPr>
            <w:tcW w:type="dxa" w:w="1224"/>
            <w:vAlign w:val="center"/>
          </w:tcPr>
          <w:p>
            <w:pPr>
              <w:jc w:val="center"/>
            </w:pPr>
            <w:r/>
            <w:r>
              <w:rPr>
                <w:b w:val="0"/>
                <w:sz w:val="16"/>
              </w:rPr>
              <w:t>107</w:t>
            </w:r>
          </w:p>
        </w:tc>
      </w:tr>
      <w:tr>
        <w:tc>
          <w:tcPr>
            <w:tcW w:type="dxa" w:w="1224"/>
            <w:vAlign w:val="center"/>
          </w:tcPr>
          <w:p>
            <w:pPr>
              <w:jc w:val="center"/>
            </w:pPr>
            <w:r/>
            <w:r>
              <w:rPr>
                <w:b w:val="0"/>
                <w:sz w:val="16"/>
              </w:rPr>
              <w:t>resistance_snp</w:t>
            </w:r>
          </w:p>
        </w:tc>
        <w:tc>
          <w:tcPr>
            <w:tcW w:type="dxa" w:w="1224"/>
            <w:vAlign w:val="center"/>
          </w:tcPr>
          <w:p>
            <w:pPr>
              <w:jc w:val="center"/>
            </w:pPr>
            <w:r/>
            <w:r>
              <w:rPr>
                <w:b w:val="0"/>
                <w:sz w:val="16"/>
              </w:rPr>
              <w:t>3% N mask</w:t>
            </w:r>
          </w:p>
        </w:tc>
        <w:tc>
          <w:tcPr>
            <w:tcW w:type="dxa" w:w="1224"/>
            <w:vAlign w:val="center"/>
          </w:tcPr>
          <w:p>
            <w:pPr>
              <w:jc w:val="center"/>
            </w:pPr>
            <w:r/>
            <w:r>
              <w:rPr>
                <w:b w:val="0"/>
                <w:sz w:val="16"/>
              </w:rPr>
              <w:t>69</w:t>
            </w:r>
          </w:p>
        </w:tc>
        <w:tc>
          <w:tcPr>
            <w:tcW w:type="dxa" w:w="1224"/>
            <w:vAlign w:val="center"/>
          </w:tcPr>
          <w:p>
            <w:pPr>
              <w:jc w:val="center"/>
            </w:pPr>
            <w:r/>
            <w:r>
              <w:rPr>
                <w:b w:val="0"/>
                <w:sz w:val="16"/>
              </w:rPr>
              <w:t>CSP</w:t>
            </w:r>
          </w:p>
        </w:tc>
        <w:tc>
          <w:tcPr>
            <w:tcW w:type="dxa" w:w="1224"/>
            <w:vAlign w:val="center"/>
          </w:tcPr>
          <w:p>
            <w:pPr>
              <w:jc w:val="center"/>
            </w:pPr>
            <w:r/>
            <w:r>
              <w:rPr>
                <w:b w:val="0"/>
                <w:sz w:val="16"/>
              </w:rPr>
              <w:t>0.995</w:t>
            </w:r>
          </w:p>
        </w:tc>
        <w:tc>
          <w:tcPr>
            <w:tcW w:type="dxa" w:w="1224"/>
            <w:vAlign w:val="center"/>
          </w:tcPr>
          <w:p>
            <w:pPr>
              <w:jc w:val="center"/>
            </w:pPr>
            <w:r/>
            <w:r>
              <w:rPr>
                <w:b w:val="0"/>
                <w:sz w:val="16"/>
              </w:rPr>
              <w:t>0.099</w:t>
            </w:r>
          </w:p>
        </w:tc>
        <w:tc>
          <w:tcPr>
            <w:tcW w:type="dxa" w:w="1224"/>
            <w:vAlign w:val="center"/>
          </w:tcPr>
          <w:p>
            <w:pPr>
              <w:jc w:val="center"/>
            </w:pPr>
            <w:r/>
            <w:r>
              <w:rPr>
                <w:b w:val="0"/>
                <w:sz w:val="16"/>
              </w:rPr>
              <w:t>0.042</w:t>
            </w:r>
          </w:p>
        </w:tc>
        <w:tc>
          <w:tcPr>
            <w:tcW w:type="dxa" w:w="1224"/>
            <w:vAlign w:val="center"/>
          </w:tcPr>
          <w:p>
            <w:pPr>
              <w:jc w:val="center"/>
            </w:pPr>
            <w:r/>
            <w:r>
              <w:rPr>
                <w:b w:val="0"/>
                <w:sz w:val="16"/>
              </w:rPr>
              <w:t>56</w:t>
            </w:r>
          </w:p>
        </w:tc>
      </w:tr>
      <w:tr>
        <w:tc>
          <w:tcPr>
            <w:tcW w:type="dxa" w:w="1224"/>
            <w:vAlign w:val="center"/>
          </w:tcPr>
          <w:p>
            <w:pPr>
              <w:jc w:val="center"/>
            </w:pPr>
            <w:r/>
            <w:r>
              <w:rPr>
                <w:b w:val="0"/>
                <w:sz w:val="16"/>
              </w:rPr>
              <w:t>resistance_snp</w:t>
            </w:r>
          </w:p>
        </w:tc>
        <w:tc>
          <w:tcPr>
            <w:tcW w:type="dxa" w:w="1224"/>
            <w:vAlign w:val="center"/>
          </w:tcPr>
          <w:p>
            <w:pPr>
              <w:jc w:val="center"/>
            </w:pPr>
            <w:r/>
            <w:r>
              <w:rPr>
                <w:b w:val="0"/>
                <w:sz w:val="16"/>
              </w:rPr>
              <w:t>3% N mask</w:t>
            </w:r>
          </w:p>
        </w:tc>
        <w:tc>
          <w:tcPr>
            <w:tcW w:type="dxa" w:w="1224"/>
            <w:vAlign w:val="center"/>
          </w:tcPr>
          <w:p>
            <w:pPr>
              <w:jc w:val="center"/>
            </w:pPr>
            <w:r/>
            <w:r>
              <w:rPr>
                <w:b w:val="0"/>
                <w:sz w:val="16"/>
              </w:rPr>
              <w:t>75</w:t>
            </w:r>
          </w:p>
        </w:tc>
        <w:tc>
          <w:tcPr>
            <w:tcW w:type="dxa" w:w="1224"/>
            <w:vAlign w:val="center"/>
          </w:tcPr>
          <w:p>
            <w:pPr>
              <w:jc w:val="center"/>
            </w:pPr>
            <w:r/>
            <w:r>
              <w:rPr>
                <w:b w:val="0"/>
                <w:sz w:val="16"/>
              </w:rPr>
              <w:t>CSP</w:t>
            </w:r>
          </w:p>
        </w:tc>
        <w:tc>
          <w:tcPr>
            <w:tcW w:type="dxa" w:w="1224"/>
            <w:vAlign w:val="center"/>
          </w:tcPr>
          <w:p>
            <w:pPr>
              <w:jc w:val="center"/>
            </w:pPr>
            <w:r/>
            <w:r>
              <w:rPr>
                <w:b w:val="0"/>
                <w:sz w:val="16"/>
              </w:rPr>
              <w:t>0.996</w:t>
            </w:r>
          </w:p>
        </w:tc>
        <w:tc>
          <w:tcPr>
            <w:tcW w:type="dxa" w:w="1224"/>
            <w:vAlign w:val="center"/>
          </w:tcPr>
          <w:p>
            <w:pPr>
              <w:jc w:val="center"/>
            </w:pPr>
            <w:r/>
            <w:r>
              <w:rPr>
                <w:b w:val="0"/>
                <w:sz w:val="16"/>
              </w:rPr>
              <w:t>0.092</w:t>
            </w:r>
          </w:p>
        </w:tc>
        <w:tc>
          <w:tcPr>
            <w:tcW w:type="dxa" w:w="1224"/>
            <w:vAlign w:val="center"/>
          </w:tcPr>
          <w:p>
            <w:pPr>
              <w:jc w:val="center"/>
            </w:pPr>
            <w:r/>
            <w:r>
              <w:rPr>
                <w:b w:val="0"/>
                <w:sz w:val="16"/>
              </w:rPr>
              <w:t>0.028</w:t>
            </w:r>
          </w:p>
        </w:tc>
        <w:tc>
          <w:tcPr>
            <w:tcW w:type="dxa" w:w="1224"/>
            <w:vAlign w:val="center"/>
          </w:tcPr>
          <w:p>
            <w:pPr>
              <w:jc w:val="center"/>
            </w:pPr>
            <w:r/>
            <w:r>
              <w:rPr>
                <w:b w:val="0"/>
                <w:sz w:val="16"/>
              </w:rPr>
              <w:t>57</w:t>
            </w:r>
          </w:p>
        </w:tc>
      </w:tr>
      <w:tr>
        <w:tc>
          <w:tcPr>
            <w:tcW w:type="dxa" w:w="1224"/>
            <w:vAlign w:val="center"/>
          </w:tcPr>
          <w:p>
            <w:pPr>
              <w:jc w:val="center"/>
            </w:pPr>
            <w:r/>
            <w:r>
              <w:rPr>
                <w:b w:val="0"/>
                <w:sz w:val="16"/>
              </w:rPr>
              <w:t>resistance_snp</w:t>
            </w:r>
          </w:p>
        </w:tc>
        <w:tc>
          <w:tcPr>
            <w:tcW w:type="dxa" w:w="1224"/>
            <w:vAlign w:val="center"/>
          </w:tcPr>
          <w:p>
            <w:pPr>
              <w:jc w:val="left"/>
            </w:pPr>
            <w:r/>
            <w:r>
              <w:rPr>
                <w:b w:val="0"/>
                <w:sz w:val="16"/>
              </w:rPr>
              <w:t>6-bp local mismatch</w:t>
            </w:r>
          </w:p>
        </w:tc>
        <w:tc>
          <w:tcPr>
            <w:tcW w:type="dxa" w:w="1224"/>
            <w:vAlign w:val="center"/>
          </w:tcPr>
          <w:p>
            <w:pPr>
              <w:jc w:val="center"/>
            </w:pPr>
            <w:r/>
            <w:r>
              <w:rPr>
                <w:b w:val="0"/>
                <w:sz w:val="16"/>
              </w:rPr>
              <w:t>69</w:t>
            </w:r>
          </w:p>
        </w:tc>
        <w:tc>
          <w:tcPr>
            <w:tcW w:type="dxa" w:w="1224"/>
            <w:vAlign w:val="center"/>
          </w:tcPr>
          <w:p>
            <w:pPr>
              <w:jc w:val="center"/>
            </w:pPr>
            <w:r/>
            <w:r>
              <w:rPr>
                <w:b w:val="0"/>
                <w:sz w:val="16"/>
              </w:rPr>
              <w:t>CSP</w:t>
            </w:r>
          </w:p>
        </w:tc>
        <w:tc>
          <w:tcPr>
            <w:tcW w:type="dxa" w:w="1224"/>
            <w:vAlign w:val="center"/>
          </w:tcPr>
          <w:p>
            <w:pPr>
              <w:jc w:val="center"/>
            </w:pPr>
            <w:r/>
            <w:r>
              <w:rPr>
                <w:b w:val="0"/>
                <w:sz w:val="16"/>
              </w:rPr>
              <w:t>0.993</w:t>
            </w:r>
          </w:p>
        </w:tc>
        <w:tc>
          <w:tcPr>
            <w:tcW w:type="dxa" w:w="1224"/>
            <w:vAlign w:val="center"/>
          </w:tcPr>
          <w:p>
            <w:pPr>
              <w:jc w:val="center"/>
            </w:pPr>
            <w:r/>
            <w:r>
              <w:rPr>
                <w:b w:val="0"/>
                <w:sz w:val="16"/>
              </w:rPr>
              <w:t>0.121</w:t>
            </w:r>
          </w:p>
        </w:tc>
        <w:tc>
          <w:tcPr>
            <w:tcW w:type="dxa" w:w="1224"/>
            <w:vAlign w:val="center"/>
          </w:tcPr>
          <w:p>
            <w:pPr>
              <w:jc w:val="center"/>
            </w:pPr>
            <w:r/>
            <w:r>
              <w:rPr>
                <w:b w:val="0"/>
                <w:sz w:val="16"/>
              </w:rPr>
              <w:t>0.025</w:t>
            </w:r>
          </w:p>
        </w:tc>
        <w:tc>
          <w:tcPr>
            <w:tcW w:type="dxa" w:w="1224"/>
            <w:vAlign w:val="center"/>
          </w:tcPr>
          <w:p>
            <w:pPr>
              <w:jc w:val="center"/>
            </w:pPr>
            <w:r/>
            <w:r>
              <w:rPr>
                <w:b w:val="0"/>
                <w:sz w:val="16"/>
              </w:rPr>
              <w:t>56</w:t>
            </w:r>
          </w:p>
        </w:tc>
      </w:tr>
      <w:tr>
        <w:tc>
          <w:tcPr>
            <w:tcW w:type="dxa" w:w="1224"/>
            <w:vAlign w:val="center"/>
          </w:tcPr>
          <w:p>
            <w:pPr>
              <w:jc w:val="center"/>
            </w:pPr>
            <w:r/>
            <w:r>
              <w:rPr>
                <w:b w:val="0"/>
                <w:sz w:val="16"/>
              </w:rPr>
              <w:t>resistance_snp</w:t>
            </w:r>
          </w:p>
        </w:tc>
        <w:tc>
          <w:tcPr>
            <w:tcW w:type="dxa" w:w="1224"/>
            <w:vAlign w:val="center"/>
          </w:tcPr>
          <w:p>
            <w:pPr>
              <w:jc w:val="left"/>
            </w:pPr>
            <w:r/>
            <w:r>
              <w:rPr>
                <w:b w:val="0"/>
                <w:sz w:val="16"/>
              </w:rPr>
              <w:t>6-bp local mismatch</w:t>
            </w:r>
          </w:p>
        </w:tc>
        <w:tc>
          <w:tcPr>
            <w:tcW w:type="dxa" w:w="1224"/>
            <w:vAlign w:val="center"/>
          </w:tcPr>
          <w:p>
            <w:pPr>
              <w:jc w:val="center"/>
            </w:pPr>
            <w:r/>
            <w:r>
              <w:rPr>
                <w:b w:val="0"/>
                <w:sz w:val="16"/>
              </w:rPr>
              <w:t>75</w:t>
            </w:r>
          </w:p>
        </w:tc>
        <w:tc>
          <w:tcPr>
            <w:tcW w:type="dxa" w:w="1224"/>
            <w:vAlign w:val="center"/>
          </w:tcPr>
          <w:p>
            <w:pPr>
              <w:jc w:val="center"/>
            </w:pPr>
            <w:r/>
            <w:r>
              <w:rPr>
                <w:b w:val="0"/>
                <w:sz w:val="16"/>
              </w:rPr>
              <w:t>CSP</w:t>
            </w:r>
          </w:p>
        </w:tc>
        <w:tc>
          <w:tcPr>
            <w:tcW w:type="dxa" w:w="1224"/>
            <w:vAlign w:val="center"/>
          </w:tcPr>
          <w:p>
            <w:pPr>
              <w:jc w:val="center"/>
            </w:pPr>
            <w:r/>
            <w:r>
              <w:rPr>
                <w:b w:val="0"/>
                <w:sz w:val="16"/>
              </w:rPr>
              <w:t>0.994</w:t>
            </w:r>
          </w:p>
        </w:tc>
        <w:tc>
          <w:tcPr>
            <w:tcW w:type="dxa" w:w="1224"/>
            <w:vAlign w:val="center"/>
          </w:tcPr>
          <w:p>
            <w:pPr>
              <w:jc w:val="center"/>
            </w:pPr>
            <w:r/>
            <w:r>
              <w:rPr>
                <w:b w:val="0"/>
                <w:sz w:val="16"/>
              </w:rPr>
              <w:t>0.111</w:t>
            </w:r>
          </w:p>
        </w:tc>
        <w:tc>
          <w:tcPr>
            <w:tcW w:type="dxa" w:w="1224"/>
            <w:vAlign w:val="center"/>
          </w:tcPr>
          <w:p>
            <w:pPr>
              <w:jc w:val="center"/>
            </w:pPr>
            <w:r/>
            <w:r>
              <w:rPr>
                <w:b w:val="0"/>
                <w:sz w:val="16"/>
              </w:rPr>
              <w:t>0.031</w:t>
            </w:r>
          </w:p>
        </w:tc>
        <w:tc>
          <w:tcPr>
            <w:tcW w:type="dxa" w:w="1224"/>
            <w:vAlign w:val="center"/>
          </w:tcPr>
          <w:p>
            <w:pPr>
              <w:jc w:val="center"/>
            </w:pPr>
            <w:r/>
            <w:r>
              <w:rPr>
                <w:b w:val="0"/>
                <w:sz w:val="16"/>
              </w:rPr>
              <w:t>57</w:t>
            </w:r>
          </w:p>
        </w:tc>
      </w:tr>
    </w:tbl>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center"/>
            </w:pPr>
            <w:r/>
            <w:r>
              <w:rPr>
                <w:b/>
                <w:sz w:val="16"/>
              </w:rPr>
              <w:t>task</w:t>
            </w:r>
          </w:p>
        </w:tc>
        <w:tc>
          <w:tcPr>
            <w:tcW w:type="dxa" w:w="1958"/>
            <w:vAlign w:val="center"/>
            <w:shd w:fill="E8EEF7"/>
          </w:tcPr>
          <w:p>
            <w:pPr>
              <w:jc w:val="center"/>
            </w:pPr>
            <w:r/>
            <w:r>
              <w:rPr>
                <w:b/>
                <w:sz w:val="16"/>
              </w:rPr>
              <w:t>Representation</w:t>
            </w:r>
          </w:p>
        </w:tc>
        <w:tc>
          <w:tcPr>
            <w:tcW w:type="dxa" w:w="1958"/>
            <w:vAlign w:val="center"/>
            <w:shd w:fill="E8EEF7"/>
          </w:tcPr>
          <w:p>
            <w:pPr>
              <w:jc w:val="center"/>
            </w:pPr>
            <w:r/>
            <w:r>
              <w:rPr>
                <w:b/>
                <w:sz w:val="16"/>
              </w:rPr>
              <w:t>Mean_macro_F1</w:t>
            </w:r>
          </w:p>
        </w:tc>
        <w:tc>
          <w:tcPr>
            <w:tcW w:type="dxa" w:w="1958"/>
            <w:vAlign w:val="center"/>
            <w:shd w:fill="E8EEF7"/>
          </w:tcPr>
          <w:p>
            <w:pPr>
              <w:jc w:val="center"/>
            </w:pPr>
            <w:r/>
            <w:r>
              <w:rPr>
                <w:b/>
                <w:sz w:val="16"/>
              </w:rPr>
              <w:t>Mean_accuracy</w:t>
            </w:r>
          </w:p>
        </w:tc>
        <w:tc>
          <w:tcPr>
            <w:tcW w:type="dxa" w:w="1958"/>
            <w:vAlign w:val="center"/>
            <w:shd w:fill="E8EEF7"/>
          </w:tcPr>
          <w:p>
            <w:pPr>
              <w:jc w:val="center"/>
            </w:pPr>
            <w:r/>
            <w:r>
              <w:rPr>
                <w:b/>
                <w:sz w:val="16"/>
              </w:rPr>
              <w:t>Mean_features</w:t>
            </w:r>
          </w:p>
        </w:tc>
      </w:tr>
      <w:tr>
        <w:tc>
          <w:tcPr>
            <w:tcW w:type="dxa" w:w="1958"/>
            <w:vAlign w:val="center"/>
          </w:tcPr>
          <w:p>
            <w:pPr>
              <w:jc w:val="center"/>
            </w:pPr>
            <w:r/>
            <w:r>
              <w:rPr>
                <w:b w:val="0"/>
                <w:sz w:val="16"/>
              </w:rPr>
              <w:t>arg_allele</w:t>
            </w:r>
          </w:p>
        </w:tc>
        <w:tc>
          <w:tcPr>
            <w:tcW w:type="dxa" w:w="1958"/>
            <w:vAlign w:val="center"/>
          </w:tcPr>
          <w:p>
            <w:pPr>
              <w:jc w:val="left"/>
            </w:pPr>
            <w:r/>
            <w:r>
              <w:rPr>
                <w:b w:val="0"/>
                <w:sz w:val="16"/>
              </w:rPr>
              <w:t>Canonical 5-mer + CSP</w:t>
            </w:r>
          </w:p>
        </w:tc>
        <w:tc>
          <w:tcPr>
            <w:tcW w:type="dxa" w:w="1958"/>
            <w:vAlign w:val="center"/>
          </w:tcPr>
          <w:p>
            <w:pPr>
              <w:jc w:val="center"/>
            </w:pPr>
            <w:r/>
            <w:r>
              <w:rPr>
                <w:b w:val="0"/>
                <w:sz w:val="16"/>
              </w:rPr>
              <w:t>1</w:t>
            </w:r>
          </w:p>
        </w:tc>
        <w:tc>
          <w:tcPr>
            <w:tcW w:type="dxa" w:w="1958"/>
            <w:vAlign w:val="center"/>
          </w:tcPr>
          <w:p>
            <w:pPr>
              <w:jc w:val="center"/>
            </w:pPr>
            <w:r/>
            <w:r>
              <w:rPr>
                <w:b w:val="0"/>
                <w:sz w:val="16"/>
              </w:rPr>
              <w:t>1</w:t>
            </w:r>
          </w:p>
        </w:tc>
        <w:tc>
          <w:tcPr>
            <w:tcW w:type="dxa" w:w="1958"/>
            <w:vAlign w:val="center"/>
          </w:tcPr>
          <w:p>
            <w:pPr>
              <w:jc w:val="center"/>
            </w:pPr>
            <w:r/>
            <w:r>
              <w:rPr>
                <w:b w:val="0"/>
                <w:sz w:val="16"/>
              </w:rPr>
              <w:t>407.417</w:t>
            </w:r>
          </w:p>
        </w:tc>
      </w:tr>
      <w:tr>
        <w:tc>
          <w:tcPr>
            <w:tcW w:type="dxa" w:w="1958"/>
            <w:vAlign w:val="center"/>
          </w:tcPr>
          <w:p>
            <w:pPr>
              <w:jc w:val="center"/>
            </w:pPr>
            <w:r/>
            <w:r>
              <w:rPr>
                <w:b w:val="0"/>
                <w:sz w:val="16"/>
              </w:rPr>
              <w:t>arg_allele</w:t>
            </w:r>
          </w:p>
        </w:tc>
        <w:tc>
          <w:tcPr>
            <w:tcW w:type="dxa" w:w="1958"/>
            <w:vAlign w:val="center"/>
          </w:tcPr>
          <w:p>
            <w:pPr>
              <w:jc w:val="left"/>
            </w:pPr>
            <w:r/>
            <w:r>
              <w:rPr>
                <w:b w:val="0"/>
                <w:sz w:val="16"/>
              </w:rPr>
              <w:t>Canonical 7-mer + CSP</w:t>
            </w:r>
          </w:p>
        </w:tc>
        <w:tc>
          <w:tcPr>
            <w:tcW w:type="dxa" w:w="1958"/>
            <w:vAlign w:val="center"/>
          </w:tcPr>
          <w:p>
            <w:pPr>
              <w:jc w:val="center"/>
            </w:pPr>
            <w:r/>
            <w:r>
              <w:rPr>
                <w:b w:val="0"/>
                <w:sz w:val="16"/>
              </w:rPr>
              <w:t>1</w:t>
            </w:r>
          </w:p>
        </w:tc>
        <w:tc>
          <w:tcPr>
            <w:tcW w:type="dxa" w:w="1958"/>
            <w:vAlign w:val="center"/>
          </w:tcPr>
          <w:p>
            <w:pPr>
              <w:jc w:val="center"/>
            </w:pPr>
            <w:r/>
            <w:r>
              <w:rPr>
                <w:b w:val="0"/>
                <w:sz w:val="16"/>
              </w:rPr>
              <w:t>1</w:t>
            </w:r>
          </w:p>
        </w:tc>
        <w:tc>
          <w:tcPr>
            <w:tcW w:type="dxa" w:w="1958"/>
            <w:vAlign w:val="center"/>
          </w:tcPr>
          <w:p>
            <w:pPr>
              <w:jc w:val="center"/>
            </w:pPr>
            <w:r/>
            <w:r>
              <w:rPr>
                <w:b w:val="0"/>
                <w:sz w:val="16"/>
              </w:rPr>
              <w:t>1160.88</w:t>
            </w:r>
          </w:p>
        </w:tc>
      </w:tr>
      <w:tr>
        <w:tc>
          <w:tcPr>
            <w:tcW w:type="dxa" w:w="1958"/>
            <w:vAlign w:val="center"/>
          </w:tcPr>
          <w:p>
            <w:pPr>
              <w:jc w:val="center"/>
            </w:pPr>
            <w:r/>
            <w:r>
              <w:rPr>
                <w:b w:val="0"/>
                <w:sz w:val="16"/>
              </w:rPr>
              <w:t>arg_allele</w:t>
            </w:r>
          </w:p>
        </w:tc>
        <w:tc>
          <w:tcPr>
            <w:tcW w:type="dxa" w:w="1958"/>
            <w:vAlign w:val="center"/>
          </w:tcPr>
          <w:p>
            <w:pPr>
              <w:jc w:val="center"/>
            </w:pPr>
            <w:r/>
            <w:r>
              <w:rPr>
                <w:b w:val="0"/>
                <w:sz w:val="16"/>
              </w:rPr>
              <w:t>CSP</w:t>
            </w:r>
          </w:p>
        </w:tc>
        <w:tc>
          <w:tcPr>
            <w:tcW w:type="dxa" w:w="1958"/>
            <w:vAlign w:val="center"/>
          </w:tcPr>
          <w:p>
            <w:pPr>
              <w:jc w:val="center"/>
            </w:pPr>
            <w:r/>
            <w:r>
              <w:rPr>
                <w:b w:val="0"/>
                <w:sz w:val="16"/>
              </w:rPr>
              <w:t>0.999</w:t>
            </w:r>
          </w:p>
        </w:tc>
        <w:tc>
          <w:tcPr>
            <w:tcW w:type="dxa" w:w="1958"/>
            <w:vAlign w:val="center"/>
          </w:tcPr>
          <w:p>
            <w:pPr>
              <w:jc w:val="center"/>
            </w:pPr>
            <w:r/>
            <w:r>
              <w:rPr>
                <w:b w:val="0"/>
                <w:sz w:val="16"/>
              </w:rPr>
              <w:t>0.999</w:t>
            </w:r>
          </w:p>
        </w:tc>
        <w:tc>
          <w:tcPr>
            <w:tcW w:type="dxa" w:w="1958"/>
            <w:vAlign w:val="center"/>
          </w:tcPr>
          <w:p>
            <w:pPr>
              <w:jc w:val="center"/>
            </w:pPr>
            <w:r/>
            <w:r>
              <w:rPr>
                <w:b w:val="0"/>
                <w:sz w:val="16"/>
              </w:rPr>
              <w:t>117.875</w:t>
            </w:r>
          </w:p>
        </w:tc>
      </w:tr>
      <w:tr>
        <w:tc>
          <w:tcPr>
            <w:tcW w:type="dxa" w:w="1958"/>
            <w:vAlign w:val="center"/>
          </w:tcPr>
          <w:p>
            <w:pPr>
              <w:jc w:val="center"/>
            </w:pPr>
            <w:r/>
            <w:r>
              <w:rPr>
                <w:b w:val="0"/>
                <w:sz w:val="16"/>
              </w:rPr>
              <w:t>arg_allele</w:t>
            </w:r>
          </w:p>
        </w:tc>
        <w:tc>
          <w:tcPr>
            <w:tcW w:type="dxa" w:w="1958"/>
            <w:vAlign w:val="center"/>
          </w:tcPr>
          <w:p>
            <w:pPr>
              <w:jc w:val="center"/>
            </w:pPr>
            <w:r/>
            <w:r>
              <w:rPr>
                <w:b w:val="0"/>
                <w:sz w:val="16"/>
              </w:rPr>
              <w:t>Canonical 5-mer</w:t>
            </w:r>
          </w:p>
        </w:tc>
        <w:tc>
          <w:tcPr>
            <w:tcW w:type="dxa" w:w="1958"/>
            <w:vAlign w:val="center"/>
          </w:tcPr>
          <w:p>
            <w:pPr>
              <w:jc w:val="center"/>
            </w:pPr>
            <w:r/>
            <w:r>
              <w:rPr>
                <w:b w:val="0"/>
                <w:sz w:val="16"/>
              </w:rPr>
              <w:t>0.999</w:t>
            </w:r>
          </w:p>
        </w:tc>
        <w:tc>
          <w:tcPr>
            <w:tcW w:type="dxa" w:w="1958"/>
            <w:vAlign w:val="center"/>
          </w:tcPr>
          <w:p>
            <w:pPr>
              <w:jc w:val="center"/>
            </w:pPr>
            <w:r/>
            <w:r>
              <w:rPr>
                <w:b w:val="0"/>
                <w:sz w:val="16"/>
              </w:rPr>
              <w:t>0.999</w:t>
            </w:r>
          </w:p>
        </w:tc>
        <w:tc>
          <w:tcPr>
            <w:tcW w:type="dxa" w:w="1958"/>
            <w:vAlign w:val="center"/>
          </w:tcPr>
          <w:p>
            <w:pPr>
              <w:jc w:val="center"/>
            </w:pPr>
            <w:r/>
            <w:r>
              <w:rPr>
                <w:b w:val="0"/>
                <w:sz w:val="16"/>
              </w:rPr>
              <w:t>289.542</w:t>
            </w:r>
          </w:p>
        </w:tc>
      </w:tr>
      <w:tr>
        <w:tc>
          <w:tcPr>
            <w:tcW w:type="dxa" w:w="1958"/>
            <w:vAlign w:val="center"/>
          </w:tcPr>
          <w:p>
            <w:pPr>
              <w:jc w:val="center"/>
            </w:pPr>
            <w:r/>
            <w:r>
              <w:rPr>
                <w:b w:val="0"/>
                <w:sz w:val="16"/>
              </w:rPr>
              <w:t>arg_allele</w:t>
            </w:r>
          </w:p>
        </w:tc>
        <w:tc>
          <w:tcPr>
            <w:tcW w:type="dxa" w:w="1958"/>
            <w:vAlign w:val="center"/>
          </w:tcPr>
          <w:p>
            <w:pPr>
              <w:jc w:val="center"/>
            </w:pPr>
            <w:r/>
            <w:r>
              <w:rPr>
                <w:b w:val="0"/>
                <w:sz w:val="16"/>
              </w:rPr>
              <w:t>Canonical 7-mer</w:t>
            </w:r>
          </w:p>
        </w:tc>
        <w:tc>
          <w:tcPr>
            <w:tcW w:type="dxa" w:w="1958"/>
            <w:vAlign w:val="center"/>
          </w:tcPr>
          <w:p>
            <w:pPr>
              <w:jc w:val="center"/>
            </w:pPr>
            <w:r/>
            <w:r>
              <w:rPr>
                <w:b w:val="0"/>
                <w:sz w:val="16"/>
              </w:rPr>
              <w:t>0.999</w:t>
            </w:r>
          </w:p>
        </w:tc>
        <w:tc>
          <w:tcPr>
            <w:tcW w:type="dxa" w:w="1958"/>
            <w:vAlign w:val="center"/>
          </w:tcPr>
          <w:p>
            <w:pPr>
              <w:jc w:val="center"/>
            </w:pPr>
            <w:r/>
            <w:r>
              <w:rPr>
                <w:b w:val="0"/>
                <w:sz w:val="16"/>
              </w:rPr>
              <w:t>0.999</w:t>
            </w:r>
          </w:p>
        </w:tc>
        <w:tc>
          <w:tcPr>
            <w:tcW w:type="dxa" w:w="1958"/>
            <w:vAlign w:val="center"/>
          </w:tcPr>
          <w:p>
            <w:pPr>
              <w:jc w:val="center"/>
            </w:pPr>
            <w:r/>
            <w:r>
              <w:rPr>
                <w:b w:val="0"/>
                <w:sz w:val="16"/>
              </w:rPr>
              <w:t>1043</w:t>
            </w:r>
          </w:p>
        </w:tc>
      </w:tr>
      <w:tr>
        <w:tc>
          <w:tcPr>
            <w:tcW w:type="dxa" w:w="1958"/>
            <w:vAlign w:val="center"/>
          </w:tcPr>
          <w:p>
            <w:pPr>
              <w:jc w:val="center"/>
            </w:pPr>
            <w:r/>
            <w:r>
              <w:rPr>
                <w:b w:val="0"/>
                <w:sz w:val="16"/>
              </w:rPr>
              <w:t>arg_allele</w:t>
            </w:r>
          </w:p>
        </w:tc>
        <w:tc>
          <w:tcPr>
            <w:tcW w:type="dxa" w:w="1958"/>
            <w:vAlign w:val="center"/>
          </w:tcPr>
          <w:p>
            <w:pPr>
              <w:jc w:val="left"/>
            </w:pPr>
            <w:r/>
            <w:r>
              <w:rPr>
                <w:b w:val="0"/>
                <w:sz w:val="16"/>
              </w:rPr>
              <w:t>Canonical spaced seed</w:t>
            </w:r>
          </w:p>
        </w:tc>
        <w:tc>
          <w:tcPr>
            <w:tcW w:type="dxa" w:w="1958"/>
            <w:vAlign w:val="center"/>
          </w:tcPr>
          <w:p>
            <w:pPr>
              <w:jc w:val="center"/>
            </w:pPr>
            <w:r/>
            <w:r>
              <w:rPr>
                <w:b w:val="0"/>
                <w:sz w:val="16"/>
              </w:rPr>
              <w:t>0.999</w:t>
            </w:r>
          </w:p>
        </w:tc>
        <w:tc>
          <w:tcPr>
            <w:tcW w:type="dxa" w:w="1958"/>
            <w:vAlign w:val="center"/>
          </w:tcPr>
          <w:p>
            <w:pPr>
              <w:jc w:val="center"/>
            </w:pPr>
            <w:r/>
            <w:r>
              <w:rPr>
                <w:b w:val="0"/>
                <w:sz w:val="16"/>
              </w:rPr>
              <w:t>0.999</w:t>
            </w:r>
          </w:p>
        </w:tc>
        <w:tc>
          <w:tcPr>
            <w:tcW w:type="dxa" w:w="1958"/>
            <w:vAlign w:val="center"/>
          </w:tcPr>
          <w:p>
            <w:pPr>
              <w:jc w:val="center"/>
            </w:pPr>
            <w:r/>
            <w:r>
              <w:rPr>
                <w:b w:val="0"/>
                <w:sz w:val="16"/>
              </w:rPr>
              <w:t>106.875</w:t>
            </w:r>
          </w:p>
        </w:tc>
      </w:tr>
      <w:tr>
        <w:tc>
          <w:tcPr>
            <w:tcW w:type="dxa" w:w="1958"/>
            <w:vAlign w:val="center"/>
          </w:tcPr>
          <w:p>
            <w:pPr>
              <w:jc w:val="center"/>
            </w:pPr>
            <w:r/>
            <w:r>
              <w:rPr>
                <w:b w:val="0"/>
                <w:sz w:val="16"/>
              </w:rPr>
              <w:t>arg_family</w:t>
            </w:r>
          </w:p>
        </w:tc>
        <w:tc>
          <w:tcPr>
            <w:tcW w:type="dxa" w:w="1958"/>
            <w:vAlign w:val="center"/>
          </w:tcPr>
          <w:p>
            <w:pPr>
              <w:jc w:val="center"/>
            </w:pPr>
            <w:r/>
            <w:r>
              <w:rPr>
                <w:b w:val="0"/>
                <w:sz w:val="16"/>
              </w:rPr>
              <w:t>CSP</w:t>
            </w:r>
          </w:p>
        </w:tc>
        <w:tc>
          <w:tcPr>
            <w:tcW w:type="dxa" w:w="1958"/>
            <w:vAlign w:val="center"/>
          </w:tcPr>
          <w:p>
            <w:pPr>
              <w:jc w:val="center"/>
            </w:pPr>
            <w:r/>
            <w:r>
              <w:rPr>
                <w:b w:val="0"/>
                <w:sz w:val="16"/>
              </w:rPr>
              <w:t>1</w:t>
            </w:r>
          </w:p>
        </w:tc>
        <w:tc>
          <w:tcPr>
            <w:tcW w:type="dxa" w:w="1958"/>
            <w:vAlign w:val="center"/>
          </w:tcPr>
          <w:p>
            <w:pPr>
              <w:jc w:val="center"/>
            </w:pPr>
            <w:r/>
            <w:r>
              <w:rPr>
                <w:b w:val="0"/>
                <w:sz w:val="16"/>
              </w:rPr>
              <w:t>1</w:t>
            </w:r>
          </w:p>
        </w:tc>
        <w:tc>
          <w:tcPr>
            <w:tcW w:type="dxa" w:w="1958"/>
            <w:vAlign w:val="center"/>
          </w:tcPr>
          <w:p>
            <w:pPr>
              <w:jc w:val="center"/>
            </w:pPr>
            <w:r/>
            <w:r>
              <w:rPr>
                <w:b w:val="0"/>
                <w:sz w:val="16"/>
              </w:rPr>
              <w:t>131</w:t>
            </w:r>
          </w:p>
        </w:tc>
      </w:tr>
      <w:tr>
        <w:tc>
          <w:tcPr>
            <w:tcW w:type="dxa" w:w="1958"/>
            <w:vAlign w:val="center"/>
          </w:tcPr>
          <w:p>
            <w:pPr>
              <w:jc w:val="center"/>
            </w:pPr>
            <w:r/>
            <w:r>
              <w:rPr>
                <w:b w:val="0"/>
                <w:sz w:val="16"/>
              </w:rPr>
              <w:t>arg_family</w:t>
            </w:r>
          </w:p>
        </w:tc>
        <w:tc>
          <w:tcPr>
            <w:tcW w:type="dxa" w:w="1958"/>
            <w:vAlign w:val="center"/>
          </w:tcPr>
          <w:p>
            <w:pPr>
              <w:jc w:val="center"/>
            </w:pPr>
            <w:r/>
            <w:r>
              <w:rPr>
                <w:b w:val="0"/>
                <w:sz w:val="16"/>
              </w:rPr>
              <w:t>Canonical 5-mer</w:t>
            </w:r>
          </w:p>
        </w:tc>
        <w:tc>
          <w:tcPr>
            <w:tcW w:type="dxa" w:w="1958"/>
            <w:vAlign w:val="center"/>
          </w:tcPr>
          <w:p>
            <w:pPr>
              <w:jc w:val="center"/>
            </w:pPr>
            <w:r/>
            <w:r>
              <w:rPr>
                <w:b w:val="0"/>
                <w:sz w:val="16"/>
              </w:rPr>
              <w:t>1</w:t>
            </w:r>
          </w:p>
        </w:tc>
        <w:tc>
          <w:tcPr>
            <w:tcW w:type="dxa" w:w="1958"/>
            <w:vAlign w:val="center"/>
          </w:tcPr>
          <w:p>
            <w:pPr>
              <w:jc w:val="center"/>
            </w:pPr>
            <w:r/>
            <w:r>
              <w:rPr>
                <w:b w:val="0"/>
                <w:sz w:val="16"/>
              </w:rPr>
              <w:t>1</w:t>
            </w:r>
          </w:p>
        </w:tc>
        <w:tc>
          <w:tcPr>
            <w:tcW w:type="dxa" w:w="1958"/>
            <w:vAlign w:val="center"/>
          </w:tcPr>
          <w:p>
            <w:pPr>
              <w:jc w:val="center"/>
            </w:pPr>
            <w:r/>
            <w:r>
              <w:rPr>
                <w:b w:val="0"/>
                <w:sz w:val="16"/>
              </w:rPr>
              <w:t>346.292</w:t>
            </w:r>
          </w:p>
        </w:tc>
      </w:tr>
      <w:tr>
        <w:tc>
          <w:tcPr>
            <w:tcW w:type="dxa" w:w="1958"/>
            <w:vAlign w:val="center"/>
          </w:tcPr>
          <w:p>
            <w:pPr>
              <w:jc w:val="center"/>
            </w:pPr>
            <w:r/>
            <w:r>
              <w:rPr>
                <w:b w:val="0"/>
                <w:sz w:val="16"/>
              </w:rPr>
              <w:t>arg_family</w:t>
            </w:r>
          </w:p>
        </w:tc>
        <w:tc>
          <w:tcPr>
            <w:tcW w:type="dxa" w:w="1958"/>
            <w:vAlign w:val="center"/>
          </w:tcPr>
          <w:p>
            <w:pPr>
              <w:jc w:val="left"/>
            </w:pPr>
            <w:r/>
            <w:r>
              <w:rPr>
                <w:b w:val="0"/>
                <w:sz w:val="16"/>
              </w:rPr>
              <w:t>Canonical 5-mer + CSP</w:t>
            </w:r>
          </w:p>
        </w:tc>
        <w:tc>
          <w:tcPr>
            <w:tcW w:type="dxa" w:w="1958"/>
            <w:vAlign w:val="center"/>
          </w:tcPr>
          <w:p>
            <w:pPr>
              <w:jc w:val="center"/>
            </w:pPr>
            <w:r/>
            <w:r>
              <w:rPr>
                <w:b w:val="0"/>
                <w:sz w:val="16"/>
              </w:rPr>
              <w:t>1</w:t>
            </w:r>
          </w:p>
        </w:tc>
        <w:tc>
          <w:tcPr>
            <w:tcW w:type="dxa" w:w="1958"/>
            <w:vAlign w:val="center"/>
          </w:tcPr>
          <w:p>
            <w:pPr>
              <w:jc w:val="center"/>
            </w:pPr>
            <w:r/>
            <w:r>
              <w:rPr>
                <w:b w:val="0"/>
                <w:sz w:val="16"/>
              </w:rPr>
              <w:t>1</w:t>
            </w:r>
          </w:p>
        </w:tc>
        <w:tc>
          <w:tcPr>
            <w:tcW w:type="dxa" w:w="1958"/>
            <w:vAlign w:val="center"/>
          </w:tcPr>
          <w:p>
            <w:pPr>
              <w:jc w:val="center"/>
            </w:pPr>
            <w:r/>
            <w:r>
              <w:rPr>
                <w:b w:val="0"/>
                <w:sz w:val="16"/>
              </w:rPr>
              <w:t>477.292</w:t>
            </w:r>
          </w:p>
        </w:tc>
      </w:tr>
      <w:tr>
        <w:tc>
          <w:tcPr>
            <w:tcW w:type="dxa" w:w="1958"/>
            <w:vAlign w:val="center"/>
          </w:tcPr>
          <w:p>
            <w:pPr>
              <w:jc w:val="center"/>
            </w:pPr>
            <w:r/>
            <w:r>
              <w:rPr>
                <w:b w:val="0"/>
                <w:sz w:val="16"/>
              </w:rPr>
              <w:t>arg_family</w:t>
            </w:r>
          </w:p>
        </w:tc>
        <w:tc>
          <w:tcPr>
            <w:tcW w:type="dxa" w:w="1958"/>
            <w:vAlign w:val="center"/>
          </w:tcPr>
          <w:p>
            <w:pPr>
              <w:jc w:val="center"/>
            </w:pPr>
            <w:r/>
            <w:r>
              <w:rPr>
                <w:b w:val="0"/>
                <w:sz w:val="16"/>
              </w:rPr>
              <w:t>Canonical 7-mer</w:t>
            </w:r>
          </w:p>
        </w:tc>
        <w:tc>
          <w:tcPr>
            <w:tcW w:type="dxa" w:w="1958"/>
            <w:vAlign w:val="center"/>
          </w:tcPr>
          <w:p>
            <w:pPr>
              <w:jc w:val="center"/>
            </w:pPr>
            <w:r/>
            <w:r>
              <w:rPr>
                <w:b w:val="0"/>
                <w:sz w:val="16"/>
              </w:rPr>
              <w:t>1</w:t>
            </w:r>
          </w:p>
        </w:tc>
        <w:tc>
          <w:tcPr>
            <w:tcW w:type="dxa" w:w="1958"/>
            <w:vAlign w:val="center"/>
          </w:tcPr>
          <w:p>
            <w:pPr>
              <w:jc w:val="center"/>
            </w:pPr>
            <w:r/>
            <w:r>
              <w:rPr>
                <w:b w:val="0"/>
                <w:sz w:val="16"/>
              </w:rPr>
              <w:t>1</w:t>
            </w:r>
          </w:p>
        </w:tc>
        <w:tc>
          <w:tcPr>
            <w:tcW w:type="dxa" w:w="1958"/>
            <w:vAlign w:val="center"/>
          </w:tcPr>
          <w:p>
            <w:pPr>
              <w:jc w:val="center"/>
            </w:pPr>
            <w:r/>
            <w:r>
              <w:rPr>
                <w:b w:val="0"/>
                <w:sz w:val="16"/>
              </w:rPr>
              <w:t>1264.5</w:t>
            </w:r>
          </w:p>
        </w:tc>
      </w:tr>
      <w:tr>
        <w:tc>
          <w:tcPr>
            <w:tcW w:type="dxa" w:w="1958"/>
            <w:vAlign w:val="center"/>
          </w:tcPr>
          <w:p>
            <w:pPr>
              <w:jc w:val="center"/>
            </w:pPr>
            <w:r/>
            <w:r>
              <w:rPr>
                <w:b w:val="0"/>
                <w:sz w:val="16"/>
              </w:rPr>
              <w:t>arg_family</w:t>
            </w:r>
          </w:p>
        </w:tc>
        <w:tc>
          <w:tcPr>
            <w:tcW w:type="dxa" w:w="1958"/>
            <w:vAlign w:val="center"/>
          </w:tcPr>
          <w:p>
            <w:pPr>
              <w:jc w:val="left"/>
            </w:pPr>
            <w:r/>
            <w:r>
              <w:rPr>
                <w:b w:val="0"/>
                <w:sz w:val="16"/>
              </w:rPr>
              <w:t>Canonical 7-mer + CSP</w:t>
            </w:r>
          </w:p>
        </w:tc>
        <w:tc>
          <w:tcPr>
            <w:tcW w:type="dxa" w:w="1958"/>
            <w:vAlign w:val="center"/>
          </w:tcPr>
          <w:p>
            <w:pPr>
              <w:jc w:val="center"/>
            </w:pPr>
            <w:r/>
            <w:r>
              <w:rPr>
                <w:b w:val="0"/>
                <w:sz w:val="16"/>
              </w:rPr>
              <w:t>1</w:t>
            </w:r>
          </w:p>
        </w:tc>
        <w:tc>
          <w:tcPr>
            <w:tcW w:type="dxa" w:w="1958"/>
            <w:vAlign w:val="center"/>
          </w:tcPr>
          <w:p>
            <w:pPr>
              <w:jc w:val="center"/>
            </w:pPr>
            <w:r/>
            <w:r>
              <w:rPr>
                <w:b w:val="0"/>
                <w:sz w:val="16"/>
              </w:rPr>
              <w:t>1</w:t>
            </w:r>
          </w:p>
        </w:tc>
        <w:tc>
          <w:tcPr>
            <w:tcW w:type="dxa" w:w="1958"/>
            <w:vAlign w:val="center"/>
          </w:tcPr>
          <w:p>
            <w:pPr>
              <w:jc w:val="center"/>
            </w:pPr>
            <w:r/>
            <w:r>
              <w:rPr>
                <w:b w:val="0"/>
                <w:sz w:val="16"/>
              </w:rPr>
              <w:t>1395.5</w:t>
            </w:r>
          </w:p>
        </w:tc>
      </w:tr>
      <w:tr>
        <w:tc>
          <w:tcPr>
            <w:tcW w:type="dxa" w:w="1958"/>
            <w:vAlign w:val="center"/>
          </w:tcPr>
          <w:p>
            <w:pPr>
              <w:jc w:val="center"/>
            </w:pPr>
            <w:r/>
            <w:r>
              <w:rPr>
                <w:b w:val="0"/>
                <w:sz w:val="16"/>
              </w:rPr>
              <w:t>arg_family</w:t>
            </w:r>
          </w:p>
        </w:tc>
        <w:tc>
          <w:tcPr>
            <w:tcW w:type="dxa" w:w="1958"/>
            <w:vAlign w:val="center"/>
          </w:tcPr>
          <w:p>
            <w:pPr>
              <w:jc w:val="left"/>
            </w:pPr>
            <w:r/>
            <w:r>
              <w:rPr>
                <w:b w:val="0"/>
                <w:sz w:val="16"/>
              </w:rPr>
              <w:t>Canonical spaced seed</w:t>
            </w:r>
          </w:p>
        </w:tc>
        <w:tc>
          <w:tcPr>
            <w:tcW w:type="dxa" w:w="1958"/>
            <w:vAlign w:val="center"/>
          </w:tcPr>
          <w:p>
            <w:pPr>
              <w:jc w:val="center"/>
            </w:pPr>
            <w:r/>
            <w:r>
              <w:rPr>
                <w:b w:val="0"/>
                <w:sz w:val="16"/>
              </w:rPr>
              <w:t>1</w:t>
            </w:r>
          </w:p>
        </w:tc>
        <w:tc>
          <w:tcPr>
            <w:tcW w:type="dxa" w:w="1958"/>
            <w:vAlign w:val="center"/>
          </w:tcPr>
          <w:p>
            <w:pPr>
              <w:jc w:val="center"/>
            </w:pPr>
            <w:r/>
            <w:r>
              <w:rPr>
                <w:b w:val="0"/>
                <w:sz w:val="16"/>
              </w:rPr>
              <w:t>1</w:t>
            </w:r>
          </w:p>
        </w:tc>
        <w:tc>
          <w:tcPr>
            <w:tcW w:type="dxa" w:w="1958"/>
            <w:vAlign w:val="center"/>
          </w:tcPr>
          <w:p>
            <w:pPr>
              <w:jc w:val="center"/>
            </w:pPr>
            <w:r/>
            <w:r>
              <w:rPr>
                <w:b w:val="0"/>
                <w:sz w:val="16"/>
              </w:rPr>
              <w:t>120</w:t>
            </w:r>
          </w:p>
        </w:tc>
      </w:tr>
    </w:tbl>
    <w:p/>
    <w:p>
      <w:pPr>
        <w:jc w:val="center"/>
      </w:pPr>
      <w:r>
        <w:drawing>
          <wp:inline xmlns:a="http://schemas.openxmlformats.org/drawingml/2006/main" xmlns:pic="http://schemas.openxmlformats.org/drawingml/2006/picture">
            <wp:extent cx="5760720" cy="2012332"/>
            <wp:docPr id="8" name="Picture 8"/>
            <wp:cNvGraphicFramePr>
              <a:graphicFrameLocks noChangeAspect="1"/>
            </wp:cNvGraphicFramePr>
            <a:graphic>
              <a:graphicData uri="http://schemas.openxmlformats.org/drawingml/2006/picture">
                <pic:pic>
                  <pic:nvPicPr>
                    <pic:cNvPr id="0" name="stage2_fig_arg_snp_readout.png"/>
                    <pic:cNvPicPr/>
                  </pic:nvPicPr>
                  <pic:blipFill>
                    <a:blip r:embed="rId17"/>
                    <a:stretch>
                      <a:fillRect/>
                    </a:stretch>
                  </pic:blipFill>
                  <pic:spPr>
                    <a:xfrm>
                      <a:off x="0" y="0"/>
                      <a:ext cx="5760720" cy="2012332"/>
                    </a:xfrm>
                    <a:prstGeom prst="rect"/>
                  </pic:spPr>
                </pic:pic>
              </a:graphicData>
            </a:graphic>
          </wp:inline>
        </w:drawing>
      </w:r>
    </w:p>
    <w:p>
      <w:pPr>
        <w:jc w:val="center"/>
      </w:pPr>
      <w:r>
        <w:rPr>
          <w:i/>
          <w:sz w:val="18"/>
        </w:rPr>
        <w:t>Figure 8. ARG/SNP boundary readout probes.</w:t>
      </w:r>
    </w:p>
    <w:p>
      <w:pPr>
        <w:pStyle w:val="Heading1"/>
      </w:pPr>
      <w:r>
        <w:t>Discussion</w:t>
      </w:r>
    </w:p>
    <w:p>
      <w:r>
        <w:t>The main result is a division of labor among representations. Canonical k-mers are still the most defensible backbone for exact identity evidence, especially when the task is close species, strain, allele or SNP resolution. CSP contributes a different property: it keeps perturbed short reads close to their clean counterparts in a compact and interpretable space. In practical terms, this means CSP is better framed as an auxiliary robustness block, a QC/audit feature or a dense side channel for downstream models, not as a replacement for canonical k-mer indices.</w:t>
      </w:r>
    </w:p>
    <w:p>
      <w:r>
        <w:t>This distinction also resolves the apparent conflict around accuracy. Accuracy and macro-F1 are useful only as readout probes in this paper. They ask whether a simple model can extract a signal from the representation. They do not estimate clinical sensitivity, specificity or diagnostic accuracy. Overemphasizing accuracy would be misleading because the panel is intentionally controlled and small. Underemphasizing all readout probes would also be incomplete because a representation that preserves information but cannot be read by any downstream model would have limited practical value.</w:t>
      </w:r>
    </w:p>
    <w:p>
      <w:r>
        <w:t>The most realistic future route is hybrid evidence. For mNGS species identification, canonical k-mers, alignment or database indices should provide high-resolution taxonomic evidence, whereas CSP can track whether short, N-masked or locally mismatched reads remain compositionally and biochemically near the expected clean signal. For ARG work, CSP may help characterize degraded or ambiguous reads and expose interpretable shifts, but allele calling, resistance SNP interpretation, gene context and plasmid linkage require exact sequence, protein-domain or curated database evidence.</w:t>
      </w:r>
    </w:p>
    <w:p>
      <w:r>
        <w:t>Several conclusions remain deliberately unproven. The neural probe was intentionally small and local; it does not establish CNN or Transformer superiority on realistic clinical mNGS data. We did not benchmark Kraken2, Centrifuge, Kaiju or alignment pipelines on the same noisy FASTQ inputs. We did not use real CARD, ResFinder or AMRFinderPlus marker panels for ARG calling. These are appropriate server-stage experiments. The local experiments establish the representation-level evidence needed to justify those larger tests.</w:t>
      </w:r>
    </w:p>
    <w:p>
      <w:pPr>
        <w:pStyle w:val="Heading1"/>
      </w:pPr>
      <w:r>
        <w:t>Limitations</w:t>
      </w:r>
    </w:p>
    <w:p>
      <w:r>
        <w:t>The WGS panel contained 21 genomes from six genera and was not designed to represent microbial diversity, hospital background mixtures, abundance variation, host depletion, real quality-score distributions or wet-lab contamination. The perturbations model substitutions, N masking, trimming, short indels and local mismatches, but not full sequencer error profiles or library preparation artifacts. The readout models were intentionally small and deterministic. The ARG/SNP tasks were synthetic boundary probes. Therefore, CSP-alone species identification, ARG allele calling, resistance SNP classification, mobile-element context and plasmid linkage should not be claimed from these data.</w:t>
      </w:r>
    </w:p>
    <w:p>
      <w:pPr>
        <w:pStyle w:val="Heading1"/>
      </w:pPr>
      <w:r>
        <w:t>Code and Data Availability</w:t>
      </w:r>
    </w:p>
    <w:p>
      <w:r>
        <w:t>All code, generated lightweight reads, result tables, figures and manuscript builders are maintained in the project repository (https://github.com/FairYJmrx/ultrashort-dna-representation-diagnostics; release tag v0.2-stage2-mei-submission; exact commit hash to be reported from the public archive or cover letter at submission). Random seeds are fixed in the stage-2 scripts, and the earlier manuscript/results snapshot was preserved as an internal project archive before the stage-2 rerun. The submitted code package includes executable scripts, configuration files, generated summary tables, figures, manuscript builders and the 21-genome close-relative WGS-slice manifest; bulky downloaded reference FASTA files are intentionally excluded and can be regenerated from the manifest and preparation scripts. If journal policy requires public access, the private repository should be made public or archived with a DOI after double-blind constraints are resolved.</w:t>
      </w:r>
    </w:p>
    <w:p>
      <w:pPr>
        <w:pStyle w:val="Heading1"/>
      </w:pPr>
      <w:r>
        <w:t>Conclusions</w:t>
      </w:r>
    </w:p>
    <w:p>
      <w:r>
        <w:t>No single DNA representation dominated all short-read mNGS-like settings. Canonical k-mers remained the strongest general-purpose identity evidence. CSP provided a compact, strand-friendly and perturbation-stable auxiliary representation, with its strongest evidence in 69/75 bp N masking, local mismatch and combined perturbation settings. The paper's actionable message is therefore architectural rather than competitive: short-read pipelines should layer exact identity evidence with auxiliary stability evidence, and should evaluate read length through explicit context-visibility diagnostics when attention-like models are considered.</w:t>
      </w:r>
    </w:p>
    <w:p>
      <w:pPr>
        <w:pStyle w:val="Heading1"/>
      </w:pPr>
      <w:r>
        <w:t>References</w:t>
      </w:r>
    </w:p>
    <w:p>
      <w:pPr>
        <w:ind w:left="216" w:hanging="216"/>
      </w:pPr>
      <w:r>
        <w:t>1. Wilson, Michael R.; Naccache, Samia N.; Samayoa, Erika; Biagtan, Mark; Bashir, Ali; Yu, Guixia; Salamat, S. M.; Somasekar, Sneha; et al. (2014). Actionable Diagnosis of Neuroleptospirosis by Next-Generation Sequencing. New England Journal of Medicine. 370. 2408--2417. https://doi.org/10.1056/NEJMoa1401268</w:t>
      </w:r>
    </w:p>
    <w:p>
      <w:pPr>
        <w:ind w:left="216" w:hanging="216"/>
      </w:pPr>
      <w:r>
        <w:t>2. Wilson, Michael R.; Sample, Heather A.; Zorn, Kaitlyn C.; Arevalo, Samuel; Yu, Guixia; Neuhaus, John; Federman, Scot; Stryke, Deborah; et al. (2019). Clinical Metagenomic Sequencing for Diagnosis of Meningitis and Encephalitis. New England Journal of Medicine. 380. 2327--2340. https://doi.org/10.1056/NEJMoa1803396</w:t>
      </w:r>
    </w:p>
    <w:p>
      <w:pPr>
        <w:ind w:left="216" w:hanging="216"/>
      </w:pPr>
      <w:r>
        <w:t>3. Chiu, Charles Y.; Miller, Steven A. (2019). Clinical Metagenomics. Nature Reviews Genetics. 20. 341--355. https://doi.org/10.1038/s41576-019-0113-7</w:t>
      </w:r>
    </w:p>
    <w:p>
      <w:pPr>
        <w:ind w:left="216" w:hanging="216"/>
      </w:pPr>
      <w:r>
        <w:t>4. Martin, Marcel (2011). Cutadapt Removes Adapter Sequences from High-throughput Sequencing Reads. EMBnet.journal. 17. 10--12. https://doi.org/10.14806/ej.17.1.200</w:t>
      </w:r>
    </w:p>
    <w:p>
      <w:pPr>
        <w:ind w:left="216" w:hanging="216"/>
      </w:pPr>
      <w:r>
        <w:t>5. Bolger, Anthony M.; Lohse, Marc; Usadel, Bjoern (2014). Trimmomatic: A Flexible Trimmer for Illumina Sequence Data. Bioinformatics. 30. 2114--2120. https://doi.org/10.1093/bioinformatics/btu170</w:t>
      </w:r>
    </w:p>
    <w:p>
      <w:pPr>
        <w:ind w:left="216" w:hanging="216"/>
      </w:pPr>
      <w:r>
        <w:t>6. Salter, Susannah J.; Cox, Michael J.; Turek, Elina M.; Calus, Szymon T.; Cookson, William O.; Moffatt, Miriam F.; Turner, Paul; Parkhill, Julian; et al. (2014). Reagent and Laboratory Contamination Can Critically Impact Sequence-based Microbiome Analyses. BMC Biology. 12. 87. https://doi.org/10.1186/s12915-014-0087-z</w:t>
      </w:r>
    </w:p>
    <w:p>
      <w:pPr>
        <w:ind w:left="216" w:hanging="216"/>
      </w:pPr>
      <w:r>
        <w:t>7. Wood, Derrick E.; Salzberg, Steven L. (2014). Kraken: Ultrafast Metagenomic Sequence Classification Using Exact Alignments. Genome Biology. 15. R46. https://doi.org/10.1186/gb-2014-15-3-r46</w:t>
      </w:r>
    </w:p>
    <w:p>
      <w:pPr>
        <w:ind w:left="216" w:hanging="216"/>
      </w:pPr>
      <w:r>
        <w:t>8. Wood, Derrick E.; Lu, Jennifer; Langmead, Ben (2019). Improved Metagenomic Analysis with Kraken 2. Genome Biology. 20. 257. https://doi.org/10.1186/s13059-019-1891-0</w:t>
      </w:r>
    </w:p>
    <w:p>
      <w:pPr>
        <w:ind w:left="216" w:hanging="216"/>
      </w:pPr>
      <w:r>
        <w:t>9. Ounit, Rachid; Wanamaker, Steve; Close, Timothy J.; Lonardi, Stefano (2015). CLARK: Fast and Accurate Classification of Metagenomic and Genomic Sequences Using Discriminative k-mers. BMC Genomics. 16. 236. https://doi.org/10.1186/s12864-015-1419-2</w:t>
      </w:r>
    </w:p>
    <w:p>
      <w:pPr>
        <w:ind w:left="216" w:hanging="216"/>
      </w:pPr>
      <w:r>
        <w:t>10. Kim, Daehwan; Song, Li; Breitwieser, Florian P.; Salzberg, Steven L. (2016). Centrifuge: Rapid and Sensitive Classification of Metagenomic Sequences. Genome Research. 26. 1721--1729. https://doi.org/10.1101/gr.210641.116</w:t>
      </w:r>
    </w:p>
    <w:p>
      <w:pPr>
        <w:ind w:left="216" w:hanging="216"/>
      </w:pPr>
      <w:r>
        <w:t>11. Menzel, Peter; Ng, Kim Lee; Krogh, Anders (2016). Fast and Sensitive Taxonomic Classification for Metagenomics with Kaiju. Nature Communications. 7. 11257. https://doi.org/10.1038/ncomms11257</w:t>
      </w:r>
    </w:p>
    <w:p>
      <w:pPr>
        <w:ind w:left="216" w:hanging="216"/>
      </w:pPr>
      <w:r>
        <w:t>12. Sczyrba, Alexander; Hofmann, Peter; Belmann, Peter; Koslicki, David; Janssen, Stefan; Droege, Johannes; Gregor, Ivan; Majda, Stephan; et al. (2017). Critical Assessment of Metagenome Interpretation - a Benchmark of Metagenomics Software. Nature Methods. 14. 1063--1071. https://doi.org/10.1038/nmeth.4458</w:t>
      </w:r>
    </w:p>
    <w:p>
      <w:pPr>
        <w:ind w:left="216" w:hanging="216"/>
      </w:pPr>
      <w:r>
        <w:t>13. Meyer, Fernando; Fritz, Adrian; Deng, Zhi-Luo; Koslicki, David; Gurevich, Alexey; Robertson, Gary; Alser, Mohammed; Antipov, Dmitry; et al. (2022). Critical Assessment of Metagenome Interpretation: the Second Round of Challenges. Nature Methods. 19. 429--440. https://doi.org/10.1038/s41592-022-01431-4</w:t>
      </w:r>
    </w:p>
    <w:p>
      <w:pPr>
        <w:ind w:left="216" w:hanging="216"/>
      </w:pPr>
      <w:r>
        <w:t>14. Alipanahi, Babak; Delong, Andrew; Weirauch, Matthew T.; Frey, Brendan J. (2015). Predicting the Sequence Specificities of DNA- and RNA-binding Proteins by Deep Learning. Nature Biotechnology. 33. 831--838. https://doi.org/10.1038/nbt.3300</w:t>
      </w:r>
    </w:p>
    <w:p>
      <w:pPr>
        <w:ind w:left="216" w:hanging="216"/>
      </w:pPr>
      <w:r>
        <w:t>15. Zhou, Jian; Troyanskaya, Olga G. (2015). Predicting Effects of Noncoding Variants with Deep Learning-based Sequence Model. Nature Methods. 12. 931--934. https://doi.org/10.1038/nmeth.3547</w:t>
      </w:r>
    </w:p>
    <w:p>
      <w:pPr>
        <w:ind w:left="216" w:hanging="216"/>
      </w:pPr>
      <w:r>
        <w:t>16. Quang, Daniel; Xie, Xiaohui (2016). DanQ: A Hybrid Convolutional and Recurrent Deep Neural Network for Quantifying the Function of DNA Sequences. Nucleic Acids Research. 44. e107. https://doi.org/10.1093/nar/gkw226</w:t>
      </w:r>
    </w:p>
    <w:p>
      <w:pPr>
        <w:ind w:left="216" w:hanging="216"/>
      </w:pPr>
      <w:r>
        <w:t>17. Liang, Qiaoxing; Bible, Paul W.; Liu, Youping; Zou, Bin; Wei, Li (2020). DeepMicrobes: Taxonomic Classification for Metagenomics with Deep Learning. NAR Genomics and Bioinformatics. 2. lqaa009. https://doi.org/10.1093/nargab/lqaa009</w:t>
      </w:r>
    </w:p>
    <w:p>
      <w:pPr>
        <w:ind w:left="216" w:hanging="216"/>
      </w:pPr>
      <w:r>
        <w:t>18. Wichmann, Felix; Zamudio, Jose R.; Eils, Roland; Schlesner, Matthias (2023). MetaTransformer: Deep Metagenomic Sequencing Read Classification Using Self-attention Models. NAR Genomics and Bioinformatics. 5. lqad082. https://doi.org/10.1093/nargab/lqad082</w:t>
      </w:r>
    </w:p>
    <w:p>
      <w:pPr>
        <w:ind w:left="216" w:hanging="216"/>
      </w:pPr>
      <w:r>
        <w:t>19. Ji, Yanrong; Zhou, Zhihan; Liu, Han; Davuluri, Ramana V. (2021). DNABERT: Pre-trained Bidirectional Encoder Representations from Transformers Model for DNA-language in Genome. Bioinformatics. 37. 2112--2120. https://doi.org/10.1093/bioinformatics/btab083</w:t>
      </w:r>
    </w:p>
    <w:p>
      <w:pPr>
        <w:ind w:left="216" w:hanging="216"/>
      </w:pPr>
      <w:r>
        <w:t>20. Zhou, Zhihan; Ji, Yanrong; Li, Weijian; Dutta, Pratik; Davuluri, Ramana V.; Liu, Han (2024). DNABERT-2: Efficient Foundation Model and Benchmark for Multi-Species Genome. https://doi.org/10.48550/arXiv.2306.15006</w:t>
      </w:r>
    </w:p>
    <w:p>
      <w:pPr>
        <w:ind w:left="216" w:hanging="216"/>
      </w:pPr>
      <w:r>
        <w:t>21. Dalla-Torre, Hugo; Gonzalez, Liam; Mendoza-Revilla, Javier; Carranza, Nicolas Lopez; Grzywaczewski, Adam H.; Oteri, Francesco; Dallago, Christian; Trop, Evan; et al. (2025). Nucleotide Transformer: Building and Evaluating Robust Foundation Models for Human Genomics. Nature Methods. 22. 287--297. https://doi.org/10.1038/s41592-024-02523-z</w:t>
      </w:r>
    </w:p>
    <w:p>
      <w:pPr>
        <w:ind w:left="216" w:hanging="216"/>
      </w:pPr>
      <w:r>
        <w:t>22. Nguyen, Eric; Poli, Michael; Faizi, Marjan; Thomas, Armin W.; Birch-Sykes, Camden; Wornow, Michael; Patel, Aman; Rabideau, Charles; et al. (2023). HyenaDNA: Long-Range Genomic Sequence Modeling at Single Nucleotide Resolution. arXiv:2306.15794</w:t>
      </w:r>
    </w:p>
    <w:p>
      <w:pPr>
        <w:ind w:left="216" w:hanging="216"/>
      </w:pPr>
      <w:r>
        <w:t>23. Schiff, Yair; Kao, Chia-Hsiang; Gokaslan, Aaron; Dao, Tri; Gu, Albert; Kuleshov, Volodymyr (2024). Caduceus: Bi-Directional Equivariant Long-Range DNA Sequence Modeling. https://doi.org/10.48550/arXiv.2403.03234</w:t>
      </w:r>
    </w:p>
    <w:p>
      <w:pPr>
        <w:ind w:left="216" w:hanging="216"/>
      </w:pPr>
      <w:r>
        <w:t>24. Fishman, Veniamin; Kuratov, Yuri; Shmelev, Aleksei; Petrov, Maxim; Penzar, Dmitry; Shepelin, Denis; Chekanov, Nikolay; Kardymon, Olga; et al. (2025). GENA-LM: A Family of Open-source Foundational DNA Language Models for Long Sequences. Nucleic Acids Research. 53. gkae1310. https://doi.org/10.1093/nar/gkae1310</w:t>
      </w:r>
    </w:p>
    <w:p>
      <w:pPr>
        <w:ind w:left="216" w:hanging="216"/>
      </w:pPr>
      <w:r>
        <w:t>25. Nguyen, Eric; Poli, Michael; Durrant, Matthew G.; Kang, Brian; Katrekar, Dhruva; Li, David B.; Bartie, Liam J.; Thomas, Armin W.; et al. (2024). Sequence Modeling and Design from Molecular to Genome Scale with Evo. Science. 386. eado9336. https://doi.org/10.1126/science.ado9336</w:t>
      </w:r>
    </w:p>
    <w:p>
      <w:pPr>
        <w:ind w:left="216" w:hanging="216"/>
      </w:pPr>
      <w:r>
        <w:t>26. Marcais, Guillaume; Kingsford, Carl (2011). A Fast, Lock-Free Approach for Efficient Parallel Counting of Occurrences of k-mers. Bioinformatics. 27. 764--770. https://doi.org/10.1093/bioinformatics/btr011</w:t>
      </w:r>
    </w:p>
    <w:p>
      <w:pPr>
        <w:ind w:left="216" w:hanging="216"/>
      </w:pPr>
      <w:r>
        <w:t>27. Ondov, Brian D.; Treangen, Todd J.; Melsted, Pall; Mallonee, Adam B.; Bergman, Nicholas H.; Koren, Sergey; Phillippy, Adam M. (2016). Mash: Fast Genome and Metagenome Distance Estimation Using MinHash. Genome Biology. 17. 132. https://doi.org/10.1186/s13059-016-0997-x</w:t>
      </w:r>
    </w:p>
    <w:p>
      <w:pPr>
        <w:ind w:left="216" w:hanging="216"/>
      </w:pPr>
      <w:r>
        <w:t>28. Zielezinski, Andrzej; Vinga, Susana; Almeida, Jonas; Karlowski, Wojciech M. (2017). Alignment-free Sequence Comparison: Benefits, Applications, and Tools. Genome Biology. 18. 186. https://doi.org/10.1186/s13059-017-1319-7</w:t>
      </w:r>
    </w:p>
    <w:p>
      <w:pPr>
        <w:ind w:left="216" w:hanging="216"/>
      </w:pPr>
      <w:r>
        <w:t>29. Ma, Bin; Tromp, John; Li, Ming (2002). PatternHunter: Faster and More Sensitive Homology Search. Bioinformatics. 18. 440--445. https://doi.org/10.1093/bioinformatics/18.3.440</w:t>
      </w:r>
    </w:p>
    <w:p>
      <w:pPr>
        <w:ind w:left="216" w:hanging="216"/>
      </w:pPr>
      <w:r>
        <w:t>30. Brinda, Karel; Sykulski, Michal; Kucherov, Gregory (2015). Spaced Seeds Improve k-mer-based Metagenomic Classification. Bioinformatics. 31. 3584--3592. https://doi.org/10.1093/bioinformatics/btv419</w:t>
      </w:r>
    </w:p>
    <w:p>
      <w:pPr>
        <w:ind w:left="216" w:hanging="216"/>
      </w:pPr>
      <w:r>
        <w:t>31. Shannon, Claude E. (1948). A Mathematical Theory of Communication. Bell System Technical Journal. 27. 379--423, 623--656. https://doi.org/10.1002/j.1538-7305.1948.tb01338.x</w:t>
      </w:r>
    </w:p>
    <w:p>
      <w:pPr>
        <w:ind w:left="216" w:hanging="216"/>
      </w:pPr>
      <w:r>
        <w:t>32. Jeffrey, H. Joel (1990). Chaos Game Representation of Gene Structure. Nucleic Acids Research. 18. 2163--2170. https://doi.org/10.1093/nar/18.8.2163</w:t>
      </w:r>
    </w:p>
    <w:p>
      <w:pPr>
        <w:ind w:left="216" w:hanging="216"/>
      </w:pPr>
      <w:r>
        <w:t>33. Voss, Richard F. (1992). Evolution of Long-range Fractal Correlations and 1/f Noise in DNA Base Sequences. Physical Review Letters. 68. 3805--3808. https://doi.org/10.1103/PhysRevLett.68.3805</w:t>
      </w:r>
    </w:p>
    <w:p>
      <w:pPr>
        <w:ind w:left="216" w:hanging="216"/>
      </w:pPr>
      <w:r>
        <w:t>34. Anastassiou, Dimitris (2001). Genomic Signal Processing. IEEE Signal Processing Magazine. 18. 8--20. https://doi.org/10.1109/79.939833</w:t>
      </w:r>
    </w:p>
    <w:p>
      <w:pPr>
        <w:ind w:left="216" w:hanging="216"/>
      </w:pPr>
      <w:r>
        <w:t>35. Cristea, Paul D. (2002). Conversion of Nucleotides Sequences into Genomic Signals. Journal of Cellular and Molecular Medicine. 6. 279--303. https://doi.org/10.1111/j.1582-4934.2002.tb00196.x</w:t>
      </w:r>
    </w:p>
    <w:p>
      <w:pPr>
        <w:ind w:left="216" w:hanging="216"/>
      </w:pPr>
      <w:r>
        <w:t>36. Nair, Achuthsankar S.; Sreenadhan, Sivarama Pillai (2006). A Coding Measure Scheme Employing Electron-Ion Interaction Pseudopotential. Bioinformation. 1. 197--202.</w:t>
      </w:r>
    </w:p>
    <w:p>
      <w:pPr>
        <w:ind w:left="216" w:hanging="216"/>
      </w:pPr>
      <w:r>
        <w:t>37. Ng, Patrick (2017). dna2vec: Consistent Vector Representations of Variable-length k-mers. arXiv:1701.06279</w:t>
      </w:r>
    </w:p>
    <w:p>
      <w:pPr>
        <w:ind w:left="216" w:hanging="216"/>
      </w:pPr>
      <w:r>
        <w:t>38. Vaswani, Ashish; Shazeer, Noam; Parmar, Niki; Uszkoreit, Jakob; Jones, Llion; Gomez, Aidan N.; Kaiser, Lukasz; Polosukhin, Illia (2017). Attention Is All You Need. Advances in Neural Information Processing Systems. 30. arXiv:1706.03762</w:t>
      </w:r>
    </w:p>
    <w:p>
      <w:pPr>
        <w:ind w:left="216" w:hanging="216"/>
      </w:pPr>
      <w:r>
        <w:t>39. Su, Jianlin; Lu, Yu; Pan, Shengfeng; Wen, Bo; Liu, Yunfeng (2021). RoFormer: Enhanced Transformer with Rotary Position Embedding. arXiv:2104.09864</w:t>
      </w:r>
    </w:p>
    <w:p>
      <w:pPr>
        <w:ind w:left="216" w:hanging="216"/>
      </w:pPr>
      <w:r>
        <w:t>40. Alcock, Brian P.; Huynh, William; Chalil, Romeo; Smith, Keaton W.; Raphenya, Amogelang R.; Wlodarski, Mateusz A.; McArthur, Andrew G. (2023). CARD 2023: Expanded Curation, Support for Machine Learning, and Resistome Prediction at the Comprehensive Antibiotic Resistance Database. Nucleic Acids Research. 51. D690--D699. https://doi.org/10.1093/nar/gkac920</w:t>
      </w:r>
    </w:p>
    <w:p>
      <w:pPr>
        <w:ind w:left="216" w:hanging="216"/>
      </w:pPr>
      <w:r>
        <w:t>41. Feldgarden, Michael; Brover, Vyacheslav; Gonzalez-Escalona, Narjol; Frye, Jonathan G.; Haendiges, Julie; Haft, Daniel H.; Hoffmann, Maria; Pettengill, James B.; et al. (2021). AMRFinderPlus and the Reference Gene Catalog Facilitate Examination of the Genomic Links among Antimicrobial Resistance, Stress Response, and Virulence. Scientific Reports. 11. 12728. https://doi.org/10.1038/s41598-021-91456-0</w:t>
      </w:r>
    </w:p>
    <w:p>
      <w:pPr>
        <w:ind w:left="216" w:hanging="216"/>
      </w:pPr>
      <w:r>
        <w:t>42. Bortolaia, Valeria; Kaas, Rolf S.; Ruppe, Etienne; Roberts, Marilyn C.; Schwarz, Stefan; Cattoir, Vincent; Philippon, Arnaud; Allesoe, Rosa Lundbye; et al. (2020). ResFinder 4.0 for Predictions of Phenotypes from Genotypes. Journal of Antimicrobial Chemotherapy. 75. 3491--3500. https://doi.org/10.1093/jac/dkaa345</w:t>
      </w:r>
    </w:p>
    <w:p>
      <w:pPr>
        <w:ind w:left="216" w:hanging="216"/>
      </w:pPr>
      <w:r>
        <w:t>43. Bonin, Nathalie; Doster, Enrique; Worley, Hannah; Pinnell, Lee J.; Bravo, Jonathan E.; Ferm, Peter; Marini, Simone; Prosperi, Mattia; et al. (2023). MEGARes and AMR++, v3.0: An Updated Comprehensive Database of Antimicrobial Resistance Determinants and an Improved Software Pipeline for Classification Using High-throughput Sequencing. Nucleic Acids Research. 51. D744--D752. https://doi.org/10.1093/nar/gkac1047</w:t>
      </w:r>
    </w:p>
    <w:p>
      <w:pPr>
        <w:ind w:left="216" w:hanging="216"/>
      </w:pPr>
      <w:r>
        <w:t>44. Arango-Argoty, Gustavo; Garner, Elizabeth; Pruden, Amy; Heath, Lenwood S.; Vikesland, Peter; Zhang, Liqing (2018). DeepARG: A Deep Learning Approach for Predicting Antibiotic Resistance Genes from Metagenomic Data. Microbiome. 6. 23. https://doi.org/10.1186/s40168-018-0401-z</w:t>
      </w:r>
    </w:p>
    <w:p>
      <w:pPr>
        <w:sectPr>
          <w:footerReference w:type="default" r:id="rId9"/>
          <w:pgSz w:w="12240" w:h="15840"/>
          <w:pgMar w:top="1224" w:right="1224" w:bottom="1152" w:left="1224" w:header="720" w:footer="720" w:gutter="0"/>
          <w:cols w:space="720"/>
          <w:docGrid w:linePitch="360"/>
        </w:sectPr>
      </w:pPr>
    </w:p>
    <w:sectPr w:rsidR="00FC693F" w:rsidRPr="0006063C" w:rsidSect="00034616">
      <w:type w:val="continuous"/>
      <w:pgSz w:w="12240" w:h="15840"/>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