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20" w:lineRule="auto"/>
      </w:pPr>
      <w:r>
        <w:rPr>
          <w:rFonts w:ascii="Microsoft YaHei" w:hAnsi="Microsoft YaHei" w:eastAsia="Microsoft YaHei" w:cs="Microsoft YaHei"/>
          <w:b/>
          <w:color w:val="0B2545"/>
          <w:sz w:val="36"/>
        </w:rPr>
        <w:t>超短 mNGS 读段 DNA 表征研究：启发式脉络与阶段性结论</w:t>
      </w:r>
    </w:p>
    <w:p>
      <w:pPr>
        <w:spacing w:before="0" w:after="80" w:line="300" w:lineRule="auto"/>
      </w:pPr>
      <w:r>
        <w:rPr>
          <w:rFonts w:ascii="Microsoft YaHei" w:hAnsi="Microsoft YaHei" w:eastAsia="Microsoft YaHei" w:cs="Microsoft YaHei"/>
          <w:b w:val="0"/>
          <w:sz w:val="22"/>
        </w:rPr>
        <w:t>生成日期：2026-06-20 项目目录：</w:t>
      </w:r>
      <w:r>
        <w:rPr>
          <w:rFonts w:ascii="Consolas" w:hAnsi="Consolas" w:eastAsia="Consolas" w:cs="Consolas"/>
          <w:color w:val="505050"/>
          <w:sz w:val="22"/>
        </w:rPr>
        <w:t>D:/AI-NGS/信息学</w:t>
      </w:r>
      <w:r>
        <w:rPr>
          <w:rFonts w:ascii="Microsoft YaHei" w:hAnsi="Microsoft YaHei" w:eastAsia="Microsoft YaHei" w:cs="Microsoft YaHei"/>
          <w:b w:val="0"/>
          <w:sz w:val="22"/>
        </w:rPr>
        <w:t xml:space="preserve"> 代码仓库：</w:t>
      </w:r>
      <w:r>
        <w:rPr>
          <w:rFonts w:ascii="Consolas" w:hAnsi="Consolas" w:eastAsia="Consolas" w:cs="Consolas"/>
          <w:color w:val="505050"/>
          <w:sz w:val="22"/>
        </w:rPr>
        <w:t>https://github.com/FairYJmrx/ultrashort-dna-representation-diagnostics</w:t>
      </w:r>
      <w:r>
        <w:rPr>
          <w:rFonts w:ascii="Microsoft YaHei" w:hAnsi="Microsoft YaHei" w:eastAsia="Microsoft YaHei" w:cs="Microsoft YaHei"/>
          <w:b w:val="0"/>
          <w:sz w:val="22"/>
        </w:rPr>
        <w:t xml:space="preserve"> 当前建议归档标签：</w:t>
      </w:r>
      <w:r>
        <w:rPr>
          <w:rFonts w:ascii="Consolas" w:hAnsi="Consolas" w:eastAsia="Consolas" w:cs="Consolas"/>
          <w:color w:val="505050"/>
          <w:sz w:val="22"/>
        </w:rPr>
        <w:t>v0.2.1-stage2-mei-submission</w:t>
      </w:r>
    </w:p>
    <w:p>
      <w:pPr>
        <w:pStyle w:val="Heading1"/>
      </w:pPr>
      <w:r>
        <w:rPr>
          <w:rFonts w:ascii="Microsoft YaHei" w:hAnsi="Microsoft YaHei" w:eastAsia="Microsoft YaHei" w:cs="Microsoft YaHei"/>
          <w:b/>
          <w:sz w:val="32"/>
        </w:rPr>
        <w:t>0. 给老师汇报时的核心一句话</w:t>
      </w:r>
    </w:p>
    <w:p>
      <w:pPr>
        <w:spacing w:before="0" w:after="80" w:line="300" w:lineRule="auto"/>
      </w:pPr>
      <w:r>
        <w:rPr>
          <w:rFonts w:ascii="Microsoft YaHei" w:hAnsi="Microsoft YaHei" w:eastAsia="Microsoft YaHei" w:cs="Microsoft YaHei"/>
          <w:b w:val="0"/>
          <w:sz w:val="22"/>
        </w:rPr>
        <w:t>本项目研究的不是“再做一个物种分类器”，而是先回到 mNGS 算法的输入层，讨论超短 DNA reads 在不同表征方式下到底保留了哪些信息。我们的阶段性结论是：canonical k-mer 更适合作为精确身份信息，CSP 更适合作为低维、链方向友好、扰动稳定、可解释的辅助表征；在 69/75 bp 这类短读长、N 碱基、替换、截断、局部错配等场景中，二者应被看作分层互补，而不是互相替代。</w:t>
      </w:r>
    </w:p>
    <w:p>
      <w:pPr>
        <w:pStyle w:val="Heading1"/>
      </w:pPr>
      <w:r>
        <w:rPr>
          <w:rFonts w:ascii="Microsoft YaHei" w:hAnsi="Microsoft YaHei" w:eastAsia="Microsoft YaHei" w:cs="Microsoft YaHei"/>
          <w:b/>
          <w:sz w:val="32"/>
        </w:rPr>
        <w:t>1. 这个问题最初从哪里来</w:t>
      </w:r>
    </w:p>
    <w:p>
      <w:pPr>
        <w:spacing w:before="0" w:after="80" w:line="300" w:lineRule="auto"/>
      </w:pPr>
      <w:r>
        <w:rPr>
          <w:rFonts w:ascii="Microsoft YaHei" w:hAnsi="Microsoft YaHei" w:eastAsia="Microsoft YaHei" w:cs="Microsoft YaHei"/>
          <w:b w:val="0"/>
          <w:sz w:val="22"/>
        </w:rPr>
        <w:t>我们最初关心的是一个很朴素的问题：如果临床 mNGS 的 reads 本身很短，例如 75 bp 单端，质控后可能只有约 69 bp，那么把 DNA 序列交给后续模型或数据库之前，不同“表示方式”会不会已经决定了后续任务的上限。</w:t>
      </w:r>
    </w:p>
    <w:p>
      <w:pPr>
        <w:spacing w:before="0" w:after="80" w:line="300" w:lineRule="auto"/>
      </w:pPr>
      <w:r>
        <w:rPr>
          <w:rFonts w:ascii="Microsoft YaHei" w:hAnsi="Microsoft YaHei" w:eastAsia="Microsoft YaHei" w:cs="Microsoft YaHei"/>
          <w:b w:val="0"/>
          <w:sz w:val="22"/>
        </w:rPr>
        <w:t>常规思路往往直接比较分类准确率。但准确率本身混合了很多因素：参考数据库是否覆盖目标物种、物种之间是否近缘、k 值怎么选、模型容量是否足够、训练数据是否充足、reads 是否带有 N 或测序错误、测序片段是否被截断等。这样一来，如果某个方法准确率低，我们很难判断是表征不好，还是模型不够，还是数据不够，还是任务本身太难。</w:t>
      </w:r>
    </w:p>
    <w:p>
      <w:pPr>
        <w:spacing w:before="0" w:after="80" w:line="300" w:lineRule="auto"/>
      </w:pPr>
      <w:r>
        <w:rPr>
          <w:rFonts w:ascii="Microsoft YaHei" w:hAnsi="Microsoft YaHei" w:eastAsia="Microsoft YaHei" w:cs="Microsoft YaHei"/>
          <w:b w:val="0"/>
          <w:sz w:val="22"/>
        </w:rPr>
        <w:t>因此我们把问题前移到“表征层”：在训练复杂模型之前，先问不同 DNA 表征是否能在短读长和扰动条件下保持原始信息。这个角度类似信息论中的问题：不是先问分类器是否成功，而是先问输入被编码以后损失了哪些信息，保留了哪些信息。</w:t>
      </w:r>
    </w:p>
    <w:p>
      <w:pPr>
        <w:pStyle w:val="Heading1"/>
      </w:pPr>
      <w:r>
        <w:rPr>
          <w:rFonts w:ascii="Microsoft YaHei" w:hAnsi="Microsoft YaHei" w:eastAsia="Microsoft YaHei" w:cs="Microsoft YaHei"/>
          <w:b/>
          <w:sz w:val="32"/>
        </w:rPr>
        <w:t>2. 初始直觉：为什么不能只用一种 DNA 表征</w:t>
      </w:r>
    </w:p>
    <w:p>
      <w:pPr>
        <w:spacing w:before="0" w:after="80" w:line="300" w:lineRule="auto"/>
      </w:pPr>
      <w:r>
        <w:rPr>
          <w:rFonts w:ascii="Microsoft YaHei" w:hAnsi="Microsoft YaHei" w:eastAsia="Microsoft YaHei" w:cs="Microsoft YaHei"/>
          <w:b w:val="0"/>
          <w:sz w:val="22"/>
        </w:rPr>
        <w:t>DNA 序列最直接的表示是 A/C/G/T 字符串，或者单碱基 one-hot。它保留了每一个位置的碱基信息，但它本身并不提供物种身份索引，也需要模型去学习局部组合规律。</w:t>
      </w:r>
    </w:p>
    <w:p>
      <w:pPr>
        <w:spacing w:before="0" w:after="80" w:line="300" w:lineRule="auto"/>
      </w:pPr>
      <w:r>
        <w:rPr>
          <w:rFonts w:ascii="Microsoft YaHei" w:hAnsi="Microsoft YaHei" w:eastAsia="Microsoft YaHei" w:cs="Microsoft YaHei"/>
          <w:b w:val="0"/>
          <w:sz w:val="22"/>
        </w:rPr>
        <w:t>k-mer 表征把连续 k 个碱基当成词。它和自然语言处理中把文本 token 化有相似之处，所以很适合进入词表、计数、索引或 Transformer 类模型。更重要的是，k-mer 是 Kraken、Kraken2、CLARK、Centrifuge 等宏基因组分类工具的核心思想之一。它的优势是身份分辨率高，缺点是对局部错误较敏感：一个碱基替换、N mask 或局部错配可能破坏多个连续 k-mer。</w:t>
      </w:r>
    </w:p>
    <w:p>
      <w:pPr>
        <w:spacing w:before="0" w:after="80" w:line="300" w:lineRule="auto"/>
      </w:pPr>
      <w:r>
        <w:rPr>
          <w:rFonts w:ascii="Microsoft YaHei" w:hAnsi="Microsoft YaHei" w:eastAsia="Microsoft YaHei" w:cs="Microsoft YaHei"/>
          <w:b w:val="0"/>
          <w:sz w:val="22"/>
        </w:rPr>
        <w:t xml:space="preserve">spaced seed 提供了另一个直觉：如果不连续取碱基，而是隔位取，例如 </w:t>
      </w:r>
      <w:r>
        <w:rPr>
          <w:rFonts w:ascii="Consolas" w:hAnsi="Consolas" w:eastAsia="Consolas" w:cs="Consolas"/>
          <w:color w:val="505050"/>
          <w:sz w:val="22"/>
        </w:rPr>
        <w:t>(0,2,4,6)</w:t>
      </w:r>
      <w:r>
        <w:rPr>
          <w:rFonts w:ascii="Microsoft YaHei" w:hAnsi="Microsoft YaHei" w:eastAsia="Microsoft YaHei" w:cs="Microsoft YaHei"/>
          <w:b w:val="0"/>
          <w:sz w:val="22"/>
        </w:rPr>
        <w:t>，那么局部错配不一定破坏整个 token。这来自同源搜索和 alignment-free 方法的传统。</w:t>
      </w:r>
    </w:p>
    <w:p>
      <w:pPr>
        <w:spacing w:before="0" w:after="80" w:line="300" w:lineRule="auto"/>
      </w:pPr>
      <w:r>
        <w:rPr>
          <w:rFonts w:ascii="Microsoft YaHei" w:hAnsi="Microsoft YaHei" w:eastAsia="Microsoft YaHei" w:cs="Microsoft YaHei"/>
          <w:b w:val="0"/>
          <w:sz w:val="22"/>
        </w:rPr>
        <w:t>再往前想，DNA 不是普通文本。A/C/G/T 有生物化学属性，例如 GC 含量、嘌呤/嘧啶、氢键数量、EIIP-like 数值，以及 N 碱基比例、读长、熵等。这些信息不一定能精确区分近缘物种，但它们可能在短读长和扰动场景下提供更稳定的连续摘要。</w:t>
      </w:r>
    </w:p>
    <w:p>
      <w:pPr>
        <w:spacing w:before="0" w:after="80" w:line="300" w:lineRule="auto"/>
      </w:pPr>
      <w:r>
        <w:rPr>
          <w:rFonts w:ascii="Microsoft YaHei" w:hAnsi="Microsoft YaHei" w:eastAsia="Microsoft YaHei" w:cs="Microsoft YaHei"/>
          <w:b w:val="0"/>
          <w:sz w:val="22"/>
        </w:rPr>
        <w:t>所以我们最初的思维路线是：是否能把 k-mer 的身份信息、spaced seed 的错配容忍性、双链 DNA 的反向互补先验、生化属性的可解释性合并起来，形成一种不依赖大模型训练的辅助表征。</w:t>
      </w:r>
    </w:p>
    <w:p>
      <w:pPr>
        <w:pStyle w:val="Heading1"/>
      </w:pPr>
      <w:r>
        <w:rPr>
          <w:rFonts w:ascii="Microsoft YaHei" w:hAnsi="Microsoft YaHei" w:eastAsia="Microsoft YaHei" w:cs="Microsoft YaHei"/>
          <w:b/>
          <w:sz w:val="32"/>
        </w:rPr>
        <w:t>3. 文献如何启发这个方案</w:t>
      </w:r>
    </w:p>
    <w:p>
      <w:pPr>
        <w:pStyle w:val="Heading2"/>
      </w:pPr>
      <w:r>
        <w:rPr>
          <w:rFonts w:ascii="Microsoft YaHei" w:hAnsi="Microsoft YaHei" w:eastAsia="Microsoft YaHei" w:cs="Microsoft YaHei"/>
          <w:b/>
          <w:sz w:val="26"/>
        </w:rPr>
        <w:t>3.1 临床 mNGS 文献给出的场景约束</w:t>
      </w:r>
    </w:p>
    <w:p>
      <w:pPr>
        <w:spacing w:before="0" w:after="80" w:line="300" w:lineRule="auto"/>
      </w:pPr>
      <w:r>
        <w:rPr>
          <w:rFonts w:ascii="Microsoft YaHei" w:hAnsi="Microsoft YaHei" w:eastAsia="Microsoft YaHei" w:cs="Microsoft YaHei"/>
          <w:b w:val="0"/>
          <w:sz w:val="22"/>
        </w:rPr>
        <w:t>临床 mNGS 的价值在于不依赖预设靶标，可以发现常规检测覆盖不到的病原体。Wilson 等人在 NEJM 中展示了 mNGS 在感染诊断中的价值，Chiu 和 Miller 的 Nature Reviews Genetics 综述系统总结了临床宏基因组的应用背景。</w:t>
      </w:r>
    </w:p>
    <w:p>
      <w:pPr>
        <w:spacing w:before="0" w:after="80" w:line="300" w:lineRule="auto"/>
      </w:pPr>
      <w:r>
        <w:rPr>
          <w:rFonts w:ascii="Microsoft YaHei" w:hAnsi="Microsoft YaHei" w:eastAsia="Microsoft YaHei" w:cs="Microsoft YaHei"/>
          <w:b w:val="0"/>
          <w:sz w:val="22"/>
        </w:rPr>
        <w:t>但是临床样本并不等于理想 clean reads。实际流程会经历 adapter 去除、质量修剪、宿主背景、低生物量污染、N 碱基、末端错误和读长缩短。Cutadapt、Trimmomatic 和污染研究说明，输入 reads 的质量和长度本身就是问题的一部分。</w:t>
      </w:r>
    </w:p>
    <w:p>
      <w:pPr>
        <w:spacing w:before="0" w:after="80" w:line="300" w:lineRule="auto"/>
      </w:pPr>
      <w:r>
        <w:rPr>
          <w:rFonts w:ascii="Microsoft YaHei" w:hAnsi="Microsoft YaHei" w:eastAsia="Microsoft YaHei" w:cs="Microsoft YaHei"/>
          <w:b w:val="0"/>
          <w:sz w:val="22"/>
        </w:rPr>
        <w:t>这条文献线启发我们：如果要研究 mNGS 的底层表征，应该重点关注短读长、N、替换、截断、局部错配等输入扰动，而不是只在理想 clean reads 上比较准确率。</w:t>
      </w:r>
    </w:p>
    <w:p>
      <w:pPr>
        <w:pStyle w:val="Heading2"/>
      </w:pPr>
      <w:r>
        <w:rPr>
          <w:rFonts w:ascii="Microsoft YaHei" w:hAnsi="Microsoft YaHei" w:eastAsia="Microsoft YaHei" w:cs="Microsoft YaHei"/>
          <w:b/>
          <w:sz w:val="26"/>
        </w:rPr>
        <w:t>3.2 k-mer 分类器文献给出的强基线</w:t>
      </w:r>
    </w:p>
    <w:p>
      <w:pPr>
        <w:spacing w:before="0" w:after="80" w:line="300" w:lineRule="auto"/>
      </w:pPr>
      <w:r>
        <w:rPr>
          <w:rFonts w:ascii="Microsoft YaHei" w:hAnsi="Microsoft YaHei" w:eastAsia="Microsoft YaHei" w:cs="Microsoft YaHei"/>
          <w:b w:val="0"/>
          <w:sz w:val="22"/>
        </w:rPr>
        <w:t>Kraken、Kraken2、CLARK、Centrifuge 和 Kaiju 证明了离散 word evidence 在宏基因组分类中的强大作用。尤其 Kraken2 这类工具使用 k-mer/minimizer 与数据库索引进行快速匹配，本质上是将 reads 转化为数据库可检索的身份信号。</w:t>
      </w:r>
    </w:p>
    <w:p>
      <w:pPr>
        <w:spacing w:before="0" w:after="80" w:line="300" w:lineRule="auto"/>
      </w:pPr>
      <w:r>
        <w:rPr>
          <w:rFonts w:ascii="Microsoft YaHei" w:hAnsi="Microsoft YaHei" w:eastAsia="Microsoft YaHei" w:cs="Microsoft YaHei"/>
          <w:b w:val="0"/>
          <w:sz w:val="22"/>
        </w:rPr>
        <w:t>这条文献线告诉我们两件事。第一，canonical k-mer 是强基线，不能轻易宣称新方法全面替代它。第二，k-mer 的优势集中在“精确身份识别”，而不是“扰动后仍保持连续相似性”。所以我们的论文不能写成“CSP 打败 k-mer”，而应该写成“k-mer 和 CSP 保留的信息类型不同”。</w:t>
      </w:r>
    </w:p>
    <w:p>
      <w:pPr>
        <w:pStyle w:val="Heading2"/>
      </w:pPr>
      <w:r>
        <w:rPr>
          <w:rFonts w:ascii="Microsoft YaHei" w:hAnsi="Microsoft YaHei" w:eastAsia="Microsoft YaHei" w:cs="Microsoft YaHei"/>
          <w:b/>
          <w:sz w:val="26"/>
        </w:rPr>
        <w:t>3.3 alignment-free 与 spaced seed 文献提供了错配容忍思路</w:t>
      </w:r>
    </w:p>
    <w:p>
      <w:pPr>
        <w:spacing w:before="0" w:after="80" w:line="300" w:lineRule="auto"/>
      </w:pPr>
      <w:r>
        <w:rPr>
          <w:rFonts w:ascii="Microsoft YaHei" w:hAnsi="Microsoft YaHei" w:eastAsia="Microsoft YaHei" w:cs="Microsoft YaHei"/>
          <w:b w:val="0"/>
          <w:sz w:val="22"/>
        </w:rPr>
        <w:t>alignment-free 方法用 k-mer、sketch 或 word composition 估计序列相似性，Mash、Jellyfish、alignment-free review 等工作证明了这条路线的价值。spaced seed 则来自 PatternHunter 等同源搜索方法，后来也被用于 k-mer based metagenomic classification。</w:t>
      </w:r>
    </w:p>
    <w:p>
      <w:pPr>
        <w:spacing w:before="0" w:after="80" w:line="300" w:lineRule="auto"/>
      </w:pPr>
      <w:r>
        <w:rPr>
          <w:rFonts w:ascii="Microsoft YaHei" w:hAnsi="Microsoft YaHei" w:eastAsia="Microsoft YaHei" w:cs="Microsoft YaHei"/>
          <w:b w:val="0"/>
          <w:sz w:val="22"/>
        </w:rPr>
        <w:t>spaced seed 的启发是：连续 k-mer 把相邻碱基绑定得太紧，局部错误会影响多个 token；如果隔位取样，局部错误的影响可能被分散。这为我们后来的 canonical spaced seed count 提供了直接基础。</w:t>
      </w:r>
    </w:p>
    <w:p>
      <w:pPr>
        <w:pStyle w:val="Heading2"/>
      </w:pPr>
      <w:r>
        <w:rPr>
          <w:rFonts w:ascii="Microsoft YaHei" w:hAnsi="Microsoft YaHei" w:eastAsia="Microsoft YaHei" w:cs="Microsoft YaHei"/>
          <w:b/>
          <w:sz w:val="26"/>
        </w:rPr>
        <w:t>3.4 DNA 数值信号与信息论文献提供了生化属性思路</w:t>
      </w:r>
    </w:p>
    <w:p>
      <w:pPr>
        <w:spacing w:before="0" w:after="80" w:line="300" w:lineRule="auto"/>
      </w:pPr>
      <w:r>
        <w:rPr>
          <w:rFonts w:ascii="Microsoft YaHei" w:hAnsi="Microsoft YaHei" w:eastAsia="Microsoft YaHei" w:cs="Microsoft YaHei"/>
          <w:b w:val="0"/>
          <w:sz w:val="22"/>
        </w:rPr>
        <w:t>DNA 也可以被看成数值信号。Shannon entropy、Chaos Game Representation、Voss indicator、EIIP、GC content、嘌呤/嘧啶、氢键类别等方法说明，序列可以被转化为带有生物化学含义的数值特征。</w:t>
      </w:r>
    </w:p>
    <w:p>
      <w:pPr>
        <w:spacing w:before="0" w:after="80" w:line="300" w:lineRule="auto"/>
      </w:pPr>
      <w:r>
        <w:rPr>
          <w:rFonts w:ascii="Microsoft YaHei" w:hAnsi="Microsoft YaHei" w:eastAsia="Microsoft YaHei" w:cs="Microsoft YaHei"/>
          <w:b w:val="0"/>
          <w:sz w:val="22"/>
        </w:rPr>
        <w:t>这些属性不一定适合单独做精确分类，但它们的优势是低维、可解释、对轻微扰动不那么脆弱。例如一个 read 中少数碱基被替换，整体 GC、氢键均值、N fraction 或 entropy 不会像连续 k-mer 词表那样发生剧烈离散跳变。</w:t>
      </w:r>
    </w:p>
    <w:p>
      <w:pPr>
        <w:spacing w:before="0" w:after="80" w:line="300" w:lineRule="auto"/>
      </w:pPr>
      <w:r>
        <w:rPr>
          <w:rFonts w:ascii="Microsoft YaHei" w:hAnsi="Microsoft YaHei" w:eastAsia="Microsoft YaHei" w:cs="Microsoft YaHei"/>
          <w:b w:val="0"/>
          <w:sz w:val="22"/>
        </w:rPr>
        <w:t>这条文献线启发我们：可以把生化属性作为辅助块，而不是把 DNA 完全当作无先验文本。</w:t>
      </w:r>
    </w:p>
    <w:p>
      <w:pPr>
        <w:pStyle w:val="Heading2"/>
      </w:pPr>
      <w:r>
        <w:rPr>
          <w:rFonts w:ascii="Microsoft YaHei" w:hAnsi="Microsoft YaHei" w:eastAsia="Microsoft YaHei" w:cs="Microsoft YaHei"/>
          <w:b/>
          <w:sz w:val="26"/>
        </w:rPr>
        <w:t>3.5 DNA foundation model 文献提醒我们区分“表征”和“模型”</w:t>
      </w:r>
    </w:p>
    <w:p>
      <w:pPr>
        <w:spacing w:before="0" w:after="80" w:line="300" w:lineRule="auto"/>
      </w:pPr>
      <w:r>
        <w:rPr>
          <w:rFonts w:ascii="Microsoft YaHei" w:hAnsi="Microsoft YaHei" w:eastAsia="Microsoft YaHei" w:cs="Microsoft YaHei"/>
          <w:b w:val="0"/>
          <w:sz w:val="22"/>
        </w:rPr>
        <w:t>DNABERT、DNABERT-2、Nucleotide Transformer、HyenaDNA、Caduceus、GENA-LM、Evo 等模型说明，DNA 序列表征已经从传统 k-mer 扩展到 BPE、单碱基、长上下文、反向互补等方向。尤其 DNABERT-2 讨论了 k-mer tokenization 的效率和泛化问题，Caduceus 强调 reverse-complement equivariance，HyenaDNA 和 Evo 强调单碱基长上下文建模。</w:t>
      </w:r>
    </w:p>
    <w:p>
      <w:pPr>
        <w:spacing w:before="0" w:after="80" w:line="300" w:lineRule="auto"/>
      </w:pPr>
      <w:r>
        <w:rPr>
          <w:rFonts w:ascii="Microsoft YaHei" w:hAnsi="Microsoft YaHei" w:eastAsia="Microsoft YaHei" w:cs="Microsoft YaHei"/>
          <w:b w:val="0"/>
          <w:sz w:val="22"/>
        </w:rPr>
        <w:t>这条线给我们的启发不是“我们已经证明 CSP 能让大模型更好”，而是“DNA 表征不应只被固定 k-mer 词表束缚”。在本项目中，大模型相关内容应作为动机和未来方向，而当前硬证据仍应来自受控表征诊断实验。</w:t>
      </w:r>
    </w:p>
    <w:p>
      <w:pPr>
        <w:pStyle w:val="Heading1"/>
      </w:pPr>
      <w:r>
        <w:rPr>
          <w:rFonts w:ascii="Microsoft YaHei" w:hAnsi="Microsoft YaHei" w:eastAsia="Microsoft YaHei" w:cs="Microsoft YaHei"/>
          <w:b/>
          <w:sz w:val="32"/>
        </w:rPr>
        <w:t>4. 我们最终形成的方法：CSP 是什么</w:t>
      </w:r>
    </w:p>
    <w:p>
      <w:pPr>
        <w:spacing w:before="0" w:after="80" w:line="300" w:lineRule="auto"/>
      </w:pPr>
      <w:r>
        <w:rPr>
          <w:rFonts w:ascii="Microsoft YaHei" w:hAnsi="Microsoft YaHei" w:eastAsia="Microsoft YaHei" w:cs="Microsoft YaHei"/>
          <w:b w:val="0"/>
          <w:sz w:val="22"/>
        </w:rPr>
        <w:t>CSP 全称是 canonical spaced-property encoding。它不是一个分类器，也不是一个训练得到的 embedding，而是一个确定性的 DNA read 表征。</w:t>
      </w:r>
    </w:p>
    <w:p>
      <w:pPr>
        <w:spacing w:before="0" w:after="80" w:line="300" w:lineRule="auto"/>
      </w:pPr>
      <w:r>
        <w:rPr>
          <w:rFonts w:ascii="Microsoft YaHei" w:hAnsi="Microsoft YaHei" w:eastAsia="Microsoft YaHei" w:cs="Microsoft YaHei"/>
          <w:b w:val="0"/>
          <w:sz w:val="22"/>
        </w:rPr>
        <w:t>它包含两个核心部分。</w:t>
      </w:r>
    </w:p>
    <w:p>
      <w:pPr>
        <w:spacing w:before="0" w:after="80" w:line="300" w:lineRule="auto"/>
      </w:pPr>
      <w:r>
        <w:rPr>
          <w:rFonts w:ascii="Microsoft YaHei" w:hAnsi="Microsoft YaHei" w:eastAsia="Microsoft YaHei" w:cs="Microsoft YaHei"/>
          <w:b w:val="0"/>
          <w:sz w:val="22"/>
        </w:rPr>
        <w:t>第一部分是 canonical spaced seed count。设一个 read 为：</w:t>
      </w:r>
    </w:p>
    <w:p>
      <w:pPr>
        <w:shd w:fill="F4F6F9"/>
        <w:spacing w:before="0" w:after="0" w:line="280" w:lineRule="auto"/>
      </w:pPr>
      <w:r>
        <w:rPr>
          <w:rFonts w:ascii="Consolas" w:hAnsi="Consolas" w:eastAsia="Consolas" w:cs="Consolas"/>
          <w:sz w:val="18"/>
        </w:rPr>
        <w:t>x = x1, x2, ..., xL</w:t>
      </w:r>
    </w:p>
    <w:p/>
    <w:p>
      <w:pPr>
        <w:spacing w:before="0" w:after="80" w:line="300" w:lineRule="auto"/>
      </w:pPr>
      <w:r>
        <w:rPr>
          <w:rFonts w:ascii="Microsoft YaHei" w:hAnsi="Microsoft YaHei" w:eastAsia="Microsoft YaHei" w:cs="Microsoft YaHei"/>
          <w:b w:val="0"/>
          <w:sz w:val="22"/>
        </w:rPr>
        <w:t>我们使用默认 spaced pattern：</w:t>
      </w:r>
    </w:p>
    <w:p>
      <w:pPr>
        <w:shd w:fill="F4F6F9"/>
        <w:spacing w:before="0" w:after="0" w:line="280" w:lineRule="auto"/>
      </w:pPr>
      <w:r>
        <w:rPr>
          <w:rFonts w:ascii="Consolas" w:hAnsi="Consolas" w:eastAsia="Consolas" w:cs="Consolas"/>
          <w:sz w:val="18"/>
        </w:rPr>
        <w:t>P = (0, 2, 4, 6)</w:t>
      </w:r>
    </w:p>
    <w:p/>
    <w:p>
      <w:pPr>
        <w:spacing w:before="0" w:after="80" w:line="300" w:lineRule="auto"/>
      </w:pPr>
      <w:r>
        <w:rPr>
          <w:rFonts w:ascii="Microsoft YaHei" w:hAnsi="Microsoft YaHei" w:eastAsia="Microsoft YaHei" w:cs="Microsoft YaHei"/>
          <w:b w:val="0"/>
          <w:sz w:val="22"/>
        </w:rPr>
        <w:t>也就是从局部窗口中隔位取碱基，形成 spaced token。然后把 token 和它的 reverse complement 映射到同一个 canonical index。这样做的目的有两个：一是让表征对双链方向更友好，二是让局部错配不至于像连续 k-mer 那样破坏所有相邻 token。</w:t>
      </w:r>
    </w:p>
    <w:p>
      <w:pPr>
        <w:spacing w:before="0" w:after="80" w:line="300" w:lineRule="auto"/>
      </w:pPr>
      <w:r>
        <w:rPr>
          <w:rFonts w:ascii="Microsoft YaHei" w:hAnsi="Microsoft YaHei" w:eastAsia="Microsoft YaHei" w:cs="Microsoft YaHei"/>
          <w:b w:val="0"/>
          <w:sz w:val="22"/>
        </w:rPr>
        <w:t>第二部分是 property block。它把整个 read 的低维属性拼接进去，包括：</w:t>
      </w:r>
    </w:p>
    <w:p>
      <w:pPr>
        <w:pStyle w:val="ListBullet"/>
        <w:spacing w:before="0" w:after="60" w:line="300" w:lineRule="auto"/>
      </w:pPr>
      <w:r>
        <w:rPr>
          <w:rFonts w:ascii="Microsoft YaHei" w:hAnsi="Microsoft YaHei" w:eastAsia="Microsoft YaHei" w:cs="Microsoft YaHei"/>
          <w:b w:val="0"/>
          <w:sz w:val="22"/>
        </w:rPr>
        <w:t>GC indicator 的均值和标准差；</w:t>
      </w:r>
    </w:p>
    <w:p>
      <w:pPr>
        <w:pStyle w:val="ListBullet"/>
        <w:spacing w:before="0" w:after="60" w:line="300" w:lineRule="auto"/>
      </w:pPr>
      <w:r>
        <w:rPr>
          <w:rFonts w:ascii="Microsoft YaHei" w:hAnsi="Microsoft YaHei" w:eastAsia="Microsoft YaHei" w:cs="Microsoft YaHei"/>
          <w:b w:val="0"/>
          <w:sz w:val="22"/>
        </w:rPr>
        <w:t>purine indicator 的均值和标准差；</w:t>
      </w:r>
    </w:p>
    <w:p>
      <w:pPr>
        <w:pStyle w:val="ListBullet"/>
        <w:spacing w:before="0" w:after="60" w:line="300" w:lineRule="auto"/>
      </w:pPr>
      <w:r>
        <w:rPr>
          <w:rFonts w:ascii="Microsoft YaHei" w:hAnsi="Microsoft YaHei" w:eastAsia="Microsoft YaHei" w:cs="Microsoft YaHei"/>
          <w:b w:val="0"/>
          <w:sz w:val="22"/>
        </w:rPr>
        <w:t>hydrogen-bond class 的均值和标准差；</w:t>
      </w:r>
    </w:p>
    <w:p>
      <w:pPr>
        <w:pStyle w:val="ListBullet"/>
        <w:spacing w:before="0" w:after="60" w:line="300" w:lineRule="auto"/>
      </w:pPr>
      <w:r>
        <w:rPr>
          <w:rFonts w:ascii="Microsoft YaHei" w:hAnsi="Microsoft YaHei" w:eastAsia="Microsoft YaHei" w:cs="Microsoft YaHei"/>
          <w:b w:val="0"/>
          <w:sz w:val="22"/>
        </w:rPr>
        <w:t>EIIP-like value 的均值和标准差；</w:t>
      </w:r>
    </w:p>
    <w:p>
      <w:pPr>
        <w:pStyle w:val="ListBullet"/>
        <w:spacing w:before="0" w:after="60" w:line="300" w:lineRule="auto"/>
      </w:pPr>
      <w:r>
        <w:rPr>
          <w:rFonts w:ascii="Microsoft YaHei" w:hAnsi="Microsoft YaHei" w:eastAsia="Microsoft YaHei" w:cs="Microsoft YaHei"/>
          <w:b w:val="0"/>
          <w:sz w:val="22"/>
        </w:rPr>
        <w:t>N fraction；</w:t>
      </w:r>
    </w:p>
    <w:p>
      <w:pPr>
        <w:pStyle w:val="ListBullet"/>
        <w:spacing w:before="0" w:after="60" w:line="300" w:lineRule="auto"/>
      </w:pPr>
      <w:r>
        <w:rPr>
          <w:rFonts w:ascii="Microsoft YaHei" w:hAnsi="Microsoft YaHei" w:eastAsia="Microsoft YaHei" w:cs="Microsoft YaHei"/>
          <w:b w:val="0"/>
          <w:sz w:val="22"/>
        </w:rPr>
        <w:t>normalized length；</w:t>
      </w:r>
    </w:p>
    <w:p>
      <w:pPr>
        <w:pStyle w:val="ListBullet"/>
        <w:spacing w:before="0" w:after="60" w:line="300" w:lineRule="auto"/>
      </w:pPr>
      <w:r>
        <w:rPr>
          <w:rFonts w:ascii="Microsoft YaHei" w:hAnsi="Microsoft YaHei" w:eastAsia="Microsoft YaHei" w:cs="Microsoft YaHei"/>
          <w:b w:val="0"/>
          <w:sz w:val="22"/>
        </w:rPr>
        <w:t>Shannon entropy。</w:t>
      </w:r>
    </w:p>
    <w:p>
      <w:pPr>
        <w:spacing w:before="0" w:after="80" w:line="300" w:lineRule="auto"/>
      </w:pPr>
      <w:r>
        <w:rPr>
          <w:rFonts w:ascii="Microsoft YaHei" w:hAnsi="Microsoft YaHei" w:eastAsia="Microsoft YaHei" w:cs="Microsoft YaHei"/>
          <w:b w:val="0"/>
          <w:sz w:val="22"/>
        </w:rPr>
        <w:t>最后对 spaced count 和整体向量进行 L2 normalization。简化写法是：</w:t>
      </w:r>
    </w:p>
    <w:p>
      <w:pPr>
        <w:shd w:fill="F4F6F9"/>
        <w:spacing w:before="0" w:after="0" w:line="280" w:lineRule="auto"/>
      </w:pPr>
      <w:r>
        <w:rPr>
          <w:rFonts w:ascii="Consolas" w:hAnsi="Consolas" w:eastAsia="Consolas" w:cs="Consolas"/>
          <w:sz w:val="18"/>
        </w:rPr>
        <w:t>CSP(x) = L2([L2(canonical_spaced_count(x)); property_block(x)])</w:t>
      </w:r>
    </w:p>
    <w:p/>
    <w:p>
      <w:pPr>
        <w:spacing w:before="0" w:after="80" w:line="300" w:lineRule="auto"/>
      </w:pPr>
      <w:r>
        <w:rPr>
          <w:rFonts w:ascii="Microsoft YaHei" w:hAnsi="Microsoft YaHei" w:eastAsia="Microsoft YaHei" w:cs="Microsoft YaHei"/>
          <w:b w:val="0"/>
          <w:sz w:val="22"/>
        </w:rPr>
        <w:t>因此，CSP 的设计逻辑可以概括为：</w:t>
      </w:r>
    </w:p>
    <w:p>
      <w:pPr>
        <w:shd w:fill="F4F6F9"/>
        <w:spacing w:before="0" w:after="0" w:line="280" w:lineRule="auto"/>
      </w:pPr>
      <w:r>
        <w:rPr>
          <w:rFonts w:ascii="Consolas" w:hAnsi="Consolas" w:eastAsia="Consolas" w:cs="Consolas"/>
          <w:sz w:val="18"/>
        </w:rPr>
        <w:t>spaced seed 的错配容忍性</w:t>
      </w:r>
    </w:p>
    <w:p>
      <w:pPr>
        <w:shd w:fill="F4F6F9"/>
        <w:spacing w:before="0" w:after="0" w:line="280" w:lineRule="auto"/>
      </w:pPr>
      <w:r>
        <w:rPr>
          <w:rFonts w:ascii="Consolas" w:hAnsi="Consolas" w:eastAsia="Consolas" w:cs="Consolas"/>
          <w:sz w:val="18"/>
        </w:rPr>
        <w:t>+ reverse-complement canonicalization 的链方向先验</w:t>
      </w:r>
    </w:p>
    <w:p>
      <w:pPr>
        <w:shd w:fill="F4F6F9"/>
        <w:spacing w:before="0" w:after="0" w:line="280" w:lineRule="auto"/>
      </w:pPr>
      <w:r>
        <w:rPr>
          <w:rFonts w:ascii="Consolas" w:hAnsi="Consolas" w:eastAsia="Consolas" w:cs="Consolas"/>
          <w:sz w:val="18"/>
        </w:rPr>
        <w:t>+ 生化属性摘要的低维可解释性</w:t>
      </w:r>
    </w:p>
    <w:p>
      <w:pPr>
        <w:shd w:fill="F4F6F9"/>
        <w:spacing w:before="0" w:after="0" w:line="280" w:lineRule="auto"/>
      </w:pPr>
      <w:r>
        <w:rPr>
          <w:rFonts w:ascii="Consolas" w:hAnsi="Consolas" w:eastAsia="Consolas" w:cs="Consolas"/>
          <w:sz w:val="18"/>
        </w:rPr>
        <w:t>= 一个扰动稳定的辅助表征</w:t>
      </w:r>
    </w:p>
    <w:p/>
    <w:p>
      <w:pPr>
        <w:pStyle w:val="Heading1"/>
      </w:pPr>
      <w:r>
        <w:rPr>
          <w:rFonts w:ascii="Microsoft YaHei" w:hAnsi="Microsoft YaHei" w:eastAsia="Microsoft YaHei" w:cs="Microsoft YaHei"/>
          <w:b/>
          <w:sz w:val="32"/>
        </w:rPr>
        <w:t>5. 我们比较了哪些表征方案</w:t>
      </w:r>
    </w:p>
    <w:p>
      <w:pPr>
        <w:spacing w:before="0" w:after="80" w:line="300" w:lineRule="auto"/>
      </w:pPr>
      <w:r>
        <w:rPr>
          <w:rFonts w:ascii="Microsoft YaHei" w:hAnsi="Microsoft YaHei" w:eastAsia="Microsoft YaHei" w:cs="Microsoft YaHei"/>
          <w:b w:val="0"/>
          <w:sz w:val="22"/>
        </w:rPr>
        <w:t>这里需要分清三件事：我们最初构思过的表征池、早期实际探索过的扩展方案、最终进入主论文核心网格的方案。前一版表格只列了主论文核心方案，所以看起来像“我们只比较了这些”。实际并不是这样。</w:t>
      </w:r>
    </w:p>
    <w:p>
      <w:pPr>
        <w:pStyle w:val="Heading2"/>
      </w:pPr>
      <w:r>
        <w:rPr>
          <w:rFonts w:ascii="Microsoft YaHei" w:hAnsi="Microsoft YaHei" w:eastAsia="Microsoft YaHei" w:cs="Microsoft YaHei"/>
          <w:b/>
          <w:sz w:val="26"/>
        </w:rPr>
        <w:t>5.1 最初注册和构思过的方案池</w:t>
      </w:r>
    </w:p>
    <w:p>
      <w:pPr>
        <w:spacing w:before="0" w:after="80" w:line="300" w:lineRule="auto"/>
      </w:pPr>
      <w:r>
        <w:rPr>
          <w:rFonts w:ascii="Microsoft YaHei" w:hAnsi="Microsoft YaHei" w:eastAsia="Microsoft YaHei" w:cs="Microsoft YaHei"/>
          <w:b w:val="0"/>
          <w:sz w:val="22"/>
        </w:rPr>
        <w:t xml:space="preserve">最初的 </w:t>
      </w:r>
      <w:r>
        <w:rPr>
          <w:rFonts w:ascii="Consolas" w:hAnsi="Consolas" w:eastAsia="Consolas" w:cs="Consolas"/>
          <w:color w:val="505050"/>
          <w:sz w:val="22"/>
        </w:rPr>
        <w:t>feature_scheme_registry</w:t>
      </w:r>
      <w:r>
        <w:rPr>
          <w:rFonts w:ascii="Microsoft YaHei" w:hAnsi="Microsoft YaHei" w:eastAsia="Microsoft YaHei" w:cs="Microsoft YaHei"/>
          <w:b w:val="0"/>
          <w:sz w:val="22"/>
        </w:rPr>
        <w:t xml:space="preserve"> 中，我们把 DNA 表征方案分成了更大的候选池。它们大致包括：</w:t>
      </w:r>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c>
          <w:tcPr>
            <w:tcW w:type="dxa" w:w="21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类别</w:t>
            </w:r>
          </w:p>
        </w:tc>
        <w:tc>
          <w:tcPr>
            <w:tcW w:type="dxa" w:w="33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代表方案</w:t>
            </w:r>
          </w:p>
        </w:tc>
        <w:tc>
          <w:tcPr>
            <w:tcW w:type="dxa" w:w="396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当时想回答的问题</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k-mer composition</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raw count、relative frequency、TF-IDF、SVD compressed k-mer、multi-k fusion</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k-mer 计数、归一化、降维、多尺度融合是否影响短读长分类和稳定性</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token/order 表征</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ordered k-mer token、token-id pseudo-sequence</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顺序信息是否比 composition 更重要，token 编号是否会引入伪连续性</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链方向表征</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k-mer、RC-consistent token、strand flag</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合并反向互补是否提升双链一致性，是否损失方向信息</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hash/近似词表</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hash / LSH k-mer token</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大 k 词表是否可以压缩，hash collision 是否可接受</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碱基级表征</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one-hot、Voss raw-base、tetrahedron representation</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单碱基身份和几何编码是否足以让模型学习 motif/composition</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生化属性表征</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EIIP、GC、purine、hydrogen-bond、property channels</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生化先验是否提供可解释、扰动稳定的连续信息</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三碱基/相位先验</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three-phase signal、codon-frame channels、spaced property + phase</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是否能利用三碱基周期或位置相位先验</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位置编码表征</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sinusoidal/attribute-gated positional encoding、RoPE-like one-hot/property</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Transformer/attention 风格位置关系在短读长下是否有意义</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spaced/mismatch-tolerant 表征</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spaced k-mer、mismatch-tolerant aggregation</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局部错配、N、替换是否可以通过非连续 seed 缓解</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可解释 motif 表征</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prototype / interpretable motif representation</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是否能得到可解释判别片段，而不是只得到黑箱向量</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预训练方向</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small-k token with pretraining</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如果未来训练 DNA language model，小 k 或 BPE token 是否更合适</w:t>
            </w:r>
          </w:p>
        </w:tc>
      </w:tr>
    </w:tbl>
    <w:p>
      <w:pPr>
        <w:spacing w:before="0" w:after="80" w:line="300" w:lineRule="auto"/>
      </w:pPr>
    </w:p>
    <w:p>
      <w:pPr>
        <w:spacing w:before="0" w:after="80" w:line="300" w:lineRule="auto"/>
      </w:pPr>
      <w:r>
        <w:rPr>
          <w:rFonts w:ascii="Microsoft YaHei" w:hAnsi="Microsoft YaHei" w:eastAsia="Microsoft YaHei" w:cs="Microsoft YaHei"/>
          <w:b w:val="0"/>
          <w:sz w:val="22"/>
        </w:rPr>
        <w:t>这些方案不是都进入了最终主实验。原因很简单：论文如果把所有方向都展开，会变成一个庞大的 DNA 表征综述和模型 benchmark，而不是一篇聚焦的 CSP 方法学论文。</w:t>
      </w:r>
    </w:p>
    <w:p>
      <w:pPr>
        <w:pStyle w:val="Heading2"/>
      </w:pPr>
      <w:r>
        <w:rPr>
          <w:rFonts w:ascii="Microsoft YaHei" w:hAnsi="Microsoft YaHei" w:eastAsia="Microsoft YaHei" w:cs="Microsoft YaHei"/>
          <w:b/>
          <w:sz w:val="26"/>
        </w:rPr>
        <w:t>5.2 早期实际探索过的扩展方案</w:t>
      </w:r>
    </w:p>
    <w:p>
      <w:pPr>
        <w:spacing w:before="0" w:after="80" w:line="300" w:lineRule="auto"/>
      </w:pPr>
      <w:r>
        <w:rPr>
          <w:rFonts w:ascii="Microsoft YaHei" w:hAnsi="Microsoft YaHei" w:eastAsia="Microsoft YaHei" w:cs="Microsoft YaHei"/>
          <w:b w:val="0"/>
          <w:sz w:val="22"/>
        </w:rPr>
        <w:t>早期实验里，我们确实跑过比最终表格更多的方案。例如：</w:t>
      </w:r>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c>
          <w:tcPr>
            <w:tcW w:type="dxa" w:w="21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早期探索方案</w:t>
            </w:r>
          </w:p>
        </w:tc>
        <w:tc>
          <w:tcPr>
            <w:tcW w:type="dxa" w:w="33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基本思想</w:t>
            </w:r>
          </w:p>
        </w:tc>
        <w:tc>
          <w:tcPr>
            <w:tcW w:type="dxa" w:w="396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后续处理</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raw k-mer count / canonical k-mer / TF-IDF k-mer</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比较普通 k-mer、canonical k-mer 和 TF-IDF 权重</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保留 canonical k-mer 作为核心强基线，TF-IDF 不作为主线</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one-hot / Voss / base signal</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直接保留碱基身份或标量信号</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作为神经网络输入和底层对照，不作为 CSP 主结果</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property channels</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每个位置编码氢键、GC、purine、EIIP、N mask</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保留为 CNN/tiny Transformer 兼容性探针</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three-phase / codon-frame channels</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注入三碱基周期或阅读框式相位</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结果不足以成为主张，作为探索性路线降级</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spaced_kmer_no_phase / spaced_kmer_phase</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spaced token 加属性或相位</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用于消融 phase 是否带来独立收益；未成为最终主方案</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RoPE-onehot / RoPE-property / rc_rope_pool</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将 one-hot 或 property channel 与位置旋转结合</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用于 attention/position 诊断和模型适配性探索</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kmer_property / attribute-gated position</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将 k-mer/base 属性与位置调制结合</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思路有启发性，但当前证据不足，放入后续方向</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oracle motif pair</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attention 断点实验中的理想可见性对照</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只用于证明“上下文是否可见”的机制，不是实际可用表征</w:t>
            </w:r>
          </w:p>
        </w:tc>
      </w:tr>
    </w:tbl>
    <w:p>
      <w:pPr>
        <w:spacing w:before="0" w:after="80" w:line="300" w:lineRule="auto"/>
      </w:pPr>
    </w:p>
    <w:p>
      <w:pPr>
        <w:spacing w:before="0" w:after="80" w:line="300" w:lineRule="auto"/>
      </w:pPr>
      <w:r>
        <w:rPr>
          <w:rFonts w:ascii="Microsoft YaHei" w:hAnsi="Microsoft YaHei" w:eastAsia="Microsoft YaHei" w:cs="Microsoft YaHei"/>
          <w:b w:val="0"/>
          <w:sz w:val="22"/>
        </w:rPr>
        <w:t>这些探索帮助我们排除了几类不适合作为当前主线的方向：有些方案过于依赖模型训练，有些方案解释性不够，有些方案在轻量数据上没有稳定优势，还有些方案只是为了诊断 attention/position 机制，不适合作为实际表征方法。</w:t>
      </w:r>
    </w:p>
    <w:p>
      <w:pPr>
        <w:pStyle w:val="Heading2"/>
      </w:pPr>
      <w:r>
        <w:rPr>
          <w:rFonts w:ascii="Microsoft YaHei" w:hAnsi="Microsoft YaHei" w:eastAsia="Microsoft YaHei" w:cs="Microsoft YaHei"/>
          <w:b/>
          <w:sz w:val="26"/>
        </w:rPr>
        <w:t>5.3 最终进入主论文核心网格的方案</w:t>
      </w:r>
    </w:p>
    <w:p>
      <w:pPr>
        <w:spacing w:before="0" w:after="80" w:line="300" w:lineRule="auto"/>
      </w:pPr>
      <w:r>
        <w:rPr>
          <w:rFonts w:ascii="Microsoft YaHei" w:hAnsi="Microsoft YaHei" w:eastAsia="Microsoft YaHei" w:cs="Microsoft YaHei"/>
          <w:b w:val="0"/>
          <w:sz w:val="22"/>
        </w:rPr>
        <w:t>最终主论文网格收敛到下面几类，是因为它们能直接回答本文的核心问题：在短读长和扰动下，精确身份信息、spaced seed 容错、生化属性稳定性和 hybrid 互补性分别有什么作用。</w:t>
      </w:r>
    </w:p>
    <w:tbl>
      <w:tblPr>
        <w:tblStyle w:val="TableGrid"/>
        <w:tblW w:type="dxa" w:w="9360"/>
        <w:jc w:val="center"/>
        <w:tblLayout w:type="fixed"/>
        <w:tblLook w:firstColumn="1" w:firstRow="1" w:lastColumn="0" w:lastRow="0" w:noHBand="0" w:noVBand="1" w:val="04A0"/>
        <w:tblInd w:type="dxa" w:w="120"/>
      </w:tblPr>
      <w:tblGrid>
        <w:gridCol w:w="1872"/>
        <w:gridCol w:w="1872"/>
        <w:gridCol w:w="1872"/>
        <w:gridCol w:w="1872"/>
        <w:gridCol w:w="1872"/>
      </w:tblGrid>
      <w:tr>
        <w:tc>
          <w:tcPr>
            <w:tcW w:type="dxa" w:w="18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表征方案</w:t>
            </w:r>
          </w:p>
        </w:tc>
        <w:tc>
          <w:tcPr>
            <w:tcW w:type="dxa" w:w="26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基本原理</w:t>
            </w:r>
          </w:p>
        </w:tc>
        <w:tc>
          <w:tcPr>
            <w:tcW w:type="dxa" w:w="19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为什么保留进主论文</w:t>
            </w:r>
          </w:p>
        </w:tc>
        <w:tc>
          <w:tcPr>
            <w:tcW w:type="dxa" w:w="15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预期优势</w:t>
            </w:r>
          </w:p>
        </w:tc>
        <w:tc>
          <w:tcPr>
            <w:tcW w:type="dxa" w:w="156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预期弱点</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5-mer</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连续 5-mer 计数，并合并反向互补</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作为传统、维度适中、身份信息强的核心基线</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身份信息强，维度适中</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对局部错误敏感</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7-mer</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连续 7-mer 计数，并合并反向互补</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测试更大 k 是否增强身份分辨率</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身份分辨率更高</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维度更高，短读长下更稀疏</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spaced seed</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隔位 token 计数，并合并反向互补</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单独测试 spaced seed 的贡献</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比连续 k-mer 更容忍局部错配</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仍主要是离散 token，缺少生化摘要</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spaced seed 加 property block</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本文主方法，测试 spaced seed + 生化属性是否提升稳定性</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低维、链方向友好、扰动稳定、可解释</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不适合单独做精确近缘/等位基因/SNP 判定</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5-mer + CSP hybrid</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精确 k-mer 证据加 CSP 稳定性辅助</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测试“身份信息 + 稳定辅助信息”是否互补</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兼顾身份和鲁棒性</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维度增加，是否提升取决于下游任务</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7-mer + CSP hybrid</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更高分辨率 k-mer 加 CSP</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测试更强身份词表和 CSP 的组合</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身份分辨率更高，兼具辅助稳定性</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更稀疏，维度更高</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one-hot / property channels</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单碱基身份或生化属性通道</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主要用于 CNN/tiny Transformer 模型适配性 probe</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保留位置结构，适合 CNN/Transformer</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单独使用时身份索引不足，需要模型学习</w:t>
            </w:r>
          </w:p>
        </w:tc>
      </w:tr>
    </w:tbl>
    <w:p>
      <w:pPr>
        <w:spacing w:before="0" w:after="80" w:line="300" w:lineRule="auto"/>
      </w:pPr>
    </w:p>
    <w:p>
      <w:pPr>
        <w:spacing w:before="0" w:after="80" w:line="300" w:lineRule="auto"/>
      </w:pPr>
      <w:r>
        <w:rPr>
          <w:rFonts w:ascii="Microsoft YaHei" w:hAnsi="Microsoft YaHei" w:eastAsia="Microsoft YaHei" w:cs="Microsoft YaHei"/>
          <w:b w:val="0"/>
          <w:sz w:val="22"/>
        </w:rPr>
        <w:t>所以，第 5 节的准确理解应该是：我们不是只想了这些方案，而是从更大的候选池中逐步收敛。当前论文主线保留这些方案，是因为它们正好构成一条清晰证据链：</w:t>
      </w:r>
    </w:p>
    <w:p>
      <w:pPr>
        <w:shd w:fill="F4F6F9"/>
        <w:spacing w:before="0" w:after="0" w:line="280" w:lineRule="auto"/>
      </w:pPr>
      <w:r>
        <w:rPr>
          <w:rFonts w:ascii="Consolas" w:hAnsi="Consolas" w:eastAsia="Consolas" w:cs="Consolas"/>
          <w:sz w:val="18"/>
        </w:rPr>
        <w:t>canonical k-mer 代表精确身份信息；</w:t>
      </w:r>
    </w:p>
    <w:p>
      <w:pPr>
        <w:shd w:fill="F4F6F9"/>
        <w:spacing w:before="0" w:after="0" w:line="280" w:lineRule="auto"/>
      </w:pPr>
      <w:r>
        <w:rPr>
          <w:rFonts w:ascii="Consolas" w:hAnsi="Consolas" w:eastAsia="Consolas" w:cs="Consolas"/>
          <w:sz w:val="18"/>
        </w:rPr>
        <w:t>canonical spaced seed 代表局部错配容忍；</w:t>
      </w:r>
    </w:p>
    <w:p>
      <w:pPr>
        <w:shd w:fill="F4F6F9"/>
        <w:spacing w:before="0" w:after="0" w:line="280" w:lineRule="auto"/>
      </w:pPr>
      <w:r>
        <w:rPr>
          <w:rFonts w:ascii="Consolas" w:hAnsi="Consolas" w:eastAsia="Consolas" w:cs="Consolas"/>
          <w:sz w:val="18"/>
        </w:rPr>
        <w:t>CSP 代表 spaced seed + 生化属性辅助稳定性；</w:t>
      </w:r>
    </w:p>
    <w:p>
      <w:pPr>
        <w:shd w:fill="F4F6F9"/>
        <w:spacing w:before="0" w:after="0" w:line="280" w:lineRule="auto"/>
      </w:pPr>
      <w:r>
        <w:rPr>
          <w:rFonts w:ascii="Consolas" w:hAnsi="Consolas" w:eastAsia="Consolas" w:cs="Consolas"/>
          <w:sz w:val="18"/>
        </w:rPr>
        <w:t>hybrid 代表身份信息和稳定性信息的分层互补；</w:t>
      </w:r>
    </w:p>
    <w:p>
      <w:pPr>
        <w:shd w:fill="F4F6F9"/>
        <w:spacing w:before="0" w:after="0" w:line="280" w:lineRule="auto"/>
      </w:pPr>
      <w:r>
        <w:rPr>
          <w:rFonts w:ascii="Consolas" w:hAnsi="Consolas" w:eastAsia="Consolas" w:cs="Consolas"/>
          <w:sz w:val="18"/>
        </w:rPr>
        <w:t>one-hot/property channels 用于验证不同表征适合不同模型输入。</w:t>
      </w:r>
    </w:p>
    <w:p/>
    <w:p>
      <w:pPr>
        <w:spacing w:before="0" w:after="80" w:line="300" w:lineRule="auto"/>
      </w:pPr>
      <w:r>
        <w:rPr>
          <w:rFonts w:ascii="Microsoft YaHei" w:hAnsi="Microsoft YaHei" w:eastAsia="Microsoft YaHei" w:cs="Microsoft YaHei"/>
          <w:b w:val="0"/>
          <w:sz w:val="22"/>
        </w:rPr>
        <w:t>这样做的好处是论文不会散。没有进入核心网格的方案并不是“不存在”或“没想过”，而是当前证据不足、主张不集中，或者更适合作为后续研究方向。</w:t>
      </w:r>
    </w:p>
    <w:p>
      <w:pPr>
        <w:pStyle w:val="Heading2"/>
      </w:pPr>
      <w:r>
        <w:rPr>
          <w:rFonts w:ascii="Microsoft YaHei" w:hAnsi="Microsoft YaHei" w:eastAsia="Microsoft YaHei" w:cs="Microsoft YaHei"/>
          <w:b/>
          <w:sz w:val="26"/>
        </w:rPr>
        <w:t>5.4 这些探索会如何写进论文</w:t>
      </w:r>
    </w:p>
    <w:p>
      <w:pPr>
        <w:spacing w:before="0" w:after="80" w:line="300" w:lineRule="auto"/>
      </w:pPr>
      <w:r>
        <w:rPr>
          <w:rFonts w:ascii="Microsoft YaHei" w:hAnsi="Microsoft YaHei" w:eastAsia="Microsoft YaHei" w:cs="Microsoft YaHei"/>
          <w:b w:val="0"/>
          <w:sz w:val="22"/>
        </w:rPr>
        <w:t>论文里应该包含对不同方案的探索，但写法需要分层，而不是把所有早期方案都放进主结果表里同等比较。</w:t>
      </w:r>
    </w:p>
    <w:p>
      <w:pPr>
        <w:spacing w:before="0" w:after="80" w:line="300" w:lineRule="auto"/>
      </w:pPr>
      <w:r>
        <w:rPr>
          <w:rFonts w:ascii="Microsoft YaHei" w:hAnsi="Microsoft YaHei" w:eastAsia="Microsoft YaHei" w:cs="Microsoft YaHei"/>
          <w:b w:val="0"/>
          <w:sz w:val="22"/>
        </w:rPr>
        <w:t>第一层是主文核心证据。这里保留 canonical k-mer、canonical spaced seed、CSP、hybrid、one-hot/property channels 等方案，因为它们能够直接支撑本文的中心问题：短读长和扰动下，精确身份信息、错配容忍、生化属性稳定性和模型输入形态分别有什么作用。</w:t>
      </w:r>
    </w:p>
    <w:p>
      <w:pPr>
        <w:spacing w:before="0" w:after="80" w:line="300" w:lineRule="auto"/>
      </w:pPr>
      <w:r>
        <w:rPr>
          <w:rFonts w:ascii="Microsoft YaHei" w:hAnsi="Microsoft YaHei" w:eastAsia="Microsoft YaHei" w:cs="Microsoft YaHei"/>
          <w:b w:val="0"/>
          <w:sz w:val="22"/>
        </w:rPr>
        <w:t>第二层是方法和消融中的证据边界。比如 TF-IDF、Voss/base signal、three-phase、RoPE-property、attribute-gated position 等方案，可以在 Methods、Supplementary 或 Discussion 中说明：我们曾将它们作为候选表征或机制探针，用于判断信息来源、模型适配性或位置上下文问题，但它们当前不构成本文的主方法。</w:t>
      </w:r>
    </w:p>
    <w:p>
      <w:pPr>
        <w:spacing w:before="0" w:after="80" w:line="300" w:lineRule="auto"/>
      </w:pPr>
      <w:r>
        <w:rPr>
          <w:rFonts w:ascii="Microsoft YaHei" w:hAnsi="Microsoft YaHei" w:eastAsia="Microsoft YaHei" w:cs="Microsoft YaHei"/>
          <w:b w:val="0"/>
          <w:sz w:val="22"/>
        </w:rPr>
        <w:t>第三层是未来方向。对于需要更大模型或更大数据才能公平验证的方案，例如 RoPE-property、预训练 token、prototype motif 和 attention-compatible property channels，论文中应降级为 future work，而不是在本地轻量实验上过度宣称。</w:t>
      </w:r>
    </w:p>
    <w:p>
      <w:pPr>
        <w:spacing w:before="0" w:after="80" w:line="300" w:lineRule="auto"/>
      </w:pPr>
      <w:r>
        <w:rPr>
          <w:rFonts w:ascii="Microsoft YaHei" w:hAnsi="Microsoft YaHei" w:eastAsia="Microsoft YaHei" w:cs="Microsoft YaHei"/>
          <w:b w:val="0"/>
          <w:sz w:val="22"/>
        </w:rPr>
        <w:t>因此，准确说法不是“早期有对比，后来把效果不好的方案抛弃了”，而是：</w:t>
      </w:r>
    </w:p>
    <w:p>
      <w:pPr>
        <w:shd w:fill="F4F6F9"/>
        <w:spacing w:before="0" w:after="0" w:line="280" w:lineRule="auto"/>
      </w:pPr>
      <w:r>
        <w:rPr>
          <w:rFonts w:ascii="Consolas" w:hAnsi="Consolas" w:eastAsia="Consolas" w:cs="Consolas"/>
          <w:sz w:val="18"/>
        </w:rPr>
        <w:t>早期探索用于确定候选空间和排除不稳定主张；</w:t>
      </w:r>
    </w:p>
    <w:p>
      <w:pPr>
        <w:shd w:fill="F4F6F9"/>
        <w:spacing w:before="0" w:after="0" w:line="280" w:lineRule="auto"/>
      </w:pPr>
      <w:r>
        <w:rPr>
          <w:rFonts w:ascii="Consolas" w:hAnsi="Consolas" w:eastAsia="Consolas" w:cs="Consolas"/>
          <w:sz w:val="18"/>
        </w:rPr>
        <w:t>核心网格用于回答本文最重要、证据最充分的问题；</w:t>
      </w:r>
    </w:p>
    <w:p>
      <w:pPr>
        <w:shd w:fill="F4F6F9"/>
        <w:spacing w:before="0" w:after="0" w:line="280" w:lineRule="auto"/>
      </w:pPr>
      <w:r>
        <w:rPr>
          <w:rFonts w:ascii="Consolas" w:hAnsi="Consolas" w:eastAsia="Consolas" w:cs="Consolas"/>
          <w:sz w:val="18"/>
        </w:rPr>
        <w:t>模型依赖或证据不足的方向保留为补充材料、讨论或后续研究。</w:t>
      </w:r>
    </w:p>
    <w:p/>
    <w:p>
      <w:pPr>
        <w:spacing w:before="0" w:after="80" w:line="300" w:lineRule="auto"/>
      </w:pPr>
      <w:r>
        <w:rPr>
          <w:rFonts w:ascii="Microsoft YaHei" w:hAnsi="Microsoft YaHei" w:eastAsia="Microsoft YaHei" w:cs="Microsoft YaHei"/>
          <w:b w:val="0"/>
          <w:sz w:val="22"/>
        </w:rPr>
        <w:t>这样写对审稿更稳妥。审稿人能看到我们不是只挑了一个新方法和弱基线比较，也能看到我们没有把证据不足的早期想法包装成主结论。</w:t>
      </w:r>
    </w:p>
    <w:p>
      <w:pPr>
        <w:pStyle w:val="Heading1"/>
      </w:pPr>
      <w:r>
        <w:rPr>
          <w:rFonts w:ascii="Microsoft YaHei" w:hAnsi="Microsoft YaHei" w:eastAsia="Microsoft YaHei" w:cs="Microsoft YaHei"/>
          <w:b/>
          <w:sz w:val="32"/>
        </w:rPr>
        <w:t>6. 实验设计：为什么用 WGS-derived reads</w:t>
      </w:r>
    </w:p>
    <w:p>
      <w:pPr>
        <w:spacing w:before="0" w:after="80" w:line="300" w:lineRule="auto"/>
      </w:pPr>
      <w:r>
        <w:rPr>
          <w:rFonts w:ascii="Microsoft YaHei" w:hAnsi="Microsoft YaHei" w:eastAsia="Microsoft YaHei" w:cs="Microsoft YaHei"/>
          <w:b w:val="0"/>
          <w:sz w:val="22"/>
        </w:rPr>
        <w:t>本项目需要的是 read-level ground truth 和可控扰动。真实临床 mNGS 数据往往有样本级诊断标签，但很难知道每一条 read 的真实来源、真实突变状态和真实扰动强度。因此，用 WGS 参考基因组切片生成 reads 是合理的受控方法。</w:t>
      </w:r>
    </w:p>
    <w:p>
      <w:pPr>
        <w:spacing w:before="0" w:after="80" w:line="300" w:lineRule="auto"/>
      </w:pPr>
      <w:r>
        <w:rPr>
          <w:rFonts w:ascii="Microsoft YaHei" w:hAnsi="Microsoft YaHei" w:eastAsia="Microsoft YaHei" w:cs="Microsoft YaHei"/>
          <w:b w:val="0"/>
          <w:sz w:val="22"/>
        </w:rPr>
        <w:t>我们当前使用 21 个 WGS 参考基因组，覆盖 6 个临床相关属：</w:t>
      </w:r>
    </w:p>
    <w:p>
      <w:pPr>
        <w:pStyle w:val="ListBullet"/>
        <w:spacing w:before="0" w:after="60" w:line="300" w:lineRule="auto"/>
      </w:pPr>
      <w:r>
        <w:rPr>
          <w:rFonts w:ascii="Microsoft YaHei" w:hAnsi="Microsoft YaHei" w:eastAsia="Microsoft YaHei" w:cs="Microsoft YaHei"/>
          <w:b w:val="0"/>
          <w:sz w:val="22"/>
        </w:rPr>
        <w:t>Acinetobacter；</w:t>
      </w:r>
    </w:p>
    <w:p>
      <w:pPr>
        <w:pStyle w:val="ListBullet"/>
        <w:spacing w:before="0" w:after="60" w:line="300" w:lineRule="auto"/>
      </w:pPr>
      <w:r>
        <w:rPr>
          <w:rFonts w:ascii="Microsoft YaHei" w:hAnsi="Microsoft YaHei" w:eastAsia="Microsoft YaHei" w:cs="Microsoft YaHei"/>
          <w:b w:val="0"/>
          <w:sz w:val="22"/>
        </w:rPr>
        <w:t>Burkholderia；</w:t>
      </w:r>
    </w:p>
    <w:p>
      <w:pPr>
        <w:pStyle w:val="ListBullet"/>
        <w:spacing w:before="0" w:after="60" w:line="300" w:lineRule="auto"/>
      </w:pPr>
      <w:r>
        <w:rPr>
          <w:rFonts w:ascii="Microsoft YaHei" w:hAnsi="Microsoft YaHei" w:eastAsia="Microsoft YaHei" w:cs="Microsoft YaHei"/>
          <w:b w:val="0"/>
          <w:sz w:val="22"/>
        </w:rPr>
        <w:t>Candida；</w:t>
      </w:r>
    </w:p>
    <w:p>
      <w:pPr>
        <w:pStyle w:val="ListBullet"/>
        <w:spacing w:before="0" w:after="60" w:line="300" w:lineRule="auto"/>
      </w:pPr>
      <w:r>
        <w:rPr>
          <w:rFonts w:ascii="Microsoft YaHei" w:hAnsi="Microsoft YaHei" w:eastAsia="Microsoft YaHei" w:cs="Microsoft YaHei"/>
          <w:b w:val="0"/>
          <w:sz w:val="22"/>
        </w:rPr>
        <w:t>Enterobacter；</w:t>
      </w:r>
    </w:p>
    <w:p>
      <w:pPr>
        <w:pStyle w:val="ListBullet"/>
        <w:spacing w:before="0" w:after="60" w:line="300" w:lineRule="auto"/>
      </w:pPr>
      <w:r>
        <w:rPr>
          <w:rFonts w:ascii="Microsoft YaHei" w:hAnsi="Microsoft YaHei" w:eastAsia="Microsoft YaHei" w:cs="Microsoft YaHei"/>
          <w:b w:val="0"/>
          <w:sz w:val="22"/>
        </w:rPr>
        <w:t>Escherichia；</w:t>
      </w:r>
    </w:p>
    <w:p>
      <w:pPr>
        <w:pStyle w:val="ListBullet"/>
        <w:spacing w:before="0" w:after="60" w:line="300" w:lineRule="auto"/>
      </w:pPr>
      <w:r>
        <w:rPr>
          <w:rFonts w:ascii="Microsoft YaHei" w:hAnsi="Microsoft YaHei" w:eastAsia="Microsoft YaHei" w:cs="Microsoft YaHei"/>
          <w:b w:val="0"/>
          <w:sz w:val="22"/>
        </w:rPr>
        <w:t>Klebsiella。</w:t>
      </w:r>
    </w:p>
    <w:p>
      <w:pPr>
        <w:spacing w:before="0" w:after="80" w:line="300" w:lineRule="auto"/>
      </w:pPr>
      <w:r>
        <w:rPr>
          <w:rFonts w:ascii="Microsoft YaHei" w:hAnsi="Microsoft YaHei" w:eastAsia="Microsoft YaHei" w:cs="Microsoft YaHei"/>
          <w:b w:val="0"/>
          <w:sz w:val="22"/>
        </w:rPr>
        <w:t>实验不是为了声称覆盖所有临床 mNGS 情况，而是为了控制变量：固定物种来源、读长、扰动类型和表征方式，然后观察不同表征的信息保持差异。</w:t>
      </w:r>
    </w:p>
    <w:p>
      <w:pPr>
        <w:pStyle w:val="Heading1"/>
      </w:pPr>
      <w:r>
        <w:rPr>
          <w:rFonts w:ascii="Microsoft YaHei" w:hAnsi="Microsoft YaHei" w:eastAsia="Microsoft YaHei" w:cs="Microsoft YaHei"/>
          <w:b/>
          <w:sz w:val="32"/>
        </w:rPr>
        <w:t>7. 实验网格</w:t>
      </w:r>
    </w:p>
    <w:p>
      <w:pPr>
        <w:pStyle w:val="Heading2"/>
      </w:pPr>
      <w:r>
        <w:rPr>
          <w:rFonts w:ascii="Microsoft YaHei" w:hAnsi="Microsoft YaHei" w:eastAsia="Microsoft YaHei" w:cs="Microsoft YaHei"/>
          <w:b/>
          <w:sz w:val="26"/>
        </w:rPr>
        <w:t>7.1 读长设置</w:t>
      </w:r>
    </w:p>
    <w:p>
      <w:pPr>
        <w:spacing w:before="0" w:after="80" w:line="300" w:lineRule="auto"/>
      </w:pPr>
      <w:r>
        <w:rPr>
          <w:rFonts w:ascii="Microsoft YaHei" w:hAnsi="Microsoft YaHei" w:eastAsia="Microsoft YaHei" w:cs="Microsoft YaHei"/>
          <w:b w:val="0"/>
          <w:sz w:val="22"/>
        </w:rPr>
        <w:t>我们重点覆盖了医院短读长场景和更长读长对照：</w:t>
      </w:r>
    </w:p>
    <w:p>
      <w:pPr>
        <w:shd w:fill="F4F6F9"/>
        <w:spacing w:before="0" w:after="0" w:line="280" w:lineRule="auto"/>
      </w:pPr>
      <w:r>
        <w:rPr>
          <w:rFonts w:ascii="Consolas" w:hAnsi="Consolas" w:eastAsia="Consolas" w:cs="Consolas"/>
          <w:sz w:val="18"/>
        </w:rPr>
        <w:t>69, 75, 100, 110, 125, 150 bp, PE150 proxy</w:t>
      </w:r>
    </w:p>
    <w:p/>
    <w:p>
      <w:pPr>
        <w:spacing w:before="0" w:after="80" w:line="300" w:lineRule="auto"/>
      </w:pPr>
      <w:r>
        <w:rPr>
          <w:rFonts w:ascii="Microsoft YaHei" w:hAnsi="Microsoft YaHei" w:eastAsia="Microsoft YaHei" w:cs="Microsoft YaHei"/>
          <w:b w:val="0"/>
          <w:sz w:val="22"/>
        </w:rPr>
        <w:t>其中 69/75 bp 用来模拟单端短读长和质控后读长，100/110/125/150 bp 用来观察信息随长度增长的变化，PE150 proxy 用来近似双端测序信息增加后的情况。</w:t>
      </w:r>
    </w:p>
    <w:p>
      <w:pPr>
        <w:pStyle w:val="Heading2"/>
      </w:pPr>
      <w:r>
        <w:rPr>
          <w:rFonts w:ascii="Microsoft YaHei" w:hAnsi="Microsoft YaHei" w:eastAsia="Microsoft YaHei" w:cs="Microsoft YaHei"/>
          <w:b/>
          <w:sz w:val="26"/>
        </w:rPr>
        <w:t>7.2 扰动设置</w:t>
      </w:r>
    </w:p>
    <w:p>
      <w:pPr>
        <w:spacing w:before="0" w:after="80" w:line="300" w:lineRule="auto"/>
      </w:pPr>
      <w:r>
        <w:rPr>
          <w:rFonts w:ascii="Microsoft YaHei" w:hAnsi="Microsoft YaHei" w:eastAsia="Microsoft YaHei" w:cs="Microsoft YaHei"/>
          <w:b w:val="0"/>
          <w:sz w:val="22"/>
        </w:rPr>
        <w:t>我们构建了多种输入扰动：</w:t>
      </w:r>
    </w:p>
    <w:p>
      <w:pPr>
        <w:pStyle w:val="ListBullet"/>
        <w:spacing w:before="0" w:after="60" w:line="300" w:lineRule="auto"/>
      </w:pPr>
      <w:r>
        <w:rPr>
          <w:rFonts w:ascii="Microsoft YaHei" w:hAnsi="Microsoft YaHei" w:eastAsia="Microsoft YaHei" w:cs="Microsoft YaHei"/>
          <w:b w:val="0"/>
          <w:sz w:val="22"/>
        </w:rPr>
        <w:t>clean；</w:t>
      </w:r>
    </w:p>
    <w:p>
      <w:pPr>
        <w:pStyle w:val="ListBullet"/>
        <w:spacing w:before="0" w:after="60" w:line="300" w:lineRule="auto"/>
      </w:pPr>
      <w:r>
        <w:rPr>
          <w:rFonts w:ascii="Microsoft YaHei" w:hAnsi="Microsoft YaHei" w:eastAsia="Microsoft YaHei" w:cs="Microsoft YaHei"/>
          <w:b w:val="0"/>
          <w:sz w:val="22"/>
        </w:rPr>
        <w:t>1% substitution；</w:t>
      </w:r>
    </w:p>
    <w:p>
      <w:pPr>
        <w:pStyle w:val="ListBullet"/>
        <w:spacing w:before="0" w:after="60" w:line="300" w:lineRule="auto"/>
      </w:pPr>
      <w:r>
        <w:rPr>
          <w:rFonts w:ascii="Microsoft YaHei" w:hAnsi="Microsoft YaHei" w:eastAsia="Microsoft YaHei" w:cs="Microsoft YaHei"/>
          <w:b w:val="0"/>
          <w:sz w:val="22"/>
        </w:rPr>
        <w:t>3% N mask；</w:t>
      </w:r>
    </w:p>
    <w:p>
      <w:pPr>
        <w:pStyle w:val="ListBullet"/>
        <w:spacing w:before="0" w:after="60" w:line="300" w:lineRule="auto"/>
      </w:pPr>
      <w:r>
        <w:rPr>
          <w:rFonts w:ascii="Microsoft YaHei" w:hAnsi="Microsoft YaHei" w:eastAsia="Microsoft YaHei" w:cs="Microsoft YaHei"/>
          <w:b w:val="0"/>
          <w:sz w:val="22"/>
        </w:rPr>
        <w:t>trim；</w:t>
      </w:r>
    </w:p>
    <w:p>
      <w:pPr>
        <w:pStyle w:val="ListBullet"/>
        <w:spacing w:before="0" w:after="60" w:line="300" w:lineRule="auto"/>
      </w:pPr>
      <w:r>
        <w:rPr>
          <w:rFonts w:ascii="Microsoft YaHei" w:hAnsi="Microsoft YaHei" w:eastAsia="Microsoft YaHei" w:cs="Microsoft YaHei"/>
          <w:b w:val="0"/>
          <w:sz w:val="22"/>
        </w:rPr>
        <w:t>1% substitution + 3% N；</w:t>
      </w:r>
    </w:p>
    <w:p>
      <w:pPr>
        <w:pStyle w:val="ListBullet"/>
        <w:spacing w:before="0" w:after="60" w:line="300" w:lineRule="auto"/>
      </w:pPr>
      <w:r>
        <w:rPr>
          <w:rFonts w:ascii="Microsoft YaHei" w:hAnsi="Microsoft YaHei" w:eastAsia="Microsoft YaHei" w:cs="Microsoft YaHei"/>
          <w:b w:val="0"/>
          <w:sz w:val="22"/>
        </w:rPr>
        <w:t>短 indel；</w:t>
      </w:r>
    </w:p>
    <w:p>
      <w:pPr>
        <w:pStyle w:val="ListBullet"/>
        <w:spacing w:before="0" w:after="60" w:line="300" w:lineRule="auto"/>
      </w:pPr>
      <w:r>
        <w:rPr>
          <w:rFonts w:ascii="Microsoft YaHei" w:hAnsi="Microsoft YaHei" w:eastAsia="Microsoft YaHei" w:cs="Microsoft YaHei"/>
          <w:b w:val="0"/>
          <w:sz w:val="22"/>
        </w:rPr>
        <w:t>6-bp local mismatch。</w:t>
      </w:r>
    </w:p>
    <w:p>
      <w:pPr>
        <w:spacing w:before="0" w:after="80" w:line="300" w:lineRule="auto"/>
      </w:pPr>
      <w:r>
        <w:rPr>
          <w:rFonts w:ascii="Microsoft YaHei" w:hAnsi="Microsoft YaHei" w:eastAsia="Microsoft YaHei" w:cs="Microsoft YaHei"/>
          <w:b w:val="0"/>
          <w:sz w:val="22"/>
        </w:rPr>
        <w:t>这些扰动不是“多物种污染”的含义，而是模拟测序错误、N 碱基、不完整读长、局部错配或真实轻微变异导致的 read 与标准参考不完全一致。</w:t>
      </w:r>
    </w:p>
    <w:p>
      <w:pPr>
        <w:pStyle w:val="Heading2"/>
      </w:pPr>
      <w:r>
        <w:rPr>
          <w:rFonts w:ascii="Microsoft YaHei" w:hAnsi="Microsoft YaHei" w:eastAsia="Microsoft YaHei" w:cs="Microsoft YaHei"/>
          <w:b/>
          <w:sz w:val="26"/>
        </w:rPr>
        <w:t>7.3 指标设置</w:t>
      </w:r>
    </w:p>
    <w:p>
      <w:pPr>
        <w:spacing w:before="0" w:after="80" w:line="300" w:lineRule="auto"/>
      </w:pPr>
      <w:r>
        <w:rPr>
          <w:rFonts w:ascii="Microsoft YaHei" w:hAnsi="Microsoft YaHei" w:eastAsia="Microsoft YaHei" w:cs="Microsoft YaHei"/>
          <w:b w:val="0"/>
          <w:sz w:val="22"/>
        </w:rPr>
        <w:t>主指标不是临床准确率，而是表征层的信息保持：</w:t>
      </w:r>
    </w:p>
    <w:p>
      <w:pPr>
        <w:pStyle w:val="ListBullet"/>
        <w:spacing w:before="0" w:after="60" w:line="300" w:lineRule="auto"/>
      </w:pPr>
      <w:r>
        <w:rPr>
          <w:rFonts w:ascii="Microsoft YaHei" w:hAnsi="Microsoft YaHei" w:eastAsia="Microsoft YaHei" w:cs="Microsoft YaHei"/>
          <w:b w:val="0"/>
          <w:sz w:val="22"/>
        </w:rPr>
        <w:t>clean-perturbed paired cosine；</w:t>
      </w:r>
    </w:p>
    <w:p>
      <w:pPr>
        <w:pStyle w:val="ListBullet"/>
        <w:spacing w:before="0" w:after="60" w:line="300" w:lineRule="auto"/>
      </w:pPr>
      <w:r>
        <w:rPr>
          <w:rFonts w:ascii="Microsoft YaHei" w:hAnsi="Microsoft YaHei" w:eastAsia="Microsoft YaHei" w:cs="Microsoft YaHei"/>
          <w:b w:val="0"/>
          <w:sz w:val="22"/>
        </w:rPr>
        <w:t>L2 drift；</w:t>
      </w:r>
    </w:p>
    <w:p>
      <w:pPr>
        <w:pStyle w:val="ListBullet"/>
        <w:spacing w:before="0" w:after="60" w:line="300" w:lineRule="auto"/>
      </w:pPr>
      <w:r>
        <w:rPr>
          <w:rFonts w:ascii="Microsoft YaHei" w:hAnsi="Microsoft YaHei" w:eastAsia="Microsoft YaHei" w:cs="Microsoft YaHei"/>
          <w:b w:val="0"/>
          <w:sz w:val="22"/>
        </w:rPr>
        <w:t>nearest-clean retrieval；</w:t>
      </w:r>
    </w:p>
    <w:p>
      <w:pPr>
        <w:pStyle w:val="ListBullet"/>
        <w:spacing w:before="0" w:after="60" w:line="300" w:lineRule="auto"/>
      </w:pPr>
      <w:r>
        <w:rPr>
          <w:rFonts w:ascii="Microsoft YaHei" w:hAnsi="Microsoft YaHei" w:eastAsia="Microsoft YaHei" w:cs="Microsoft YaHei"/>
          <w:b w:val="0"/>
          <w:sz w:val="22"/>
        </w:rPr>
        <w:t>feature dimension；</w:t>
      </w:r>
    </w:p>
    <w:p>
      <w:pPr>
        <w:pStyle w:val="ListBullet"/>
        <w:spacing w:before="0" w:after="60" w:line="300" w:lineRule="auto"/>
      </w:pPr>
      <w:r>
        <w:rPr>
          <w:rFonts w:ascii="Microsoft YaHei" w:hAnsi="Microsoft YaHei" w:eastAsia="Microsoft YaHei" w:cs="Microsoft YaHei"/>
          <w:b w:val="0"/>
          <w:sz w:val="22"/>
        </w:rPr>
        <w:t>feature density；</w:t>
      </w:r>
    </w:p>
    <w:p>
      <w:pPr>
        <w:pStyle w:val="ListBullet"/>
        <w:spacing w:before="0" w:after="60" w:line="300" w:lineRule="auto"/>
      </w:pPr>
      <w:r>
        <w:rPr>
          <w:rFonts w:ascii="Microsoft YaHei" w:hAnsi="Microsoft YaHei" w:eastAsia="Microsoft YaHei" w:cs="Microsoft YaHei"/>
          <w:b w:val="0"/>
          <w:sz w:val="22"/>
        </w:rPr>
        <w:t>observed vocabulary coverage。</w:t>
      </w:r>
    </w:p>
    <w:p>
      <w:pPr>
        <w:spacing w:before="0" w:after="80" w:line="300" w:lineRule="auto"/>
      </w:pPr>
      <w:r>
        <w:rPr>
          <w:rFonts w:ascii="Microsoft YaHei" w:hAnsi="Microsoft YaHei" w:eastAsia="Microsoft YaHei" w:cs="Microsoft YaHei"/>
          <w:b w:val="0"/>
          <w:sz w:val="22"/>
        </w:rPr>
        <w:t>下游 readout 只作为辅助探针：</w:t>
      </w:r>
    </w:p>
    <w:p>
      <w:pPr>
        <w:pStyle w:val="ListBullet"/>
        <w:spacing w:before="0" w:after="60" w:line="300" w:lineRule="auto"/>
      </w:pPr>
      <w:r>
        <w:rPr>
          <w:rFonts w:ascii="Microsoft YaHei" w:hAnsi="Microsoft YaHei" w:eastAsia="Microsoft YaHei" w:cs="Microsoft YaHei"/>
          <w:b w:val="0"/>
          <w:sz w:val="22"/>
        </w:rPr>
        <w:t>nearest centroid；</w:t>
      </w:r>
    </w:p>
    <w:p>
      <w:pPr>
        <w:pStyle w:val="ListBullet"/>
        <w:spacing w:before="0" w:after="60" w:line="300" w:lineRule="auto"/>
      </w:pPr>
      <w:r>
        <w:rPr>
          <w:rFonts w:ascii="Microsoft YaHei" w:hAnsi="Microsoft YaHei" w:eastAsia="Microsoft YaHei" w:cs="Microsoft YaHei"/>
          <w:b w:val="0"/>
          <w:sz w:val="22"/>
        </w:rPr>
        <w:t>logistic regression；</w:t>
      </w:r>
    </w:p>
    <w:p>
      <w:pPr>
        <w:pStyle w:val="ListBullet"/>
        <w:spacing w:before="0" w:after="60" w:line="300" w:lineRule="auto"/>
      </w:pPr>
      <w:r>
        <w:rPr>
          <w:rFonts w:ascii="Microsoft YaHei" w:hAnsi="Microsoft YaHei" w:eastAsia="Microsoft YaHei" w:cs="Microsoft YaHei"/>
          <w:b w:val="0"/>
          <w:sz w:val="22"/>
        </w:rPr>
        <w:t>MLP；</w:t>
      </w:r>
    </w:p>
    <w:p>
      <w:pPr>
        <w:pStyle w:val="ListBullet"/>
        <w:spacing w:before="0" w:after="60" w:line="300" w:lineRule="auto"/>
      </w:pPr>
      <w:r>
        <w:rPr>
          <w:rFonts w:ascii="Microsoft YaHei" w:hAnsi="Microsoft YaHei" w:eastAsia="Microsoft YaHei" w:cs="Microsoft YaHei"/>
          <w:b w:val="0"/>
          <w:sz w:val="22"/>
        </w:rPr>
        <w:t>1D-CNN；</w:t>
      </w:r>
    </w:p>
    <w:p>
      <w:pPr>
        <w:pStyle w:val="ListBullet"/>
        <w:spacing w:before="0" w:after="60" w:line="300" w:lineRule="auto"/>
      </w:pPr>
      <w:r>
        <w:rPr>
          <w:rFonts w:ascii="Microsoft YaHei" w:hAnsi="Microsoft YaHei" w:eastAsia="Microsoft YaHei" w:cs="Microsoft YaHei"/>
          <w:b w:val="0"/>
          <w:sz w:val="22"/>
        </w:rPr>
        <w:t>tiny Transformer。</w:t>
      </w:r>
    </w:p>
    <w:p>
      <w:pPr>
        <w:spacing w:before="0" w:after="80" w:line="300" w:lineRule="auto"/>
      </w:pPr>
      <w:r>
        <w:rPr>
          <w:rFonts w:ascii="Microsoft YaHei" w:hAnsi="Microsoft YaHei" w:eastAsia="Microsoft YaHei" w:cs="Microsoft YaHei"/>
          <w:b w:val="0"/>
          <w:sz w:val="22"/>
        </w:rPr>
        <w:t>这些模型的作用是看表征是否容易被轻量读出，而不是证明真实临床分类器已经完成。</w:t>
      </w:r>
    </w:p>
    <w:p>
      <w:pPr>
        <w:pStyle w:val="Heading1"/>
      </w:pPr>
      <w:r>
        <w:rPr>
          <w:rFonts w:ascii="Microsoft YaHei" w:hAnsi="Microsoft YaHei" w:eastAsia="Microsoft YaHei" w:cs="Microsoft YaHei"/>
          <w:b/>
          <w:sz w:val="32"/>
        </w:rPr>
        <w:t>8. 主实验结果一：CSP 在扰动稳定性上最强</w:t>
      </w:r>
    </w:p>
    <w:p>
      <w:pPr>
        <w:spacing w:before="0" w:after="80" w:line="300" w:lineRule="auto"/>
      </w:pPr>
      <w:r>
        <w:rPr>
          <w:rFonts w:ascii="Microsoft YaHei" w:hAnsi="Microsoft YaHei" w:eastAsia="Microsoft YaHei" w:cs="Microsoft YaHei"/>
          <w:b w:val="0"/>
          <w:sz w:val="22"/>
        </w:rPr>
        <w:t>在 WGS-slice 网格中，CSP 在 42/42 个“读长 × 扰动”组合中都是 clean-perturbed stability 的最优表征。平均来看：</w:t>
      </w:r>
    </w:p>
    <w:tbl>
      <w:tblPr>
        <w:tblStyle w:val="TableGrid"/>
        <w:tblW w:type="dxa" w:w="9360"/>
        <w:jc w:val="center"/>
        <w:tblLayout w:type="fixed"/>
        <w:tblLook w:firstColumn="1" w:firstRow="1" w:lastColumn="0" w:lastRow="0" w:noHBand="0" w:noVBand="1" w:val="04A0"/>
        <w:tblInd w:type="dxa" w:w="120"/>
      </w:tblPr>
      <w:tblGrid>
        <w:gridCol w:w="1872"/>
        <w:gridCol w:w="1872"/>
        <w:gridCol w:w="1872"/>
        <w:gridCol w:w="1872"/>
        <w:gridCol w:w="1872"/>
      </w:tblGrid>
      <w:tr>
        <w:tc>
          <w:tcPr>
            <w:tcW w:type="dxa" w:w="18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比较</w:t>
            </w:r>
          </w:p>
        </w:tc>
        <w:tc>
          <w:tcPr>
            <w:tcW w:type="dxa" w:w="26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平均 cosine gain</w:t>
            </w:r>
          </w:p>
        </w:tc>
        <w:tc>
          <w:tcPr>
            <w:tcW w:type="dxa" w:w="19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最小 gain</w:t>
            </w:r>
          </w:p>
        </w:tc>
        <w:tc>
          <w:tcPr>
            <w:tcW w:type="dxa" w:w="15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最大 gain</w:t>
            </w:r>
          </w:p>
        </w:tc>
        <w:tc>
          <w:tcPr>
            <w:tcW w:type="dxa" w:w="156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胜出次数</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 相对 canonical 5-mer</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0.045</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0.004</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0.111</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42/42</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 相对 canonical 7-mer</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0.080</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0.008</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0.163</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42/42</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 相对 canonical spaced seed</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0.028</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0.002</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0.102</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42/42</w:t>
            </w:r>
          </w:p>
        </w:tc>
      </w:tr>
      <w:tr>
        <w:tc>
          <w:tcPr>
            <w:tcW w:type="dxa" w:w="18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 相对 canonical 5-mer + CSP</w:t>
            </w:r>
          </w:p>
        </w:tc>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0.022</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0.002</w:t>
            </w:r>
          </w:p>
        </w:tc>
        <w:tc>
          <w:tcPr>
            <w:tcW w:type="dxa" w:w="15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0.055</w:t>
            </w:r>
          </w:p>
        </w:tc>
        <w:tc>
          <w:tcPr>
            <w:tcW w:type="dxa" w:w="15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42/42</w:t>
            </w:r>
          </w:p>
        </w:tc>
      </w:tr>
    </w:tbl>
    <w:p>
      <w:pPr>
        <w:spacing w:before="0" w:after="80" w:line="300" w:lineRule="auto"/>
      </w:pPr>
    </w:p>
    <w:p>
      <w:pPr>
        <w:spacing w:before="0" w:after="80" w:line="300" w:lineRule="auto"/>
      </w:pPr>
      <w:r>
        <w:rPr>
          <w:rFonts w:ascii="Microsoft YaHei" w:hAnsi="Microsoft YaHei" w:eastAsia="Microsoft YaHei" w:cs="Microsoft YaHei"/>
          <w:b w:val="0"/>
          <w:sz w:val="22"/>
        </w:rPr>
        <w:t>这说明 CSP 的优势不是某一个读长或某一个扰动条件下的偶然现象，而是在受控网格中表现出稳定的 perturbation-preserving 特征。</w:t>
      </w:r>
    </w:p>
    <w:p>
      <w:pPr>
        <w:pStyle w:val="Heading1"/>
      </w:pPr>
      <w:r>
        <w:rPr>
          <w:rFonts w:ascii="Microsoft YaHei" w:hAnsi="Microsoft YaHei" w:eastAsia="Microsoft YaHei" w:cs="Microsoft YaHei"/>
          <w:b/>
          <w:sz w:val="32"/>
        </w:rPr>
        <w:t>9. 主实验结果二：69/75 bp 医院式场景中优势最清楚</w:t>
      </w:r>
    </w:p>
    <w:p>
      <w:pPr>
        <w:spacing w:before="0" w:after="80" w:line="300" w:lineRule="auto"/>
      </w:pPr>
      <w:r>
        <w:rPr>
          <w:rFonts w:ascii="Microsoft YaHei" w:hAnsi="Microsoft YaHei" w:eastAsia="Microsoft YaHei" w:cs="Microsoft YaHei"/>
          <w:b w:val="0"/>
          <w:sz w:val="22"/>
        </w:rPr>
        <w:t>69/75 bp 是本项目最重要的应用动机。以 69 bp 为例：</w:t>
      </w:r>
    </w:p>
    <w:tbl>
      <w:tblPr>
        <w:tblStyle w:val="TableGrid"/>
        <w:tblW w:type="dxa" w:w="9360"/>
        <w:jc w:val="center"/>
        <w:tblLayout w:type="fixed"/>
        <w:tblLook w:firstColumn="1" w:firstRow="1" w:lastColumn="0" w:lastRow="0" w:noHBand="0" w:noVBand="1" w:val="04A0"/>
        <w:tblInd w:type="dxa" w:w="120"/>
      </w:tblPr>
      <w:tblGrid>
        <w:gridCol w:w="2340"/>
        <w:gridCol w:w="2340"/>
        <w:gridCol w:w="2340"/>
        <w:gridCol w:w="2340"/>
      </w:tblGrid>
      <w:tr>
        <w:tc>
          <w:tcPr>
            <w:tcW w:type="dxa" w:w="26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扰动</w:t>
            </w:r>
          </w:p>
        </w:tc>
        <w:tc>
          <w:tcPr>
            <w:tcW w:type="dxa" w:w="29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表征</w:t>
            </w:r>
          </w:p>
        </w:tc>
        <w:tc>
          <w:tcPr>
            <w:tcW w:type="dxa" w:w="19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mean paired cosine</w:t>
            </w:r>
          </w:p>
        </w:tc>
        <w:tc>
          <w:tcPr>
            <w:tcW w:type="dxa" w:w="196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mean L2 drift</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 substitution</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5-mer</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0.963</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0.182</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 substitution</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spaced seed</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0.977</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0.142</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 substitution</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0.998</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0.047</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3% N mask</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5-mer</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0.940</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0.344</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3% N mask</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spaced seed</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0.963</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0.270</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3% N mask</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0.994</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0.107</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 substitution + 3% N</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5-mer</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0.902</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0.428</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 substitution + 3% N</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spaced seed</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0.938</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0.340</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 substitution + 3% N</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0.991</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0.128</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6-bp local mismatch</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5-mer</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0.877</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0.494</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6-bp local mismatch</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spaced seed</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0.885</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0.476</w:t>
            </w:r>
          </w:p>
        </w:tc>
      </w:tr>
      <w:tr>
        <w:tc>
          <w:tcPr>
            <w:tcW w:type="dxa" w:w="26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6-bp local mismatch</w:t>
            </w:r>
          </w:p>
        </w:tc>
        <w:tc>
          <w:tcPr>
            <w:tcW w:type="dxa" w:w="2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w:t>
            </w:r>
          </w:p>
        </w:tc>
        <w:tc>
          <w:tcPr>
            <w:tcW w:type="dxa" w:w="19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0.988</w:t>
            </w:r>
          </w:p>
        </w:tc>
        <w:tc>
          <w:tcPr>
            <w:tcW w:type="dxa" w:w="1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0.157</w:t>
            </w:r>
          </w:p>
        </w:tc>
      </w:tr>
    </w:tbl>
    <w:p>
      <w:pPr>
        <w:spacing w:before="0" w:after="80" w:line="300" w:lineRule="auto"/>
      </w:pPr>
    </w:p>
    <w:p>
      <w:pPr>
        <w:spacing w:before="0" w:after="80" w:line="300" w:lineRule="auto"/>
      </w:pPr>
      <w:r>
        <w:rPr>
          <w:rFonts w:ascii="Microsoft YaHei" w:hAnsi="Microsoft YaHei" w:eastAsia="Microsoft YaHei" w:cs="Microsoft YaHei"/>
          <w:b w:val="0"/>
          <w:sz w:val="22"/>
        </w:rPr>
        <w:t>这个结果支持一个比较明确的结论：当 reads 很短，而且存在 N、替换或局部错配时，连续 k-mer 的向量漂移更明显，而 CSP 更能把 perturbed read 保持在 clean read 附近。</w:t>
      </w:r>
    </w:p>
    <w:p>
      <w:pPr>
        <w:spacing w:before="0" w:after="80" w:line="300" w:lineRule="auto"/>
      </w:pPr>
      <w:r>
        <w:rPr>
          <w:rFonts w:ascii="Microsoft YaHei" w:hAnsi="Microsoft YaHei" w:eastAsia="Microsoft YaHei" w:cs="Microsoft YaHei"/>
          <w:b w:val="0"/>
          <w:sz w:val="22"/>
        </w:rPr>
        <w:t>这里需要注意，稳定性不等于分类准确率。CSP 更稳定，说明它更适合做辅助鲁棒特征；但精确物种、菌株、ARG allele 或 SNP 判定仍需要高分辨率身份信息。</w:t>
      </w:r>
    </w:p>
    <w:p>
      <w:pPr>
        <w:pStyle w:val="Heading1"/>
      </w:pPr>
      <w:r>
        <w:rPr>
          <w:rFonts w:ascii="Microsoft YaHei" w:hAnsi="Microsoft YaHei" w:eastAsia="Microsoft YaHei" w:cs="Microsoft YaHei"/>
          <w:b/>
          <w:sz w:val="32"/>
        </w:rPr>
        <w:t>10. 主实验结果三：分类 readout 没有证明 CSP 全面替代 k-mer</w:t>
      </w:r>
    </w:p>
    <w:p>
      <w:pPr>
        <w:spacing w:before="0" w:after="80" w:line="300" w:lineRule="auto"/>
      </w:pPr>
      <w:r>
        <w:rPr>
          <w:rFonts w:ascii="Microsoft YaHei" w:hAnsi="Microsoft YaHei" w:eastAsia="Microsoft YaHei" w:cs="Microsoft YaHei"/>
          <w:b w:val="0"/>
          <w:sz w:val="22"/>
        </w:rPr>
        <w:t>轻量分类 readout 的结果反而帮助我们确认了论文边界。</w:t>
      </w:r>
    </w:p>
    <w:p>
      <w:pPr>
        <w:spacing w:before="0" w:after="80" w:line="300" w:lineRule="auto"/>
      </w:pPr>
      <w:r>
        <w:rPr>
          <w:rFonts w:ascii="Microsoft YaHei" w:hAnsi="Microsoft YaHei" w:eastAsia="Microsoft YaHei" w:cs="Microsoft YaHei"/>
          <w:b w:val="0"/>
          <w:sz w:val="22"/>
        </w:rPr>
        <w:t>在 target/background probe 中，CSP 的 mean macro-F1 为 0.507，canonical 5-mer 为 0.491，canonical spaced seed 为 0.481，差异方向支持 CSP 有一定辅助价值，但绝对值并不高。</w:t>
      </w:r>
    </w:p>
    <w:p>
      <w:pPr>
        <w:spacing w:before="0" w:after="80" w:line="300" w:lineRule="auto"/>
      </w:pPr>
      <w:r>
        <w:rPr>
          <w:rFonts w:ascii="Microsoft YaHei" w:hAnsi="Microsoft YaHei" w:eastAsia="Microsoft YaHei" w:cs="Microsoft YaHei"/>
          <w:b w:val="0"/>
          <w:sz w:val="22"/>
        </w:rPr>
        <w:t>在 within-genus species probe 中，canonical 5-mer 的 mean macro-F1 为 0.309，canonical 7-mer 为 0.307，canonical 5-mer + CSP 为 0.307，CSP 为 0.301。这个结果说明，在近缘属内物种区分中，canonical k-mer 仍然是强基线，CSP 不能被表述为全面替代。</w:t>
      </w:r>
    </w:p>
    <w:p>
      <w:pPr>
        <w:spacing w:before="0" w:after="80" w:line="300" w:lineRule="auto"/>
      </w:pPr>
      <w:r>
        <w:rPr>
          <w:rFonts w:ascii="Microsoft YaHei" w:hAnsi="Microsoft YaHei" w:eastAsia="Microsoft YaHei" w:cs="Microsoft YaHei"/>
          <w:b w:val="0"/>
          <w:sz w:val="22"/>
        </w:rPr>
        <w:t>因此，本研究的主张应该是：</w:t>
      </w:r>
    </w:p>
    <w:p>
      <w:pPr>
        <w:shd w:fill="F4F6F9"/>
        <w:spacing w:before="0" w:after="0" w:line="280" w:lineRule="auto"/>
      </w:pPr>
      <w:r>
        <w:rPr>
          <w:rFonts w:ascii="Consolas" w:hAnsi="Consolas" w:eastAsia="Consolas" w:cs="Consolas"/>
          <w:sz w:val="18"/>
        </w:rPr>
        <w:t>canonical k-mer 负责精确身份信息；</w:t>
      </w:r>
    </w:p>
    <w:p>
      <w:pPr>
        <w:shd w:fill="F4F6F9"/>
        <w:spacing w:before="0" w:after="0" w:line="280" w:lineRule="auto"/>
      </w:pPr>
      <w:r>
        <w:rPr>
          <w:rFonts w:ascii="Consolas" w:hAnsi="Consolas" w:eastAsia="Consolas" w:cs="Consolas"/>
          <w:sz w:val="18"/>
        </w:rPr>
        <w:t>CSP 负责扰动稳定和辅助置信信息；</w:t>
      </w:r>
    </w:p>
    <w:p>
      <w:pPr>
        <w:shd w:fill="F4F6F9"/>
        <w:spacing w:before="0" w:after="0" w:line="280" w:lineRule="auto"/>
      </w:pPr>
      <w:r>
        <w:rPr>
          <w:rFonts w:ascii="Consolas" w:hAnsi="Consolas" w:eastAsia="Consolas" w:cs="Consolas"/>
          <w:sz w:val="18"/>
        </w:rPr>
        <w:t>hybrid 或分层证据更适合真实 mNGS 场景。</w:t>
      </w:r>
    </w:p>
    <w:p/>
    <w:p>
      <w:pPr>
        <w:pStyle w:val="Heading1"/>
      </w:pPr>
      <w:r>
        <w:rPr>
          <w:rFonts w:ascii="Microsoft YaHei" w:hAnsi="Microsoft YaHei" w:eastAsia="Microsoft YaHei" w:cs="Microsoft YaHei"/>
          <w:b/>
          <w:sz w:val="32"/>
        </w:rPr>
        <w:t>11. 主实验结果四：CSP 的优势来自组合，而不是单一属性</w:t>
      </w:r>
    </w:p>
    <w:p>
      <w:pPr>
        <w:spacing w:before="0" w:after="80" w:line="300" w:lineRule="auto"/>
      </w:pPr>
      <w:r>
        <w:rPr>
          <w:rFonts w:ascii="Microsoft YaHei" w:hAnsi="Microsoft YaHei" w:eastAsia="Microsoft YaHei" w:cs="Microsoft YaHei"/>
          <w:b w:val="0"/>
          <w:sz w:val="22"/>
        </w:rPr>
        <w:t>我们做了 CSP 内部消融，把 spaced seed、GC、purine、hydrogen bond、EIIP、N fraction、entropy、length 等组成拆开比较。</w:t>
      </w:r>
    </w:p>
    <w:p>
      <w:pPr>
        <w:spacing w:before="0" w:after="80" w:line="300" w:lineRule="auto"/>
      </w:pPr>
      <w:r>
        <w:rPr>
          <w:rFonts w:ascii="Microsoft YaHei" w:hAnsi="Microsoft YaHei" w:eastAsia="Microsoft YaHei" w:cs="Microsoft YaHei"/>
          <w:b w:val="0"/>
          <w:sz w:val="22"/>
        </w:rPr>
        <w:t>消融结果支持两个判断。</w:t>
      </w:r>
    </w:p>
    <w:p>
      <w:pPr>
        <w:spacing w:before="0" w:after="80" w:line="300" w:lineRule="auto"/>
      </w:pPr>
      <w:r>
        <w:rPr>
          <w:rFonts w:ascii="Microsoft YaHei" w:hAnsi="Microsoft YaHei" w:eastAsia="Microsoft YaHei" w:cs="Microsoft YaHei"/>
          <w:b w:val="0"/>
          <w:sz w:val="22"/>
        </w:rPr>
        <w:t>第一，property block 对稳定性有贡献。只用 canonical spaced seed 已经比连续 k-mer 更稳，但加入生化属性后，CSP 的 clean-perturbed proximity 进一步改善。</w:t>
      </w:r>
    </w:p>
    <w:p>
      <w:pPr>
        <w:spacing w:before="0" w:after="80" w:line="300" w:lineRule="auto"/>
      </w:pPr>
      <w:r>
        <w:rPr>
          <w:rFonts w:ascii="Microsoft YaHei" w:hAnsi="Microsoft YaHei" w:eastAsia="Microsoft YaHei" w:cs="Microsoft YaHei"/>
          <w:b w:val="0"/>
          <w:sz w:val="22"/>
        </w:rPr>
        <w:t>第二，没有任何单一属性可以独立解释全部优势。GC、purine、hydrogen bond、EIIP、N fraction、entropy、length 各自只覆盖某一种信息；完整 CSP 更像一个小型信息摘要集合，把局部 token、链方向和全局生化属性结合起来。</w:t>
      </w:r>
    </w:p>
    <w:p>
      <w:pPr>
        <w:spacing w:before="0" w:after="80" w:line="300" w:lineRule="auto"/>
      </w:pPr>
      <w:r>
        <w:rPr>
          <w:rFonts w:ascii="Microsoft YaHei" w:hAnsi="Microsoft YaHei" w:eastAsia="Microsoft YaHei" w:cs="Microsoft YaHei"/>
          <w:b w:val="0"/>
          <w:sz w:val="22"/>
        </w:rPr>
        <w:t>这点对论文很重要，因为它回答了审稿人可能提出的问题：CSP 不是简单堆特征，而是把多个有文献来源的生物信息先验组织成一个用于短读长扰动诊断的辅助表征。</w:t>
      </w:r>
    </w:p>
    <w:p>
      <w:pPr>
        <w:pStyle w:val="Heading1"/>
      </w:pPr>
      <w:r>
        <w:rPr>
          <w:rFonts w:ascii="Microsoft YaHei" w:hAnsi="Microsoft YaHei" w:eastAsia="Microsoft YaHei" w:cs="Microsoft YaHei"/>
          <w:b/>
          <w:sz w:val="32"/>
        </w:rPr>
        <w:t>12. 主实验结果五：attention 断点不是 125 到 150 的单一跳变</w:t>
      </w:r>
    </w:p>
    <w:p>
      <w:pPr>
        <w:spacing w:before="0" w:after="80" w:line="300" w:lineRule="auto"/>
      </w:pPr>
      <w:r>
        <w:rPr>
          <w:rFonts w:ascii="Microsoft YaHei" w:hAnsi="Microsoft YaHei" w:eastAsia="Microsoft YaHei" w:cs="Microsoft YaHei"/>
          <w:b w:val="0"/>
          <w:sz w:val="22"/>
        </w:rPr>
        <w:t>我们曾经观察到 125 bp 到 150 bp 之间有明显变化，但单独比较这两个点不足以说明机制。因此后续增加了更密集的长度网格：</w:t>
      </w:r>
    </w:p>
    <w:p>
      <w:pPr>
        <w:shd w:fill="F4F6F9"/>
        <w:spacing w:before="0" w:after="0" w:line="280" w:lineRule="auto"/>
      </w:pPr>
      <w:r>
        <w:rPr>
          <w:rFonts w:ascii="Consolas" w:hAnsi="Consolas" w:eastAsia="Consolas" w:cs="Consolas"/>
          <w:sz w:val="18"/>
        </w:rPr>
        <w:t>110, 115, 120, 125, 130, 135, 138, 140, 142, 145, 148, 150, 155, 160 bp</w:t>
      </w:r>
    </w:p>
    <w:p/>
    <w:p>
      <w:pPr>
        <w:spacing w:before="0" w:after="80" w:line="300" w:lineRule="auto"/>
      </w:pPr>
      <w:r>
        <w:rPr>
          <w:rFonts w:ascii="Microsoft YaHei" w:hAnsi="Microsoft YaHei" w:eastAsia="Microsoft YaHei" w:cs="Microsoft YaHei"/>
          <w:b w:val="0"/>
          <w:sz w:val="22"/>
        </w:rPr>
        <w:t>同时改变 motif 位置，避免结论只来自固定位置。结果显示，full motif-pair visibility 的出现位置随 motif position 改变：</w:t>
      </w:r>
    </w:p>
    <w:tbl>
      <w:tblPr>
        <w:tblStyle w:val="TableGrid"/>
        <w:tblW w:type="dxa" w:w="9360"/>
        <w:jc w:val="center"/>
        <w:tblLayout w:type="fixed"/>
        <w:tblLook w:firstColumn="1" w:firstRow="1" w:lastColumn="0" w:lastRow="0" w:noHBand="0" w:noVBand="1" w:val="04A0"/>
        <w:tblInd w:type="dxa" w:w="120"/>
      </w:tblPr>
      <w:tblGrid>
        <w:gridCol w:w="4680"/>
        <w:gridCol w:w="4680"/>
      </w:tblGrid>
      <w:tr>
        <w:tc>
          <w:tcPr>
            <w:tcW w:type="dxa" w:w="468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motif position</w:t>
            </w:r>
          </w:p>
        </w:tc>
        <w:tc>
          <w:tcPr>
            <w:tcW w:type="dxa" w:w="468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first length with full pair visibility</w:t>
            </w:r>
          </w:p>
        </w:tc>
      </w:tr>
      <w:tr>
        <w:tc>
          <w:tcPr>
            <w:tcW w:type="dxa" w:w="468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120</w:t>
            </w:r>
          </w:p>
        </w:tc>
        <w:tc>
          <w:tcPr>
            <w:tcW w:type="dxa" w:w="468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130</w:t>
            </w:r>
          </w:p>
        </w:tc>
      </w:tr>
      <w:tr>
        <w:tc>
          <w:tcPr>
            <w:tcW w:type="dxa" w:w="468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130</w:t>
            </w:r>
          </w:p>
        </w:tc>
        <w:tc>
          <w:tcPr>
            <w:tcW w:type="dxa" w:w="468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140</w:t>
            </w:r>
          </w:p>
        </w:tc>
      </w:tr>
      <w:tr>
        <w:tc>
          <w:tcPr>
            <w:tcW w:type="dxa" w:w="468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138</w:t>
            </w:r>
          </w:p>
        </w:tc>
        <w:tc>
          <w:tcPr>
            <w:tcW w:type="dxa" w:w="468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148</w:t>
            </w:r>
          </w:p>
        </w:tc>
      </w:tr>
      <w:tr>
        <w:tc>
          <w:tcPr>
            <w:tcW w:type="dxa" w:w="468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145</w:t>
            </w:r>
          </w:p>
        </w:tc>
        <w:tc>
          <w:tcPr>
            <w:tcW w:type="dxa" w:w="468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155</w:t>
            </w:r>
          </w:p>
        </w:tc>
      </w:tr>
    </w:tbl>
    <w:p>
      <w:pPr>
        <w:spacing w:before="0" w:after="80" w:line="300" w:lineRule="auto"/>
      </w:pPr>
    </w:p>
    <w:p>
      <w:pPr>
        <w:spacing w:before="0" w:after="80" w:line="300" w:lineRule="auto"/>
      </w:pPr>
      <w:r>
        <w:rPr>
          <w:rFonts w:ascii="Microsoft YaHei" w:hAnsi="Microsoft YaHei" w:eastAsia="Microsoft YaHei" w:cs="Microsoft YaHei"/>
          <w:b w:val="0"/>
          <w:sz w:val="22"/>
        </w:rPr>
        <w:t>这说明读长影响不是简单的“多了多少 bp”，而是“关键上下文是否同时可见”。如果一个模型需要学习类似 motif pair 或上下文组合的信号，那么短读长截断可能导致语义关系断裂。这个结果为我们讨论 Transformer/attention 下的短读长信息缺失提供了更清楚的诊断证据。</w:t>
      </w:r>
    </w:p>
    <w:p>
      <w:pPr>
        <w:pStyle w:val="Heading1"/>
      </w:pPr>
      <w:r>
        <w:rPr>
          <w:rFonts w:ascii="Microsoft YaHei" w:hAnsi="Microsoft YaHei" w:eastAsia="Microsoft YaHei" w:cs="Microsoft YaHei"/>
          <w:b/>
          <w:sz w:val="32"/>
        </w:rPr>
        <w:t>13. 主实验结果六：模型适配性是任务依赖的</w:t>
      </w:r>
    </w:p>
    <w:p>
      <w:pPr>
        <w:spacing w:before="0" w:after="80" w:line="300" w:lineRule="auto"/>
      </w:pPr>
      <w:r>
        <w:rPr>
          <w:rFonts w:ascii="Microsoft YaHei" w:hAnsi="Microsoft YaHei" w:eastAsia="Microsoft YaHei" w:cs="Microsoft YaHei"/>
          <w:b w:val="0"/>
          <w:sz w:val="22"/>
        </w:rPr>
        <w:t>我们还比较了 MLP、1D-CNN 和 tiny Transformer 的轻量 probe。</w:t>
      </w:r>
    </w:p>
    <w:p>
      <w:pPr>
        <w:spacing w:before="0" w:after="80" w:line="300" w:lineRule="auto"/>
      </w:pPr>
      <w:r>
        <w:rPr>
          <w:rFonts w:ascii="Microsoft YaHei" w:hAnsi="Microsoft YaHei" w:eastAsia="Microsoft YaHei" w:cs="Microsoft YaHei"/>
          <w:b w:val="0"/>
          <w:sz w:val="22"/>
        </w:rPr>
        <w:t>结果显示没有一个模型或表征在所有任务中普遍最优。例如：</w:t>
      </w:r>
    </w:p>
    <w:p>
      <w:pPr>
        <w:pStyle w:val="ListBullet"/>
        <w:spacing w:before="0" w:after="60" w:line="300" w:lineRule="auto"/>
      </w:pPr>
      <w:r>
        <w:rPr>
          <w:rFonts w:ascii="Microsoft YaHei" w:hAnsi="Microsoft YaHei" w:eastAsia="Microsoft YaHei" w:cs="Microsoft YaHei"/>
          <w:b w:val="0"/>
          <w:sz w:val="22"/>
        </w:rPr>
        <w:t>global species probe 中，MLP + canonical 5-mer 或 hybrid 相对更好，但整体 F1 较低；</w:t>
      </w:r>
    </w:p>
    <w:p>
      <w:pPr>
        <w:pStyle w:val="ListBullet"/>
        <w:spacing w:before="0" w:after="60" w:line="300" w:lineRule="auto"/>
      </w:pPr>
      <w:r>
        <w:rPr>
          <w:rFonts w:ascii="Microsoft YaHei" w:hAnsi="Microsoft YaHei" w:eastAsia="Microsoft YaHei" w:cs="Microsoft YaHei"/>
          <w:b w:val="0"/>
          <w:sz w:val="22"/>
        </w:rPr>
        <w:t>target/background probe 中，CNN + one-hot 和 MLP + CSP 都有一定表现；</w:t>
      </w:r>
    </w:p>
    <w:p>
      <w:pPr>
        <w:pStyle w:val="ListBullet"/>
        <w:spacing w:before="0" w:after="60" w:line="300" w:lineRule="auto"/>
      </w:pPr>
      <w:r>
        <w:rPr>
          <w:rFonts w:ascii="Microsoft YaHei" w:hAnsi="Microsoft YaHei" w:eastAsia="Microsoft YaHei" w:cs="Microsoft YaHei"/>
          <w:b w:val="0"/>
          <w:sz w:val="22"/>
        </w:rPr>
        <w:t>within-genus Enterobacter probe 中，MLP + hybrid 最好，CSP 次之，说明 hybrid 在近缘任务上更合理。</w:t>
      </w:r>
    </w:p>
    <w:p>
      <w:pPr>
        <w:spacing w:before="0" w:after="80" w:line="300" w:lineRule="auto"/>
      </w:pPr>
      <w:r>
        <w:rPr>
          <w:rFonts w:ascii="Microsoft YaHei" w:hAnsi="Microsoft YaHei" w:eastAsia="Microsoft YaHei" w:cs="Microsoft YaHei"/>
          <w:b w:val="0"/>
          <w:sz w:val="22"/>
        </w:rPr>
        <w:t>这个结果说明，表征和模型应该匹配：</w:t>
      </w:r>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c>
          <w:tcPr>
            <w:tcW w:type="dxa" w:w="21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输入类型</w:t>
            </w:r>
          </w:p>
        </w:tc>
        <w:tc>
          <w:tcPr>
            <w:tcW w:type="dxa" w:w="330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更自然的模型</w:t>
            </w:r>
          </w:p>
        </w:tc>
        <w:tc>
          <w:tcPr>
            <w:tcW w:type="dxa" w:w="3960"/>
            <w:vAlign w:val="center"/>
            <w:tcMar>
              <w:top w:w="80" w:type="dxa"/>
              <w:bottom w:w="80" w:type="dxa"/>
              <w:start w:w="120" w:type="dxa"/>
              <w:end w:w="120" w:type="dxa"/>
            </w:tcMar>
            <w:shd w:fill="E8EEF5"/>
          </w:tcPr>
          <w:p>
            <w:pPr>
              <w:jc w:val="left"/>
              <w:spacing w:before="0" w:after="0" w:line="280" w:lineRule="auto"/>
            </w:pPr>
            <w:r>
              <w:rPr>
                <w:rFonts w:ascii="Microsoft YaHei" w:hAnsi="Microsoft YaHei" w:eastAsia="Microsoft YaHei" w:cs="Microsoft YaHei"/>
                <w:b/>
                <w:sz w:val="16"/>
              </w:rPr>
              <w:t>原因</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CSP 这种全局低维向量</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logistic / MLP / nearest-centroid</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表征已经是聚合后的特征向量</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one-hot 或 property channels</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CNN / tiny Transformer</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保留位置序列结构，适合局部卷积或 attention</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canonical k-mer count</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线性模型 / MLP / 数据库索引</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离散身份证据强</w:t>
            </w:r>
          </w:p>
        </w:tc>
      </w:tr>
      <w:tr>
        <w:tc>
          <w:tcPr>
            <w:tcW w:type="dxa" w:w="21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hybrid</w:t>
            </w:r>
          </w:p>
        </w:tc>
        <w:tc>
          <w:tcPr>
            <w:tcW w:type="dxa" w:w="330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MLP / ensemble / 分层 pipeline</w:t>
            </w:r>
          </w:p>
        </w:tc>
        <w:tc>
          <w:tcPr>
            <w:tcW w:type="dxa" w:w="3960"/>
            <w:vAlign w:val="center"/>
            <w:tcMar>
              <w:top w:w="80" w:type="dxa"/>
              <w:bottom w:w="80" w:type="dxa"/>
              <w:start w:w="120" w:type="dxa"/>
              <w:end w:w="120" w:type="dxa"/>
            </w:tcMar>
          </w:tcPr>
          <w:p>
            <w:pPr>
              <w:jc w:val="left"/>
              <w:spacing w:before="0" w:after="0" w:line="280" w:lineRule="auto"/>
            </w:pPr>
            <w:r>
              <w:rPr>
                <w:rFonts w:ascii="Microsoft YaHei" w:hAnsi="Microsoft YaHei" w:eastAsia="Microsoft YaHei" w:cs="Microsoft YaHei"/>
                <w:b w:val="0"/>
                <w:sz w:val="16"/>
              </w:rPr>
              <w:t>同时包含身份与稳定性证据</w:t>
            </w:r>
          </w:p>
        </w:tc>
      </w:tr>
    </w:tbl>
    <w:p>
      <w:pPr>
        <w:spacing w:before="0" w:after="80" w:line="300" w:lineRule="auto"/>
      </w:pPr>
    </w:p>
    <w:p>
      <w:pPr>
        <w:spacing w:before="0" w:after="80" w:line="300" w:lineRule="auto"/>
      </w:pPr>
      <w:r>
        <w:rPr>
          <w:rFonts w:ascii="Microsoft YaHei" w:hAnsi="Microsoft YaHei" w:eastAsia="Microsoft YaHei" w:cs="Microsoft YaHei"/>
          <w:b w:val="0"/>
          <w:sz w:val="22"/>
        </w:rPr>
        <w:t>因此，论文不能声称“CSP 适合所有模型”，更稳妥的说法是：CSP 适合作为轻量、可解释、扰动稳定的 tabular auxiliary block。</w:t>
      </w:r>
    </w:p>
    <w:p>
      <w:pPr>
        <w:pStyle w:val="Heading1"/>
      </w:pPr>
      <w:r>
        <w:rPr>
          <w:rFonts w:ascii="Microsoft YaHei" w:hAnsi="Microsoft YaHei" w:eastAsia="Microsoft YaHei" w:cs="Microsoft YaHei"/>
          <w:b/>
          <w:sz w:val="32"/>
        </w:rPr>
        <w:t>14. ARG/SNP 相关实验如何理解</w:t>
      </w:r>
    </w:p>
    <w:p>
      <w:pPr>
        <w:spacing w:before="0" w:after="80" w:line="300" w:lineRule="auto"/>
      </w:pPr>
      <w:r>
        <w:rPr>
          <w:rFonts w:ascii="Microsoft YaHei" w:hAnsi="Microsoft YaHei" w:eastAsia="Microsoft YaHei" w:cs="Microsoft YaHei"/>
          <w:b w:val="0"/>
          <w:sz w:val="22"/>
        </w:rPr>
        <w:t>我们做了 synthetic ARG/SNP boundary probe，但这部分不能被过度解释。当前结果只能说明一个边界：稳定性和精确身份判定不是同一个问题。</w:t>
      </w:r>
    </w:p>
    <w:p>
      <w:pPr>
        <w:spacing w:before="0" w:after="80" w:line="300" w:lineRule="auto"/>
      </w:pPr>
      <w:r>
        <w:rPr>
          <w:rFonts w:ascii="Microsoft YaHei" w:hAnsi="Microsoft YaHei" w:eastAsia="Microsoft YaHei" w:cs="Microsoft YaHei"/>
          <w:b w:val="0"/>
          <w:sz w:val="22"/>
        </w:rPr>
        <w:t>ARG family、ARG allele、resistance SNP 的 readout 在 synthetic task 上都可以达到较高数值，但这并不等于真实耐药检测已经解决。真实 ARG/AMR 任务需要 CARD、ResFinder、AMRFinderPlus、MEGARes 等数据库支持，还需要考虑 allele boundary、耐药 SNP、蛋白功能、基因上下文、质粒和移动元件。</w:t>
      </w:r>
    </w:p>
    <w:p>
      <w:pPr>
        <w:spacing w:before="0" w:after="80" w:line="300" w:lineRule="auto"/>
      </w:pPr>
      <w:r>
        <w:rPr>
          <w:rFonts w:ascii="Microsoft YaHei" w:hAnsi="Microsoft YaHei" w:eastAsia="Microsoft YaHei" w:cs="Microsoft YaHei"/>
          <w:b w:val="0"/>
          <w:sz w:val="22"/>
        </w:rPr>
        <w:t>因此，当前论文可以把 ARG/SNP 作为边界讨论和未来方向，而不应把它作为主卖点。更合适的表述是：CSP 可能帮助处理 degraded/ambiguous reads 的辅助相似性判断，但最终 ARG/SNP 判定仍应依赖 canonical k-mer、alignment、蛋白域或 curated database evidence。</w:t>
      </w:r>
    </w:p>
    <w:p>
      <w:pPr>
        <w:pStyle w:val="Heading1"/>
      </w:pPr>
      <w:r>
        <w:rPr>
          <w:rFonts w:ascii="Microsoft YaHei" w:hAnsi="Microsoft YaHei" w:eastAsia="Microsoft YaHei" w:cs="Microsoft YaHei"/>
          <w:b/>
          <w:sz w:val="32"/>
        </w:rPr>
        <w:t>15. 目前形成的科学结论</w:t>
      </w:r>
    </w:p>
    <w:p>
      <w:pPr>
        <w:spacing w:before="0" w:after="80" w:line="300" w:lineRule="auto"/>
      </w:pPr>
      <w:r>
        <w:rPr>
          <w:rFonts w:ascii="Microsoft YaHei" w:hAnsi="Microsoft YaHei" w:eastAsia="Microsoft YaHei" w:cs="Microsoft YaHei"/>
          <w:b w:val="0"/>
          <w:sz w:val="22"/>
        </w:rPr>
        <w:t>第一，短读长 DNA 表征不能只看分类准确率。准确率是模型、数据库、数据量、扰动和任务难度共同作用的结果，而表征层信息保持可以更早、更清楚地揭示输入信息损失。</w:t>
      </w:r>
    </w:p>
    <w:p>
      <w:pPr>
        <w:spacing w:before="0" w:after="80" w:line="300" w:lineRule="auto"/>
      </w:pPr>
      <w:r>
        <w:rPr>
          <w:rFonts w:ascii="Microsoft YaHei" w:hAnsi="Microsoft YaHei" w:eastAsia="Microsoft YaHei" w:cs="Microsoft YaHei"/>
          <w:b w:val="0"/>
          <w:sz w:val="22"/>
        </w:rPr>
        <w:t>第二，canonical k-mer 仍然是精确身份信息的强基线。尤其在近缘物种、菌株、ARG allele、耐药 SNP 等任务中，离散 k-mer 或数据库比对仍不可替代。</w:t>
      </w:r>
    </w:p>
    <w:p>
      <w:pPr>
        <w:spacing w:before="0" w:after="80" w:line="300" w:lineRule="auto"/>
      </w:pPr>
      <w:r>
        <w:rPr>
          <w:rFonts w:ascii="Microsoft YaHei" w:hAnsi="Microsoft YaHei" w:eastAsia="Microsoft YaHei" w:cs="Microsoft YaHei"/>
          <w:b w:val="0"/>
          <w:sz w:val="22"/>
        </w:rPr>
        <w:t>第三，CSP 的优势区间是低维、链方向友好、N/替换/截断/局部错配下的扰动稳定和可解释辅助。它更适合回答“这个 read 被扰动后是否仍接近原始信号”，而不是单独回答“它属于哪个物种或哪个耐药等位基因”。</w:t>
      </w:r>
    </w:p>
    <w:p>
      <w:pPr>
        <w:spacing w:before="0" w:after="80" w:line="300" w:lineRule="auto"/>
      </w:pPr>
      <w:r>
        <w:rPr>
          <w:rFonts w:ascii="Microsoft YaHei" w:hAnsi="Microsoft YaHei" w:eastAsia="Microsoft YaHei" w:cs="Microsoft YaHei"/>
          <w:b w:val="0"/>
          <w:sz w:val="22"/>
        </w:rPr>
        <w:t>第四，hybrid 或分层证据可能是更合理路线。真实 mNGS pipeline 可以让 canonical k-mer、alignment 或数据库工具提供身份判定，让 CSP 提供扰动稳定、质量审计或辅助置信度信息。</w:t>
      </w:r>
    </w:p>
    <w:p>
      <w:pPr>
        <w:spacing w:before="0" w:after="80" w:line="300" w:lineRule="auto"/>
      </w:pPr>
      <w:r>
        <w:rPr>
          <w:rFonts w:ascii="Microsoft YaHei" w:hAnsi="Microsoft YaHei" w:eastAsia="Microsoft YaHei" w:cs="Microsoft YaHei"/>
          <w:b w:val="0"/>
          <w:sz w:val="22"/>
        </w:rPr>
        <w:t>第五，attention 类模型下的读长缺失不只是少了几个碱基，而是可能导致关键上下文关系不可见。这个结果给后续 DNA Transformer 或 DNA LLM 方向提供了一个可解释的短读长诊断角度。</w:t>
      </w:r>
    </w:p>
    <w:p>
      <w:pPr>
        <w:pStyle w:val="Heading1"/>
      </w:pPr>
      <w:r>
        <w:rPr>
          <w:rFonts w:ascii="Microsoft YaHei" w:hAnsi="Microsoft YaHei" w:eastAsia="Microsoft YaHei" w:cs="Microsoft YaHei"/>
          <w:b/>
          <w:sz w:val="32"/>
        </w:rPr>
        <w:t>16. 这篇论文现在适合怎样定位</w:t>
      </w:r>
    </w:p>
    <w:p>
      <w:pPr>
        <w:spacing w:before="0" w:after="80" w:line="300" w:lineRule="auto"/>
      </w:pPr>
      <w:r>
        <w:rPr>
          <w:rFonts w:ascii="Microsoft YaHei" w:hAnsi="Microsoft YaHei" w:eastAsia="Microsoft YaHei" w:cs="Microsoft YaHei"/>
          <w:b w:val="0"/>
          <w:sz w:val="22"/>
        </w:rPr>
        <w:t>建议论文定位为：</w:t>
      </w:r>
    </w:p>
    <w:p>
      <w:pPr>
        <w:shd w:fill="F4F6F9"/>
        <w:spacing w:before="0" w:after="0" w:line="280" w:lineRule="auto"/>
      </w:pPr>
      <w:r>
        <w:rPr>
          <w:rFonts w:ascii="Consolas" w:hAnsi="Consolas" w:eastAsia="Consolas" w:cs="Consolas"/>
          <w:sz w:val="18"/>
        </w:rPr>
        <w:t>Controlled information-preservation diagnostics for ultra-short DNA read representations.</w:t>
      </w:r>
    </w:p>
    <w:p/>
    <w:p>
      <w:pPr>
        <w:spacing w:before="0" w:after="80" w:line="300" w:lineRule="auto"/>
      </w:pPr>
      <w:r>
        <w:rPr>
          <w:rFonts w:ascii="Microsoft YaHei" w:hAnsi="Microsoft YaHei" w:eastAsia="Microsoft YaHei" w:cs="Microsoft YaHei"/>
          <w:b w:val="0"/>
          <w:sz w:val="22"/>
        </w:rPr>
        <w:t>中文可以概括为：</w:t>
      </w:r>
    </w:p>
    <w:p>
      <w:pPr>
        <w:shd w:fill="F4F6F9"/>
        <w:spacing w:before="0" w:after="0" w:line="280" w:lineRule="auto"/>
      </w:pPr>
      <w:r>
        <w:rPr>
          <w:rFonts w:ascii="Consolas" w:hAnsi="Consolas" w:eastAsia="Consolas" w:cs="Consolas"/>
          <w:sz w:val="18"/>
        </w:rPr>
        <w:t>面向超短 mNGS 读段的 DNA 表征信息保持诊断：</w:t>
      </w:r>
    </w:p>
    <w:p>
      <w:pPr>
        <w:shd w:fill="F4F6F9"/>
        <w:spacing w:before="0" w:after="0" w:line="280" w:lineRule="auto"/>
      </w:pPr>
      <w:r>
        <w:rPr>
          <w:rFonts w:ascii="Consolas" w:hAnsi="Consolas" w:eastAsia="Consolas" w:cs="Consolas"/>
          <w:sz w:val="18"/>
        </w:rPr>
        <w:t>canonical k-mer 提供精确身份信息，</w:t>
      </w:r>
    </w:p>
    <w:p>
      <w:pPr>
        <w:shd w:fill="F4F6F9"/>
        <w:spacing w:before="0" w:after="0" w:line="280" w:lineRule="auto"/>
      </w:pPr>
      <w:r>
        <w:rPr>
          <w:rFonts w:ascii="Consolas" w:hAnsi="Consolas" w:eastAsia="Consolas" w:cs="Consolas"/>
          <w:sz w:val="18"/>
        </w:rPr>
        <w:t>CSP 提供紧凑、链方向友好、扰动稳定的辅助证据。</w:t>
      </w:r>
    </w:p>
    <w:p/>
    <w:p>
      <w:pPr>
        <w:spacing w:before="0" w:after="80" w:line="300" w:lineRule="auto"/>
      </w:pPr>
      <w:r>
        <w:rPr>
          <w:rFonts w:ascii="Microsoft YaHei" w:hAnsi="Microsoft YaHei" w:eastAsia="Microsoft YaHei" w:cs="Microsoft YaHei"/>
          <w:b w:val="0"/>
          <w:sz w:val="22"/>
        </w:rPr>
        <w:t>这个定位的好处是符合当前证据。我们不是把论文写成临床分类器，也不是写成 ARG 检测工具，而是写成一个受控方法学研究：不同 DNA 表征在短读长扰动下保留的信息类型不同。</w:t>
      </w:r>
    </w:p>
    <w:p>
      <w:pPr>
        <w:pStyle w:val="Heading1"/>
      </w:pPr>
      <w:r>
        <w:rPr>
          <w:rFonts w:ascii="Microsoft YaHei" w:hAnsi="Microsoft YaHei" w:eastAsia="Microsoft YaHei" w:cs="Microsoft YaHei"/>
          <w:b/>
          <w:sz w:val="32"/>
        </w:rPr>
        <w:t>17. 距离发表还有多远</w:t>
      </w:r>
    </w:p>
    <w:p>
      <w:pPr>
        <w:spacing w:before="0" w:after="80" w:line="300" w:lineRule="auto"/>
      </w:pPr>
      <w:r>
        <w:rPr>
          <w:rFonts w:ascii="Microsoft YaHei" w:hAnsi="Microsoft YaHei" w:eastAsia="Microsoft YaHei" w:cs="Microsoft YaHei"/>
          <w:b w:val="0"/>
          <w:sz w:val="22"/>
        </w:rPr>
        <w:t>如果目标是尽快投稿，当前核心实验已经可以支撑一篇方法学初稿。最关键的是保持主张边界，不把结论推到临床诊断或真实 ARG 识别。</w:t>
      </w:r>
    </w:p>
    <w:p>
      <w:pPr>
        <w:spacing w:before="0" w:after="80" w:line="300" w:lineRule="auto"/>
      </w:pPr>
      <w:r>
        <w:rPr>
          <w:rFonts w:ascii="Microsoft YaHei" w:hAnsi="Microsoft YaHei" w:eastAsia="Microsoft YaHei" w:cs="Microsoft YaHei"/>
          <w:b w:val="0"/>
          <w:sz w:val="22"/>
        </w:rPr>
        <w:t>投稿前建议完成的最低修订：</w:t>
      </w:r>
    </w:p>
    <w:p>
      <w:pPr>
        <w:spacing w:before="0" w:after="80" w:line="300" w:lineRule="auto"/>
      </w:pPr>
      <w:r>
        <w:rPr>
          <w:rFonts w:ascii="Microsoft YaHei" w:hAnsi="Microsoft YaHei" w:eastAsia="Microsoft YaHei" w:cs="Microsoft YaHei"/>
          <w:b w:val="0"/>
          <w:sz w:val="22"/>
        </w:rPr>
        <w:t>1. 在论文中明确说明 WGS-derived reads 的必要性：它提供 read-level ground truth、可控读长和可控扰动，而真实临床 mNGS 通常只有样本级标签。 2. 明确 CSP 的优势区间：69/75 bp、N、substitution、trim、local mismatch、低维、链方向友好、可解释、辅助稳定性。 3. 明确 CSP 的弱势区间：近缘种、菌株、ARG allele、耐药 SNP、基因上下文、质粒连接和单独临床分类准确率。 4. 把 Kraken2/Centrifuge/Kaiju 独立 pipeline 对照、真实 FASTQ quality profile、更大 WGS panel 和真实 ARG 数据库任务写成 Future Work，而不是当前必须完成的主实验。 5. 把代码仓库、manifest、固定随机种子、环境文件和提交标签整理到 Code Availability 中。 6. 完成正式 title page：作者姓名、单位、通讯作者、邮箱、贡献声明、利益冲突、基金或致谢。</w:t>
      </w:r>
    </w:p>
    <w:p>
      <w:pPr>
        <w:spacing w:before="0" w:after="80" w:line="300" w:lineRule="auto"/>
      </w:pPr>
      <w:r>
        <w:rPr>
          <w:rFonts w:ascii="Microsoft YaHei" w:hAnsi="Microsoft YaHei" w:eastAsia="Microsoft YaHei" w:cs="Microsoft YaHei"/>
          <w:b w:val="0"/>
          <w:sz w:val="22"/>
        </w:rPr>
        <w:t>如果目标是冲更高档次期刊，最好进一步补强：</w:t>
      </w:r>
    </w:p>
    <w:p>
      <w:pPr>
        <w:pStyle w:val="ListBullet"/>
        <w:spacing w:before="0" w:after="60" w:line="300" w:lineRule="auto"/>
      </w:pPr>
      <w:r>
        <w:rPr>
          <w:rFonts w:ascii="Microsoft YaHei" w:hAnsi="Microsoft YaHei" w:eastAsia="Microsoft YaHei" w:cs="Microsoft YaHei"/>
          <w:b w:val="0"/>
          <w:sz w:val="22"/>
        </w:rPr>
        <w:t>扩大 WGS panel，引入更多菌株和 genome-held-out 测试；</w:t>
      </w:r>
    </w:p>
    <w:p>
      <w:pPr>
        <w:pStyle w:val="ListBullet"/>
        <w:spacing w:before="0" w:after="60" w:line="300" w:lineRule="auto"/>
      </w:pPr>
      <w:r>
        <w:rPr>
          <w:rFonts w:ascii="Microsoft YaHei" w:hAnsi="Microsoft YaHei" w:eastAsia="Microsoft YaHei" w:cs="Microsoft YaHei"/>
          <w:b w:val="0"/>
          <w:sz w:val="22"/>
        </w:rPr>
        <w:t>加入更真实的 FASTQ quality profile 模拟；</w:t>
      </w:r>
    </w:p>
    <w:p>
      <w:pPr>
        <w:pStyle w:val="ListBullet"/>
        <w:spacing w:before="0" w:after="60" w:line="300" w:lineRule="auto"/>
      </w:pPr>
      <w:r>
        <w:rPr>
          <w:rFonts w:ascii="Microsoft YaHei" w:hAnsi="Microsoft YaHei" w:eastAsia="Microsoft YaHei" w:cs="Microsoft YaHei"/>
          <w:b w:val="0"/>
          <w:sz w:val="22"/>
        </w:rPr>
        <w:t>用同一批 raw FASTQ 输入做 Kraken2/Centrifuge/Kaiju 的现实 pipeline sanity check；</w:t>
      </w:r>
    </w:p>
    <w:p>
      <w:pPr>
        <w:pStyle w:val="ListBullet"/>
        <w:spacing w:before="0" w:after="60" w:line="300" w:lineRule="auto"/>
      </w:pPr>
      <w:r>
        <w:rPr>
          <w:rFonts w:ascii="Microsoft YaHei" w:hAnsi="Microsoft YaHei" w:eastAsia="Microsoft YaHei" w:cs="Microsoft YaHei"/>
          <w:b w:val="0"/>
          <w:sz w:val="22"/>
        </w:rPr>
        <w:t>使用 CARD/ResFinder/AMRFinderPlus marker 构建真实 ARG 子任务。</w:t>
      </w:r>
    </w:p>
    <w:p>
      <w:pPr>
        <w:spacing w:before="0" w:after="80" w:line="300" w:lineRule="auto"/>
      </w:pPr>
      <w:r>
        <w:rPr>
          <w:rFonts w:ascii="Microsoft YaHei" w:hAnsi="Microsoft YaHei" w:eastAsia="Microsoft YaHei" w:cs="Microsoft YaHei"/>
          <w:b w:val="0"/>
          <w:sz w:val="22"/>
        </w:rPr>
        <w:t>这些增强项会提高说服力，但不是当前“表征诊断论文”能否形成初稿的必要条件。</w:t>
      </w:r>
    </w:p>
    <w:p>
      <w:pPr>
        <w:pStyle w:val="Heading1"/>
      </w:pPr>
      <w:r>
        <w:rPr>
          <w:rFonts w:ascii="Microsoft YaHei" w:hAnsi="Microsoft YaHei" w:eastAsia="Microsoft YaHei" w:cs="Microsoft YaHei"/>
          <w:b/>
          <w:sz w:val="32"/>
        </w:rPr>
        <w:t>18. 给老师展示时的推荐讲述顺序</w:t>
      </w:r>
    </w:p>
    <w:p>
      <w:pPr>
        <w:spacing w:before="0" w:after="80" w:line="300" w:lineRule="auto"/>
      </w:pPr>
      <w:r>
        <w:rPr>
          <w:rFonts w:ascii="Microsoft YaHei" w:hAnsi="Microsoft YaHei" w:eastAsia="Microsoft YaHei" w:cs="Microsoft YaHei"/>
          <w:b w:val="0"/>
          <w:sz w:val="22"/>
        </w:rPr>
        <w:t>可以按下面顺序讲，大约 8 到 10 分钟。</w:t>
      </w:r>
    </w:p>
    <w:p>
      <w:pPr>
        <w:spacing w:before="0" w:after="80" w:line="300" w:lineRule="auto"/>
      </w:pPr>
      <w:r>
        <w:rPr>
          <w:rFonts w:ascii="Microsoft YaHei" w:hAnsi="Microsoft YaHei" w:eastAsia="Microsoft YaHei" w:cs="Microsoft YaHei"/>
          <w:b w:val="0"/>
          <w:sz w:val="22"/>
        </w:rPr>
        <w:t>第一步，讲问题背景。 临床 mNGS reads 很短，质控、N、错配、截断会改变输入。我们不先问分类器准不准，而先问不同 DNA 表征在输入受损时保留什么信息。</w:t>
      </w:r>
    </w:p>
    <w:p>
      <w:pPr>
        <w:spacing w:before="0" w:after="80" w:line="300" w:lineRule="auto"/>
      </w:pPr>
      <w:r>
        <w:rPr>
          <w:rFonts w:ascii="Microsoft YaHei" w:hAnsi="Microsoft YaHei" w:eastAsia="Microsoft YaHei" w:cs="Microsoft YaHei"/>
          <w:b w:val="0"/>
          <w:sz w:val="22"/>
        </w:rPr>
        <w:t>第二步，讲初始直觉。 k-mer 像 DNA 的 token，身份信息强，但局部错误会导致 token 破碎。spaced seed 可以缓解局部错配。DNA 生化属性可以提供低维、可解释、连续的稳定信息。双链 DNA 还需要考虑 reverse complement。</w:t>
      </w:r>
    </w:p>
    <w:p>
      <w:pPr>
        <w:spacing w:before="0" w:after="80" w:line="300" w:lineRule="auto"/>
      </w:pPr>
      <w:r>
        <w:rPr>
          <w:rFonts w:ascii="Microsoft YaHei" w:hAnsi="Microsoft YaHei" w:eastAsia="Microsoft YaHei" w:cs="Microsoft YaHei"/>
          <w:b w:val="0"/>
          <w:sz w:val="22"/>
        </w:rPr>
        <w:t>第三步，讲文献脉络。 临床 mNGS 文献给出短读长和低质量输入场景；Kraken2 等工具证明 k-mer 是强基线；PatternHunter 和 spaced seed 文献启发错配容忍；信息论和 DNA signal 文献启发生化属性；DNA foundation model 文献提示表征不应只限于固定 k-mer token。</w:t>
      </w:r>
    </w:p>
    <w:p>
      <w:pPr>
        <w:spacing w:before="0" w:after="80" w:line="300" w:lineRule="auto"/>
      </w:pPr>
      <w:r>
        <w:rPr>
          <w:rFonts w:ascii="Microsoft YaHei" w:hAnsi="Microsoft YaHei" w:eastAsia="Microsoft YaHei" w:cs="Microsoft YaHei"/>
          <w:b w:val="0"/>
          <w:sz w:val="22"/>
        </w:rPr>
        <w:t>第四步，讲 CSP。 CSP = canonical spaced seed count + property block + L2 normalization。它不是分类器，而是辅助表征。</w:t>
      </w:r>
    </w:p>
    <w:p>
      <w:pPr>
        <w:spacing w:before="0" w:after="80" w:line="300" w:lineRule="auto"/>
      </w:pPr>
      <w:r>
        <w:rPr>
          <w:rFonts w:ascii="Microsoft YaHei" w:hAnsi="Microsoft YaHei" w:eastAsia="Microsoft YaHei" w:cs="Microsoft YaHei"/>
          <w:b w:val="0"/>
          <w:sz w:val="22"/>
        </w:rPr>
        <w:t>第五步，讲实验网格。 21 个 WGS 基因组，6 个属；读长 69/75/100/110/125/150/PE150 proxy；扰动包括 substitution、N、trim、combined、indel、local mismatch；比较 canonical k-mer、spaced seed、CSP、hybrid 和序列模型输入。</w:t>
      </w:r>
    </w:p>
    <w:p>
      <w:pPr>
        <w:spacing w:before="0" w:after="80" w:line="300" w:lineRule="auto"/>
      </w:pPr>
      <w:r>
        <w:rPr>
          <w:rFonts w:ascii="Microsoft YaHei" w:hAnsi="Microsoft YaHei" w:eastAsia="Microsoft YaHei" w:cs="Microsoft YaHei"/>
          <w:b w:val="0"/>
          <w:sz w:val="22"/>
        </w:rPr>
        <w:t>第六步，讲结果。 CSP 在 42/42 个稳定性设置中最优，尤其 69/75 bp 的 N mask 和 local mismatch 中 L2 drift 明显更低；但分类 readout 没有证明 CSP 全面替代 k-mer，近缘任务中 canonical k-mer 仍是强基线；attention 断点随 motif 位置变化，说明读长影响是上下文可见性问题。</w:t>
      </w:r>
    </w:p>
    <w:p>
      <w:pPr>
        <w:spacing w:before="0" w:after="80" w:line="300" w:lineRule="auto"/>
      </w:pPr>
      <w:r>
        <w:rPr>
          <w:rFonts w:ascii="Microsoft YaHei" w:hAnsi="Microsoft YaHei" w:eastAsia="Microsoft YaHei" w:cs="Microsoft YaHei"/>
          <w:b w:val="0"/>
          <w:sz w:val="22"/>
        </w:rPr>
        <w:t>第七步，讲结论和边界。 本研究的主张是分层表征：canonical k-mer 负责身份，CSP 负责扰动稳定辅助。当前工作可以支撑受控表征诊断论文，但真实临床 mNGS pipeline 和真实 ARG 数据库任务属于后续扩展。</w:t>
      </w:r>
    </w:p>
    <w:p>
      <w:pPr>
        <w:pStyle w:val="Heading1"/>
      </w:pPr>
      <w:r>
        <w:rPr>
          <w:rFonts w:ascii="Microsoft YaHei" w:hAnsi="Microsoft YaHei" w:eastAsia="Microsoft YaHei" w:cs="Microsoft YaHei"/>
          <w:b/>
          <w:sz w:val="32"/>
        </w:rPr>
        <w:t>19. 关键参考文献</w:t>
      </w:r>
    </w:p>
    <w:p>
      <w:pPr>
        <w:pStyle w:val="Heading2"/>
      </w:pPr>
      <w:r>
        <w:rPr>
          <w:rFonts w:ascii="Microsoft YaHei" w:hAnsi="Microsoft YaHei" w:eastAsia="Microsoft YaHei" w:cs="Microsoft YaHei"/>
          <w:b/>
          <w:sz w:val="26"/>
        </w:rPr>
        <w:t>临床 mNGS 与输入质量</w:t>
      </w:r>
    </w:p>
    <w:p>
      <w:pPr>
        <w:pStyle w:val="ListBullet"/>
        <w:spacing w:before="0" w:after="60" w:line="300" w:lineRule="auto"/>
      </w:pPr>
      <w:r>
        <w:rPr>
          <w:rFonts w:ascii="Microsoft YaHei" w:hAnsi="Microsoft YaHei" w:eastAsia="Microsoft YaHei" w:cs="Microsoft YaHei"/>
          <w:b w:val="0"/>
          <w:sz w:val="22"/>
        </w:rPr>
        <w:t>Wilson MR et al. Actionable Diagnosis of Neuroleptospirosis by Next-Generation Sequencing. New England Journal of Medicine, 2014. DOI: 10.1056/NEJMoa1401268.</w:t>
      </w:r>
    </w:p>
    <w:p>
      <w:pPr>
        <w:pStyle w:val="ListBullet"/>
        <w:spacing w:before="0" w:after="60" w:line="300" w:lineRule="auto"/>
      </w:pPr>
      <w:r>
        <w:rPr>
          <w:rFonts w:ascii="Microsoft YaHei" w:hAnsi="Microsoft YaHei" w:eastAsia="Microsoft YaHei" w:cs="Microsoft YaHei"/>
          <w:b w:val="0"/>
          <w:sz w:val="22"/>
        </w:rPr>
        <w:t>Wilson MR et al. Clinical Metagenomic Sequencing for Diagnosis of Meningitis and Encephalitis. New England Journal of Medicine, 2019. DOI: 10.1056/NEJMoa1803396.</w:t>
      </w:r>
    </w:p>
    <w:p>
      <w:pPr>
        <w:pStyle w:val="ListBullet"/>
        <w:spacing w:before="0" w:after="60" w:line="300" w:lineRule="auto"/>
      </w:pPr>
      <w:r>
        <w:rPr>
          <w:rFonts w:ascii="Microsoft YaHei" w:hAnsi="Microsoft YaHei" w:eastAsia="Microsoft YaHei" w:cs="Microsoft YaHei"/>
          <w:b w:val="0"/>
          <w:sz w:val="22"/>
        </w:rPr>
        <w:t>Chiu CY and Miller SA. Clinical Metagenomics. Nature Reviews Genetics, 2019. DOI: 10.1038/s41576-019-0113-7.</w:t>
      </w:r>
    </w:p>
    <w:p>
      <w:pPr>
        <w:pStyle w:val="ListBullet"/>
        <w:spacing w:before="0" w:after="60" w:line="300" w:lineRule="auto"/>
      </w:pPr>
      <w:r>
        <w:rPr>
          <w:rFonts w:ascii="Microsoft YaHei" w:hAnsi="Microsoft YaHei" w:eastAsia="Microsoft YaHei" w:cs="Microsoft YaHei"/>
          <w:b w:val="0"/>
          <w:sz w:val="22"/>
        </w:rPr>
        <w:t>Martin M. Cutadapt Removes Adapter Sequences from High-throughput Sequencing Reads. EMBnet.journal, 2011. DOI: 10.14806/ej.17.1.200.</w:t>
      </w:r>
    </w:p>
    <w:p>
      <w:pPr>
        <w:pStyle w:val="ListBullet"/>
        <w:spacing w:before="0" w:after="60" w:line="300" w:lineRule="auto"/>
      </w:pPr>
      <w:r>
        <w:rPr>
          <w:rFonts w:ascii="Microsoft YaHei" w:hAnsi="Microsoft YaHei" w:eastAsia="Microsoft YaHei" w:cs="Microsoft YaHei"/>
          <w:b w:val="0"/>
          <w:sz w:val="22"/>
        </w:rPr>
        <w:t>Bolger AM et al. Trimmomatic: A Flexible Trimmer for Illumina Sequence Data. Bioinformatics, 2014. DOI: 10.1093/bioinformatics/btu170.</w:t>
      </w:r>
    </w:p>
    <w:p>
      <w:pPr>
        <w:pStyle w:val="ListBullet"/>
        <w:spacing w:before="0" w:after="60" w:line="300" w:lineRule="auto"/>
      </w:pPr>
      <w:r>
        <w:rPr>
          <w:rFonts w:ascii="Microsoft YaHei" w:hAnsi="Microsoft YaHei" w:eastAsia="Microsoft YaHei" w:cs="Microsoft YaHei"/>
          <w:b w:val="0"/>
          <w:sz w:val="22"/>
        </w:rPr>
        <w:t>Salter SJ et al. Reagent and Laboratory Contamination Can Critically Impact Sequence-based Microbiome Analyses. BMC Biology, 2014. DOI: 10.1186/s12915-014-0087-z.</w:t>
      </w:r>
    </w:p>
    <w:p>
      <w:pPr>
        <w:pStyle w:val="Heading2"/>
      </w:pPr>
      <w:r>
        <w:rPr>
          <w:rFonts w:ascii="Microsoft YaHei" w:hAnsi="Microsoft YaHei" w:eastAsia="Microsoft YaHei" w:cs="Microsoft YaHei"/>
          <w:b/>
          <w:sz w:val="26"/>
        </w:rPr>
        <w:t>k-mer 与宏基因组分类器</w:t>
      </w:r>
    </w:p>
    <w:p>
      <w:pPr>
        <w:pStyle w:val="ListBullet"/>
        <w:spacing w:before="0" w:after="60" w:line="300" w:lineRule="auto"/>
      </w:pPr>
      <w:r>
        <w:rPr>
          <w:rFonts w:ascii="Microsoft YaHei" w:hAnsi="Microsoft YaHei" w:eastAsia="Microsoft YaHei" w:cs="Microsoft YaHei"/>
          <w:b w:val="0"/>
          <w:sz w:val="22"/>
        </w:rPr>
        <w:t>Wood DE and Salzberg SL. Kraken: Ultrafast Metagenomic Sequence Classification Using Exact Alignments. Genome Biology, 2014. DOI: 10.1186/gb-2014-15-3-r46.</w:t>
      </w:r>
    </w:p>
    <w:p>
      <w:pPr>
        <w:pStyle w:val="ListBullet"/>
        <w:spacing w:before="0" w:after="60" w:line="300" w:lineRule="auto"/>
      </w:pPr>
      <w:r>
        <w:rPr>
          <w:rFonts w:ascii="Microsoft YaHei" w:hAnsi="Microsoft YaHei" w:eastAsia="Microsoft YaHei" w:cs="Microsoft YaHei"/>
          <w:b w:val="0"/>
          <w:sz w:val="22"/>
        </w:rPr>
        <w:t>Wood DE et al. Improved Metagenomic Analysis with Kraken 2. Genome Biology, 2019. DOI: 10.1186/s13059-019-1891-0.</w:t>
      </w:r>
    </w:p>
    <w:p>
      <w:pPr>
        <w:pStyle w:val="ListBullet"/>
        <w:spacing w:before="0" w:after="60" w:line="300" w:lineRule="auto"/>
      </w:pPr>
      <w:r>
        <w:rPr>
          <w:rFonts w:ascii="Microsoft YaHei" w:hAnsi="Microsoft YaHei" w:eastAsia="Microsoft YaHei" w:cs="Microsoft YaHei"/>
          <w:b w:val="0"/>
          <w:sz w:val="22"/>
        </w:rPr>
        <w:t>Ounit R et al. CLARK: Fast and Accurate Classification of Metagenomic and Genomic Sequences Using Discriminative k-mers. BMC Genomics, 2015. DOI: 10.1186/s12864-015-1419-2.</w:t>
      </w:r>
    </w:p>
    <w:p>
      <w:pPr>
        <w:pStyle w:val="ListBullet"/>
        <w:spacing w:before="0" w:after="60" w:line="300" w:lineRule="auto"/>
      </w:pPr>
      <w:r>
        <w:rPr>
          <w:rFonts w:ascii="Microsoft YaHei" w:hAnsi="Microsoft YaHei" w:eastAsia="Microsoft YaHei" w:cs="Microsoft YaHei"/>
          <w:b w:val="0"/>
          <w:sz w:val="22"/>
        </w:rPr>
        <w:t>Kim D et al. Centrifuge: Rapid and Sensitive Classification of Metagenomic Sequences. Genome Research, 2016. DOI: 10.1101/gr.210641.116.</w:t>
      </w:r>
    </w:p>
    <w:p>
      <w:pPr>
        <w:pStyle w:val="ListBullet"/>
        <w:spacing w:before="0" w:after="60" w:line="300" w:lineRule="auto"/>
      </w:pPr>
      <w:r>
        <w:rPr>
          <w:rFonts w:ascii="Microsoft YaHei" w:hAnsi="Microsoft YaHei" w:eastAsia="Microsoft YaHei" w:cs="Microsoft YaHei"/>
          <w:b w:val="0"/>
          <w:sz w:val="22"/>
        </w:rPr>
        <w:t>Menzel P et al. Fast and Sensitive Taxonomic Classification for Metagenomics with Kaiju. Nature Communications, 2016. DOI: 10.1038/ncomms11257.</w:t>
      </w:r>
    </w:p>
    <w:p>
      <w:pPr>
        <w:pStyle w:val="ListBullet"/>
        <w:spacing w:before="0" w:after="60" w:line="300" w:lineRule="auto"/>
      </w:pPr>
      <w:r>
        <w:rPr>
          <w:rFonts w:ascii="Microsoft YaHei" w:hAnsi="Microsoft YaHei" w:eastAsia="Microsoft YaHei" w:cs="Microsoft YaHei"/>
          <w:b w:val="0"/>
          <w:sz w:val="22"/>
        </w:rPr>
        <w:t>Sczyrba A et al. Critical Assessment of Metagenome Interpretation. Nature Methods, 2017. DOI: 10.1038/nmeth.4458.</w:t>
      </w:r>
    </w:p>
    <w:p>
      <w:pPr>
        <w:pStyle w:val="ListBullet"/>
        <w:spacing w:before="0" w:after="60" w:line="300" w:lineRule="auto"/>
      </w:pPr>
      <w:r>
        <w:rPr>
          <w:rFonts w:ascii="Microsoft YaHei" w:hAnsi="Microsoft YaHei" w:eastAsia="Microsoft YaHei" w:cs="Microsoft YaHei"/>
          <w:b w:val="0"/>
          <w:sz w:val="22"/>
        </w:rPr>
        <w:t>Meyer F et al. Critical Assessment of Metagenome Interpretation: the Second Round of Challenges. Nature Methods, 2022. DOI: 10.1038/s41592-022-01431-4.</w:t>
      </w:r>
    </w:p>
    <w:p>
      <w:pPr>
        <w:pStyle w:val="Heading2"/>
      </w:pPr>
      <w:r>
        <w:rPr>
          <w:rFonts w:ascii="Microsoft YaHei" w:hAnsi="Microsoft YaHei" w:eastAsia="Microsoft YaHei" w:cs="Microsoft YaHei"/>
          <w:b/>
          <w:sz w:val="26"/>
        </w:rPr>
        <w:t>alignment-free、sketch 与 spaced seed</w:t>
      </w:r>
    </w:p>
    <w:p>
      <w:pPr>
        <w:pStyle w:val="ListBullet"/>
        <w:spacing w:before="0" w:after="60" w:line="300" w:lineRule="auto"/>
      </w:pPr>
      <w:r>
        <w:rPr>
          <w:rFonts w:ascii="Microsoft YaHei" w:hAnsi="Microsoft YaHei" w:eastAsia="Microsoft YaHei" w:cs="Microsoft YaHei"/>
          <w:b w:val="0"/>
          <w:sz w:val="22"/>
        </w:rPr>
        <w:t>Ma B et al. PatternHunter: Faster and More Sensitive Homology Search. Bioinformatics, 2002. DOI: 10.1093/bioinformatics/18.3.440.</w:t>
      </w:r>
    </w:p>
    <w:p>
      <w:pPr>
        <w:pStyle w:val="ListBullet"/>
        <w:spacing w:before="0" w:after="60" w:line="300" w:lineRule="auto"/>
      </w:pPr>
      <w:r>
        <w:rPr>
          <w:rFonts w:ascii="Microsoft YaHei" w:hAnsi="Microsoft YaHei" w:eastAsia="Microsoft YaHei" w:cs="Microsoft YaHei"/>
          <w:b w:val="0"/>
          <w:sz w:val="22"/>
        </w:rPr>
        <w:t>Brinda K et al. Spaced Seeds Improve k-mer-based Metagenomic Classification. Bioinformatics, 2015. DOI: 10.1093/bioinformatics/btv419.</w:t>
      </w:r>
    </w:p>
    <w:p>
      <w:pPr>
        <w:pStyle w:val="ListBullet"/>
        <w:spacing w:before="0" w:after="60" w:line="300" w:lineRule="auto"/>
      </w:pPr>
      <w:r>
        <w:rPr>
          <w:rFonts w:ascii="Microsoft YaHei" w:hAnsi="Microsoft YaHei" w:eastAsia="Microsoft YaHei" w:cs="Microsoft YaHei"/>
          <w:b w:val="0"/>
          <w:sz w:val="22"/>
        </w:rPr>
        <w:t>Ondov BD et al. Mash: Fast Genome and Metagenome Distance Estimation Using MinHash. Genome Biology, 2016. DOI: 10.1186/s13059-016-0997-x.</w:t>
      </w:r>
    </w:p>
    <w:p>
      <w:pPr>
        <w:pStyle w:val="ListBullet"/>
        <w:spacing w:before="0" w:after="60" w:line="300" w:lineRule="auto"/>
      </w:pPr>
      <w:r>
        <w:rPr>
          <w:rFonts w:ascii="Microsoft YaHei" w:hAnsi="Microsoft YaHei" w:eastAsia="Microsoft YaHei" w:cs="Microsoft YaHei"/>
          <w:b w:val="0"/>
          <w:sz w:val="22"/>
        </w:rPr>
        <w:t>Zielezinski A et al. Alignment-free Sequence Comparison: Benefits, Applications, and Tools. Genome Biology, 2017. DOI: 10.1186/s13059-017-1319-7.</w:t>
      </w:r>
    </w:p>
    <w:p>
      <w:pPr>
        <w:pStyle w:val="Heading2"/>
      </w:pPr>
      <w:r>
        <w:rPr>
          <w:rFonts w:ascii="Microsoft YaHei" w:hAnsi="Microsoft YaHei" w:eastAsia="Microsoft YaHei" w:cs="Microsoft YaHei"/>
          <w:b/>
          <w:sz w:val="26"/>
        </w:rPr>
        <w:t>DNA 数值化与深度学习表征</w:t>
      </w:r>
    </w:p>
    <w:p>
      <w:pPr>
        <w:pStyle w:val="ListBullet"/>
        <w:spacing w:before="0" w:after="60" w:line="300" w:lineRule="auto"/>
      </w:pPr>
      <w:r>
        <w:rPr>
          <w:rFonts w:ascii="Microsoft YaHei" w:hAnsi="Microsoft YaHei" w:eastAsia="Microsoft YaHei" w:cs="Microsoft YaHei"/>
          <w:b w:val="0"/>
          <w:sz w:val="22"/>
        </w:rPr>
        <w:t>Shannon CE. A Mathematical Theory of Communication. Bell System Technical Journal, 1948. DOI: 10.1002/j.1538-7305.1948.tb01338.x.</w:t>
      </w:r>
    </w:p>
    <w:p>
      <w:pPr>
        <w:pStyle w:val="ListBullet"/>
        <w:spacing w:before="0" w:after="60" w:line="300" w:lineRule="auto"/>
      </w:pPr>
      <w:r>
        <w:rPr>
          <w:rFonts w:ascii="Microsoft YaHei" w:hAnsi="Microsoft YaHei" w:eastAsia="Microsoft YaHei" w:cs="Microsoft YaHei"/>
          <w:b w:val="0"/>
          <w:sz w:val="22"/>
        </w:rPr>
        <w:t>Jeffrey HJ. Chaos Game Representation of Gene Structure. Nucleic Acids Research, 1990. DOI: 10.1093/nar/18.8.2163.</w:t>
      </w:r>
    </w:p>
    <w:p>
      <w:pPr>
        <w:pStyle w:val="ListBullet"/>
        <w:spacing w:before="0" w:after="60" w:line="300" w:lineRule="auto"/>
      </w:pPr>
      <w:r>
        <w:rPr>
          <w:rFonts w:ascii="Microsoft YaHei" w:hAnsi="Microsoft YaHei" w:eastAsia="Microsoft YaHei" w:cs="Microsoft YaHei"/>
          <w:b w:val="0"/>
          <w:sz w:val="22"/>
        </w:rPr>
        <w:t>Voss RF. Evolution of Long-range Fractal Correlations and 1/f Noise in DNA Base Sequences. Physical Review Letters, 1992. DOI: 10.1103/PhysRevLett.68.3805.</w:t>
      </w:r>
    </w:p>
    <w:p>
      <w:pPr>
        <w:pStyle w:val="ListBullet"/>
        <w:spacing w:before="0" w:after="60" w:line="300" w:lineRule="auto"/>
      </w:pPr>
      <w:r>
        <w:rPr>
          <w:rFonts w:ascii="Microsoft YaHei" w:hAnsi="Microsoft YaHei" w:eastAsia="Microsoft YaHei" w:cs="Microsoft YaHei"/>
          <w:b w:val="0"/>
          <w:sz w:val="22"/>
        </w:rPr>
        <w:t>Alipanahi B et al. DeepBind. Nature Biotechnology, 2015. DOI: 10.1038/nbt.3300.</w:t>
      </w:r>
    </w:p>
    <w:p>
      <w:pPr>
        <w:pStyle w:val="ListBullet"/>
        <w:spacing w:before="0" w:after="60" w:line="300" w:lineRule="auto"/>
      </w:pPr>
      <w:r>
        <w:rPr>
          <w:rFonts w:ascii="Microsoft YaHei" w:hAnsi="Microsoft YaHei" w:eastAsia="Microsoft YaHei" w:cs="Microsoft YaHei"/>
          <w:b w:val="0"/>
          <w:sz w:val="22"/>
        </w:rPr>
        <w:t>Zhou J and Troyanskaya OG. DeepSEA. Nature Methods, 2015. DOI: 10.1038/nmeth.3547.</w:t>
      </w:r>
    </w:p>
    <w:p>
      <w:pPr>
        <w:pStyle w:val="ListBullet"/>
        <w:spacing w:before="0" w:after="60" w:line="300" w:lineRule="auto"/>
      </w:pPr>
      <w:r>
        <w:rPr>
          <w:rFonts w:ascii="Microsoft YaHei" w:hAnsi="Microsoft YaHei" w:eastAsia="Microsoft YaHei" w:cs="Microsoft YaHei"/>
          <w:b w:val="0"/>
          <w:sz w:val="22"/>
        </w:rPr>
        <w:t>Quang D and Xie X. DanQ. Nucleic Acids Research, 2016. DOI: 10.1093/nar/gkw226.</w:t>
      </w:r>
    </w:p>
    <w:p>
      <w:pPr>
        <w:pStyle w:val="ListBullet"/>
        <w:spacing w:before="0" w:after="60" w:line="300" w:lineRule="auto"/>
      </w:pPr>
      <w:r>
        <w:rPr>
          <w:rFonts w:ascii="Microsoft YaHei" w:hAnsi="Microsoft YaHei" w:eastAsia="Microsoft YaHei" w:cs="Microsoft YaHei"/>
          <w:b w:val="0"/>
          <w:sz w:val="22"/>
        </w:rPr>
        <w:t>Liang Q et al. DeepMicrobes. NAR Genomics and Bioinformatics, 2020. DOI: 10.1093/nargab/lqaa009.</w:t>
      </w:r>
    </w:p>
    <w:p>
      <w:pPr>
        <w:pStyle w:val="ListBullet"/>
        <w:spacing w:before="0" w:after="60" w:line="300" w:lineRule="auto"/>
      </w:pPr>
      <w:r>
        <w:rPr>
          <w:rFonts w:ascii="Microsoft YaHei" w:hAnsi="Microsoft YaHei" w:eastAsia="Microsoft YaHei" w:cs="Microsoft YaHei"/>
          <w:b w:val="0"/>
          <w:sz w:val="22"/>
        </w:rPr>
        <w:t>Wichmann F et al. MetaTransformer. NAR Genomics and Bioinformatics, 2023. DOI: 10.1093/nargab/lqad082.</w:t>
      </w:r>
    </w:p>
    <w:p>
      <w:pPr>
        <w:pStyle w:val="ListBullet"/>
        <w:spacing w:before="0" w:after="60" w:line="300" w:lineRule="auto"/>
      </w:pPr>
      <w:r>
        <w:rPr>
          <w:rFonts w:ascii="Microsoft YaHei" w:hAnsi="Microsoft YaHei" w:eastAsia="Microsoft YaHei" w:cs="Microsoft YaHei"/>
          <w:b w:val="0"/>
          <w:sz w:val="22"/>
        </w:rPr>
        <w:t>Ji Y et al. DNABERT. Bioinformatics, 2021. DOI: 10.1093/bioinformatics/btab083.</w:t>
      </w:r>
    </w:p>
    <w:p>
      <w:pPr>
        <w:pStyle w:val="ListBullet"/>
        <w:spacing w:before="0" w:after="60" w:line="300" w:lineRule="auto"/>
      </w:pPr>
      <w:r>
        <w:rPr>
          <w:rFonts w:ascii="Microsoft YaHei" w:hAnsi="Microsoft YaHei" w:eastAsia="Microsoft YaHei" w:cs="Microsoft YaHei"/>
          <w:b w:val="0"/>
          <w:sz w:val="22"/>
        </w:rPr>
        <w:t>Zhou Z et al. DNABERT-2. arXiv:2306.15006.</w:t>
      </w:r>
    </w:p>
    <w:p>
      <w:pPr>
        <w:pStyle w:val="ListBullet"/>
        <w:spacing w:before="0" w:after="60" w:line="300" w:lineRule="auto"/>
      </w:pPr>
      <w:r>
        <w:rPr>
          <w:rFonts w:ascii="Microsoft YaHei" w:hAnsi="Microsoft YaHei" w:eastAsia="Microsoft YaHei" w:cs="Microsoft YaHei"/>
          <w:b w:val="0"/>
          <w:sz w:val="22"/>
        </w:rPr>
        <w:t>Dalla-Torre H et al. Nucleotide Transformer. Nature Methods, 2025. DOI: 10.1038/s41592-024-02523-z.</w:t>
      </w:r>
    </w:p>
    <w:p>
      <w:pPr>
        <w:pStyle w:val="ListBullet"/>
        <w:spacing w:before="0" w:after="60" w:line="300" w:lineRule="auto"/>
      </w:pPr>
      <w:r>
        <w:rPr>
          <w:rFonts w:ascii="Microsoft YaHei" w:hAnsi="Microsoft YaHei" w:eastAsia="Microsoft YaHei" w:cs="Microsoft YaHei"/>
          <w:b w:val="0"/>
          <w:sz w:val="22"/>
        </w:rPr>
        <w:t>Nguyen E et al. HyenaDNA. arXiv:2306.15794.</w:t>
      </w:r>
    </w:p>
    <w:p>
      <w:pPr>
        <w:pStyle w:val="ListBullet"/>
        <w:spacing w:before="0" w:after="60" w:line="300" w:lineRule="auto"/>
      </w:pPr>
      <w:r>
        <w:rPr>
          <w:rFonts w:ascii="Microsoft YaHei" w:hAnsi="Microsoft YaHei" w:eastAsia="Microsoft YaHei" w:cs="Microsoft YaHei"/>
          <w:b w:val="0"/>
          <w:sz w:val="22"/>
        </w:rPr>
        <w:t>Schiff Y et al. Caduceus. arXiv:2403.03234.</w:t>
      </w:r>
    </w:p>
    <w:p>
      <w:pPr>
        <w:pStyle w:val="ListBullet"/>
        <w:spacing w:before="0" w:after="60" w:line="300" w:lineRule="auto"/>
      </w:pPr>
      <w:r>
        <w:rPr>
          <w:rFonts w:ascii="Microsoft YaHei" w:hAnsi="Microsoft YaHei" w:eastAsia="Microsoft YaHei" w:cs="Microsoft YaHei"/>
          <w:b w:val="0"/>
          <w:sz w:val="22"/>
        </w:rPr>
        <w:t>Nguyen E et al. Evo. Science, 2024. DOI: 10.1126/science.ado9336.</w:t>
      </w:r>
    </w:p>
    <w:p>
      <w:pPr>
        <w:pStyle w:val="Heading2"/>
      </w:pPr>
      <w:r>
        <w:rPr>
          <w:rFonts w:ascii="Microsoft YaHei" w:hAnsi="Microsoft YaHei" w:eastAsia="Microsoft YaHei" w:cs="Microsoft YaHei"/>
          <w:b/>
          <w:sz w:val="26"/>
        </w:rPr>
        <w:t>ARG/AMR 后续方向</w:t>
      </w:r>
    </w:p>
    <w:p>
      <w:pPr>
        <w:pStyle w:val="ListBullet"/>
        <w:spacing w:before="0" w:after="60" w:line="300" w:lineRule="auto"/>
      </w:pPr>
      <w:r>
        <w:rPr>
          <w:rFonts w:ascii="Microsoft YaHei" w:hAnsi="Microsoft YaHei" w:eastAsia="Microsoft YaHei" w:cs="Microsoft YaHei"/>
          <w:b w:val="0"/>
          <w:sz w:val="22"/>
        </w:rPr>
        <w:t>Alcock BP et al. CARD 2023. Nucleic Acids Research, 2023. DOI: 10.1093/nar/gkac920.</w:t>
      </w:r>
    </w:p>
    <w:p>
      <w:pPr>
        <w:pStyle w:val="ListBullet"/>
        <w:spacing w:before="0" w:after="60" w:line="300" w:lineRule="auto"/>
      </w:pPr>
      <w:r>
        <w:rPr>
          <w:rFonts w:ascii="Microsoft YaHei" w:hAnsi="Microsoft YaHei" w:eastAsia="Microsoft YaHei" w:cs="Microsoft YaHei"/>
          <w:b w:val="0"/>
          <w:sz w:val="22"/>
        </w:rPr>
        <w:t>Feldgarden M et al. AMRFinderPlus and the Reference Gene Catalog. Scientific Reports, 2021. DOI: 10.1038/s41598-021-91456-0.</w:t>
      </w:r>
    </w:p>
    <w:p>
      <w:pPr>
        <w:pStyle w:val="ListBullet"/>
        <w:spacing w:before="0" w:after="60" w:line="300" w:lineRule="auto"/>
      </w:pPr>
      <w:r>
        <w:rPr>
          <w:rFonts w:ascii="Microsoft YaHei" w:hAnsi="Microsoft YaHei" w:eastAsia="Microsoft YaHei" w:cs="Microsoft YaHei"/>
          <w:b w:val="0"/>
          <w:sz w:val="22"/>
        </w:rPr>
        <w:t>Bortolaia V et al. ResFinder 4.0 for Predictions of Phenotypes from Genotypes. Journal of Antimicrobial Chemotherapy, 2020. DOI: 10.1093/jac/dkaa345.</w:t>
      </w:r>
    </w:p>
    <w:p>
      <w:pPr>
        <w:pStyle w:val="ListBullet"/>
        <w:spacing w:before="0" w:after="60" w:line="300" w:lineRule="auto"/>
      </w:pPr>
      <w:r>
        <w:rPr>
          <w:rFonts w:ascii="Microsoft YaHei" w:hAnsi="Microsoft YaHei" w:eastAsia="Microsoft YaHei" w:cs="Microsoft YaHei"/>
          <w:b w:val="0"/>
          <w:sz w:val="22"/>
        </w:rPr>
        <w:t>Bonin N et al. MEGARes and AMR++, v3.0. Nucleic Acids Research, 2023. DOI: 10.1093/nar/gkac1047.</w:t>
      </w:r>
    </w:p>
    <w:p>
      <w:pPr>
        <w:pStyle w:val="ListBullet"/>
        <w:spacing w:before="0" w:after="60" w:line="300" w:lineRule="auto"/>
      </w:pPr>
      <w:r>
        <w:rPr>
          <w:rFonts w:ascii="Microsoft YaHei" w:hAnsi="Microsoft YaHei" w:eastAsia="Microsoft YaHei" w:cs="Microsoft YaHei"/>
          <w:b w:val="0"/>
          <w:sz w:val="22"/>
        </w:rPr>
        <w:t>Arango-Argoty G et al. DeepARG. Microbiome, 2018. DOI: 10.1186/s40168-018-0401-z.</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