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ultra-short metagenomic reads</w:t>
      </w:r>
    </w:p>
    <w:p>
      <w:pPr>
        <w:jc w:val="center"/>
      </w:pPr>
      <w:r>
        <w:t>Authors: TBD</w:t>
      </w:r>
    </w:p>
    <w:p>
      <w:pPr>
        <w:jc w:val="center"/>
      </w:pPr>
      <w:r>
        <w:t>Affiliations: TBD</w:t>
      </w:r>
    </w:p>
    <w:p>
      <w:pPr>
        <w:pStyle w:val="Heading1"/>
      </w:pPr>
      <w:r>
        <w:t>Abstract</w:t>
      </w:r>
    </w:p>
    <w:p>
      <w:r>
        <w:t>Short-read metagenomic next-generation sequencing (mNGS) pipelines typically process trimmed, ambiguous, or locally perturbed reads, whose useful information may degrade before classifiers or database lookups are applied. In this context, accuracy-led evaluation is incomplete because downstream performance cannot distinguish whether losses of identity, biochemical, or positional information arise in the representation layer or only later in the classifier. Here we introduce a representation-diagnostics framework for controlled short-read (69-150 bp) mNGS settings that dissects short-read representations into four quantifiable dimensions: exact identity retention, biochemical perturbation stability, positional readability, and local mutation sensitivity. Our core compact representation, CK4P-MSP, integrates reverse-complement canonical 4-mer identity with biochemical summaries and multi-scale property pooling; it is evaluated against full-position matrices as a diagnostic upper bound and a canonical spaced-property (CSP) control as a boundary comparator. Across controlled WGS-derived perturbations, ART simulations, CAMI readout probes, and local mutation sensitivity tasks, consistent evidence shows that compact property-aware representations can improve stability while preserving low-dimensional diagnostic readability. Full-position matrices further reveal that fine-grained positional information can add readout value, but at substantially higher dimensional cost, whereas spaced-seed priors transfer to dense read-level descriptors only in scenario-specific contexts, such as particular read lengths or perturbation conditions. These results support a bounded architectural implication: short-read mNGS pipelines should retain exact k-mer, alignment, or curated database evidence as the identity backbone, while compact biochemical and position-aware summaries may serve as auxiliary channels for representation-level robustness auditing rather than as standalone deployment models.</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In controlled short-read (69-150 bp) mNGS settings, these physical constraints can cause information loss before any classifier is applied. A read representation may already have discarded local identity, biochemical regularity, or positional information long before a benchmark reports success or failure. For this reason, short-read representation is not merely a preprocessing step. It defines which categories of information remain available to any later classifier, alignment routine, or database query. In this manuscript, the 69 and 75 bp settings are used only as length conditions; the underlying clinical data are not publicly available and are not used as experimental input.</w:t>
      </w:r>
    </w:p>
    <w:p>
      <w:r>
        <w:t xml:space="preserve">Current metagenomic workflows are strongest when they preserve exact or near-exact identity evidence. Canonical k-mer,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and related indexing frameworks have established the practical value of explicit sequence matching for taxonomic assignment and downstream biological interpretation [7,8,9,10,11]. Community benchmarks further show that performance depends on database coverage, sample composition, novelty, and evaluation context, not only on the classifier name [12,13]. These methods should therefore be acknowledged rather than displaced: exact identity evidence remains the backbone for tasks such as species discrimination, allele-sensitive interpretation, and resistance-gene calling. Spaced-seed indexing further extends this line by tuning match patterns for sensitivity under mutation, but its goal is still matching accuracy rather than layered diagnostic analysis [14]. That limitation is amplified in 69-75 bp ultra-short reads, where the number of uniquely matching k-mers drops sharply. At the same time, these systems are designed to answer a different question from the one asked here. They determine what a read matches, but they do not directly diagnose which kinds of information remain visible in the representation itself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[15,16]. Resource-saving k-mer classification extends the same logic by showing that low-dimensional k-mer distributions plus classical machine learning can remain strong even when deep models are not the only option [17]. However, these vectorized k-mer methods rely solely on composition statistics and do not explicitly layer biochemical stability or positional information alongside identity evidence. That distinction becomes more consequential in 69-75 bp reads, where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[18,19].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still contains recoverable class signal once the short-read regime and the downstream classifier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EIIP-style encodings, expose structure that is not reducible to literal token identity alone [20,21,22,23,24,25,26]. These encodings matter because they keep the question on the representation itself: what survives after a read is translated into a signal, not only what survives after it is matched. In 69-75 bp ultra-short reads, such encodings are especially relevant because they can expose stability patterns even when exact matches thin out. However, existing biochemical encodings are usually used as standalone features rather than layered alongside exact identity evidence, and their perturbation-stabilizing value under controlled ultra-short-read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[27]. MetaTransformer extended the same general family with self-attention and alternative tokenization or embedding schemes, including character-level, BPE, k-mer, and hash/LSH variants [28]. BERTax showed that a small-k Transformer can support hierarchical taxonomy if the pretraining and output heads are aligned to the task [29]. BarcodeBERT then demonstrated that barcode-scale biodiversity tasks can benefit from domain-specific pretraining and masking choices, but its setting is still a barcode-specific classification problem rather than shotgun short-read mNGS [30]. Large pre-trained DNA language models further extend this representation family as general-purpose encoders, but they matter here as background representation paradigms rather than as direct 69-75 bp comparators [31,32,33,34,35]. Their black-box optimization, reliance on long-range genomic context, and higher computational overhead make them poorly suited for front-end diagnostic auditing of ultra-short reads; moreover, their embeddings are not naturally decomposed into interpretable identity, biochemical, and positional channels. These studies motivate learned representations as powerful downstream classifiers or reusable sequence encoders, but their primary objective is predictive performance or representation transfer, not controlled decomposition of short-read evidence into identity, biochemical stability, and positional readability.</w:t>
      </w:r>
    </w:p>
    <w:p>
      <w:r>
        <w:t>Raw-sequence and position-aware models complete the picture. GeNet learns representations directly from raw DNA while exploiting the hierarchical label structure of metagenomic classification, and it shows that deep learning can reduce memory use without eliminating the need to compare against established mappers [36]. DeepVirFinder, Virtifier, and DETIRE demonstrate that CNN or hybrid architectures can extract useful motif- and composition-level signal from viral fragments, but their target is viral detection rather than multi-class short-read taxonomy [37,38,39]. KmerAperture adds an important boundary case by showing that ordinary k-mer set comparisons can lose synteny, whereas matching k-mers back to their original lists can recover positional information about core and accessory differences [40]. Collectively, these advances matured each representation family in isolation, but they still do not provide a unified diagnostic framework that decomposes ultra-short-read representations along identity, biochemical, and positional axes under controlled perturbation.</w:t>
      </w:r>
    </w:p>
    <w:p>
      <w:r>
        <w:t>Against this background, we study short-read representation as a diagnostics problem rather than as a single-model accuracy competition. We ask how exact identity retention, biochemical perturbation stability, positional readability, and compactness trade off across controlled short-read settings. Our compact main method, CK4P-MSP, combines reverse-complement canonical 4-mer identity with biochemical summaries and multi-scale property pooling to produce a low-dimensional auxiliary descriptor. Full-position matrices serve as diagnostic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also incorporates same-dimension reduction controls, paired non-parametric significance tests, block-weight audits of mixed feature spaces, k-nearest-neighbor mutual-information robustness checks, dimension-matched high-k compressed k-mer baselines, and local mutation fraction sweeps. The aim is therefore not to replace exact matching systems, but to clarify what each representation family preserves, what it obscures, and where its useful operating boundary lies.</w:t>
      </w:r>
    </w:p>
    <w:p>
      <w:pPr>
        <w:pStyle w:val="Heading2"/>
      </w:pPr>
      <w:r>
        <w:t>Materials and Methods</w:t>
      </w:r>
    </w:p>
    <w:p>
      <w:pPr>
        <w:pStyle w:val="Heading3"/>
      </w:pPr>
      <w:r>
        <w:t>Study design</w:t>
      </w:r>
    </w:p>
    <w:p>
      <w:r>
        <w:t>We designed the study as a representation-diagnostic analysis rather than an end-to-end clinical classification benchmark. The central question was what information remains available in short-read sequence representations after controlled perturbation, and whether biochemical and coarse positional summaries add usable evidence beyond an exact identity backbone. CK4 and CK5 were used as reverse-complement canonical k-mer identity baselines, P denoted global biochemical-property summaries, MSP denoted multi-scale positional property pooling, CK4+P, CK4+MSP and CK4P-MSP tested compact mixed representations, full-position matrices were treated as diagnostic upper bounds, and the canonical spaced-property (CSP) control served as a spaced-seed mechanism comparator.</w:t>
      </w:r>
    </w:p>
    <w:p>
      <w:r>
        <w:t>This design makes two claims testable. First, a compact mixed representation should remain close to its clean counterpart under nuisance perturbation while retaining enough information for shallow readout. Second, any benefit of the P or MSP channels should not be reducible to dimensionality, normalization, or dilution in a mixed L2 space. We therefore evaluated compact stability, same-dimension PCA/SVD controls, dimension-matched high-k compressed k-mer baselines, block-weight sensitivity, paired non-parametric tests, k-nearest-neighbor mutual-information robustness checks, P/MSP contribution and counterfactual controls, P/MSP redundancy, feature-extraction runtime and error-aware ART strata as parts of one evidence chain. Throughout, L2 in a mixed representation is interpreted as a standardized diagnostic drift after block construction and normalization, not as a natural biophysical distance between commensurate physical units.</w:t>
      </w:r>
    </w:p>
    <w:p>
      <w:r>
        <w:t xml:space="preserve">The 69 and 75 bp settings were chosen because they fall within the commonly reported 50-75 bp post-QC mNGS read-length regime described in the interpretation literature (Yang, </w:t>
      </w:r>
      <w:r>
        <w:rPr>
          <w:i/>
        </w:rPr>
        <w:t>Practice and Progress of mNGS Report Interpretation</w:t>
      </w:r>
      <w:r>
        <w:t>, p. 99). The underlying clinical reads were not used as experimental inputs and are not publicly available; only this length choice informed the experimental design. The remaining lengths were selected for sensitivity analysis: 100, 125 and 150 bp test whether the trends persist as reads become less extreme, and 300 bp is used only as an extended-read reference in selected boundary analyses.</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identity, global biochemical summaries and coarse positional information. CK4 and CK5 count reverse-complement canonical contiguous k-mers. P summarizes hydrogen-bond class, GC content, purine content, EIIP-like values, N fraction, entropy and length-related properties at the read level. MSP applies the same property family over relative-position bins; its purpose is not to create a larger sequence vocabulary, but to return low-dimensional positional information to an otherwise order-poor k-mer frequency vector. CK4+P concatenates canonical 4-mer identity with global property summaries, CK4+MSP tests positionalized property pooling without the global P block, and CK4P-MSP combines all three blocks. Full-position identity or property matrices retain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identity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identity-only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property and MSP drift than identity drift is a sufficient, but not necessary, condition for a lower mixed drift. This explicit block construction allowed us to test whether the observed gains persisted when identity and property weights were changed. The design therefore does not assume that concatenation is intrinsically useful; it treats concatenation as a hypothesis that must survive same-dimension baselines, dimension-matched high-k compressed baselines, block-weight audits, blockwise drift decomposition and P/MSP counterfactual controls.</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exact local identity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identity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necessary for taxonomic, allele and SNP-level evidence</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side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adds robustness information but does not replace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feature dimension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identity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seven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ART Illumina-like simulation contributed 75,592 paired rows from 37,796 templates across 69-150 bp reads. CAMI_TOY_low probes used a 104,166-row initial labelled subset and a 216,000-row expanded subset with 30 labels at 69, 75 and 100 bp. The local mutation layer used 250 triplets per analysis cell across 12 representations, four local modes and three read lengths. WGS-derived paired perturbations measured clean-versus-perturbed stability. ART Illumina-like simulation tested whether the same trends persisted under simulator-derived sequencing errors. A quality-stratified ART audit further split simulator outputs by read-quality strata, providing an error-aware check without claiming to model all clinical error processes. CAMI_TOY_low probes tested external metagenomic readability. Controlled position and order tasks tested whether positional information was recoverable. Local mutation sensitivity compared structured local changes with matched nuisance perturbation. Boundary probes tested spaced-seed transfer, context visibility and ARG/SNP limits.</w:t>
      </w:r>
    </w:p>
    <w:p>
      <w:r>
        <w:t>For CAMI_TOY_low, labels were normalized to a species-level view when available, and genus-level and target-versus-background probes were derived from the same normalized label field. Background or unclassified reads were retained only for probes that explicitly required a target/background split, whereas the labelled subsets were used for lightweight external readout at 30 labels across 69, 75 and 100 bp. The initial labelled subset supported the first external probe, and the expanded subset was used when the probe required broader label coverage. This lightweight CAMI use was intended to test whether representation-level readability survives an external metagenomic probe, not to approximate production-scale community profiling.</w:t>
      </w:r>
    </w:p>
    <w:p>
      <w:r>
        <w:t>This layered simulation design was used because each component isolates a different failure mode. The controlled WGS grid makes perturbation type, read length and representation family directly comparable. ART adds a recognized Illumina-like simulator layer, but it is retained as a consistency check rather than treated as ground-truth clinical sequencing physics. The quality-stratified ART audit adds a more explicit error-aware view of the same simulator-derived layer. It supports statements about robustness across quality strata, but it does not by itself establish clinical validation.</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identity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75,592 paired rows; 37,796 templates; 6 genera/21 species; lengths 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under simulator-derived read errors?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platform-like consistency check</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104,166-row initial subset and 216,000-row expanded subset; 30 labels;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information readable in an external metagenomic readout?</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accuracy</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lightweight readout, not clinical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Readout was quantified by macro-F1 and accuracy from shallow probes, mainly logistic regression and nearest-centroid classification. Compactness was measured by feature dimension. Local mutation analysis used selective-sensitivity ratios and delta-readout to distinguish nuisance stability from sensitivity to structured local change. Bootstrap intervals summarized cell-level variation. Paired Wilcoxon tests with Benjamini-Hochberg correction were used for matched stability comparisons. Same-dimension PCA/SVD controls addressed dimensionality effects, and block-weight audits tested whether mixed-feature conclusions were stable under reasonable reweighting of identity and property blocks.</w:t>
      </w:r>
    </w:p>
    <w:p>
      <w:r>
        <w:t>The mixed-feature question was also tested through empirical information and counterfactual audits. For a perturbation label Y and representation-derived distance or readout features X, we estimated discretized pooled and conditional MI proxies using equal-frequency binning. The main pooled distance audits used eight bins, joint P/MSP summaries used five- or six-bin discretizations depending on the audit, and empirical permutation baselines used 200 shuffles per cell. These values are reported as estimator-dependent descriptive proxies rather than absolute physical information quantities. To test estimator sensitivity, we also ran a Ross/KSG-style k-nearest-neighbor MI robustness audit for continuous distance summaries and a discrete local-versus-noise perturbation label. This audit used k=5, 50 label permutations, 50 stratified subsampling repetitions and low-dimensional summaries including d_K, d_P, d_M, d_K+d_P, d_K+d_M, and d_K+d_P+d_M across the 69, 100 and 150 bp local-mutation cells. To separate the global and positional property layers, we additionally evaluated CK4, CK4+P, CK4+MSP and CK4P-MSP under the same block-normalized assembly rule. This direct contribution audit measured paired stability and local delta-readout, and was paired with a redundancy audit based on rank, canonical-correlation analysis and row-wise P/MSP alignment. To test whether the P/MSP contribution was more than additional dimensions, we also constructed CK4 plus permuted P/MSP blocks and CK4 plus Gaussian P/MSP blocks. These controls preserve a larger feature space but remove the sequence-linked biochemical mapping. The analysis was used as empirical support for perturbation-relevant information in the added property layers. It was not treated as a dataset-independent proof that I([CK4, P];Y) is always greater than I(CK4;Y) or that P and MSP are mathematically orthogonal.</w:t>
      </w:r>
    </w:p>
    <w:p>
      <w:r>
        <w:t>We added a dimension-matched high-k compression audit to avoid comparing CK4P-MSP only with short contiguous k-mer baselines. Canonical k=15 signals were compressed to approximately the 222-feature CK4P-MSP budget using three controls: MinHash-style signatures, hashing-trick counts and sparse random projection. These baselines were evaluated on the same 69, 75, 100 and 150 bp perturbation grid using paired cosine similarity, L2 drift, nearest-clean retrieval and shallow readout. This audit tests whether the stability of CK4P-MSP persists against high-specificity k-mer information under a comparable compactness constraint. Finally, a feature-extraction runtime audit compared CK4P-MSP with CK4, CK4+P and dimension-matched high-k compressed controls. Runtime was treated as an engineering boundary, not as a primary performance claim.</w:t>
      </w:r>
    </w:p>
    <w:p>
      <w:pPr>
        <w:pStyle w:val="Heading3"/>
      </w:pPr>
      <w:r>
        <w:t>Reproducibility</w:t>
      </w:r>
    </w:p>
    <w:p>
      <w:r>
        <w:t>All generated results used local scripts and result tables stored under the project workspace. Main figure assets are in info/paper/figures, table assets are in info/paper/tables, the baseline supplementary figures are generated by info/scripts/generate_paper_supplementary_figures.py, the kNN MI robustness audit by info/scripts/run_knn_mi_robustness_audit.py, the high-k compressed baseline audit by info/scripts/run_high_k_compressed_baselines.py, the P/MSP contribution audit by info/scripts/run_p_msp_contribution_audit.py, the P/MSP redundancy and runtime audit by info/scripts/run_property_redundancy_and_runtime_audit.py, and the P-channel counterfactual audit by info/scripts/run_p_channel_counterfactual_audit.py. The manuscript should not be read as using restricted hospital reads, as claiming clinical validation, or as proposing a replacement for exact matching systems. Its supported scope is narrower: compact biochemical and position-aware summaries can serve as auxiliary diagnostic channels for representation-level robustness auditing in controlled short-read settings.</w:t>
      </w:r>
    </w:p>
    <w:p>
      <w:pPr>
        <w:pStyle w:val="Heading2"/>
      </w:pPr>
      <w:r>
        <w:t>Results</w:t>
      </w:r>
    </w:p>
    <w:p>
      <w:pPr>
        <w:pStyle w:val="Heading3"/>
      </w:pPr>
      <w:r>
        <w:t>Mixed-feature information gain under local perturbation</w:t>
      </w:r>
    </w:p>
    <w:p>
      <w:r>
        <w:t>We first tested whether the added biochemical channel carried perturbation-relevant information rather than simply changing the scale of a mixed feature space. In the local-mutation audit, the equal-frequency MI proxy gave a higher pooled value for joint CK4+P/MSP distances than for CK4 distance alone, and the conditional proxy remained positive after conditioning on CK4 distance. Because discretized MI estimates are estimator-dependent, we treated this result as a descriptive screen and repeated the analysis with a k-nearest-neighbor MI robustness audit on low-dimensional distance summaries. Across the 12 local-mutation cells, the kNN audit estimated higher MI for the joint d_K+d_P+d_M summaries than for d_K alone, with a mean incremental estimate of approximately 0.138 bits beyond d_K and permutation support across the tested cells. This result does not establish a universal information-theoretic theorem, but it supports the narrower conclusion that, on the tested perturbation grid and estimators, P/MSP distances carried empirical perturbation information beyond a pure identity-only distance.</w:t>
      </w:r>
    </w:p>
    <w:p>
      <w:r>
        <w:t>This audit is important for the interpretation of CK4P-MSP. A lower standardized drift could otherwise be attributed to dimensional dilution by low-variance auxiliary features. The MI robustness checks support a more specific conclusion: the property and MSP channels contributed perturbation-relevant empirical information under the tested local-change regime, while the block-weight audit separately checked that the conclusion was not tied to one arbitrary block scaling. The claim is therefore geometric and empirical, not a statement that heterogeneous L2 coordinates have identical physical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3" name="Picture 3" descr="Picture 3"/>
            <wp:cNvGraphicFramePr>
              <a:graphicFrameLocks noChangeAspect="1"/>
            </wp:cNvGraphicFramePr>
            <a:graphic>
              <a:graphicData uri="http://schemas.openxmlformats.org/drawingml/2006/picture">
                <pic:pic>
                  <pic:nvPicPr>
                    <pic:cNvPr id="0" name="supp_fig_s7_method_hardening_audit.jpg"/>
                    <pic:cNvPicPr/>
                  </pic:nvPicPr>
                  <pic:blipFill>
                    <a:blip r:embed="rId11"/>
                    <a:stretch>
                      <a:fillRect/>
                    </a:stretch>
                  </pic:blipFill>
                  <pic:spPr>
                    <a:xfrm>
                      <a:off x="0" y="0"/>
                      <a:ext cx="5669280" cy="4078732"/>
                    </a:xfrm>
                    <a:prstGeom prst="rect"/>
                  </pic:spPr>
                </pic:pic>
              </a:graphicData>
            </a:graphic>
          </wp:inline>
        </w:drawing>
      </w:r>
    </w:p>
    <w:p/>
    <w:p>
      <w:pPr>
        <w:pStyle w:val="Caption"/>
        <w:keepNext/>
      </w:pPr>
      <w:r>
        <w:rPr>
          <w:b/>
        </w:rPr>
        <w:t>Supplementary Figure S5. P-channel counterfactual and short-bin reliability audit.</w:t>
      </w:r>
    </w:p>
    <w:p>
      <w:pPr>
        <w:keepLines/>
        <w:jc w:val="center"/>
      </w:pPr>
      <w:r>
        <w:drawing>
          <wp:inline xmlns:a="http://schemas.openxmlformats.org/drawingml/2006/main" xmlns:pic="http://schemas.openxmlformats.org/drawingml/2006/picture">
            <wp:extent cx="5669280" cy="4251960"/>
            <wp:docPr id="4" name="Picture 4" descr="Picture 4"/>
            <wp:cNvGraphicFramePr>
              <a:graphicFrameLocks noChangeAspect="1"/>
            </wp:cNvGraphicFramePr>
            <a:graphic>
              <a:graphicData uri="http://schemas.openxmlformats.org/drawingml/2006/picture">
                <pic:pic>
                  <pic:nvPicPr>
                    <pic:cNvPr id="0" name="supp_fig_s5_p_channel_counterfactual_audit.jpg"/>
                    <pic:cNvPicPr/>
                  </pic:nvPicPr>
                  <pic:blipFill>
                    <a:blip r:embed="rId12"/>
                    <a:stretch>
                      <a:fillRect/>
                    </a:stretch>
                  </pic:blipFill>
                  <pic:spPr>
                    <a:xfrm>
                      <a:off x="0" y="0"/>
                      <a:ext cx="5669280" cy="4251960"/>
                    </a:xfrm>
                    <a:prstGeom prst="rect"/>
                  </pic:spPr>
                </pic:pic>
              </a:graphicData>
            </a:graphic>
          </wp:inline>
        </w:drawing>
      </w:r>
    </w:p>
    <w:p/>
    <w:p>
      <w:pPr>
        <w:pStyle w:val="Heading3"/>
      </w:pPr>
      <w:r>
        <w:t>Global and positional property layers have related but distinct roles</w:t>
      </w:r>
    </w:p>
    <w:p>
      <w:r>
        <w:t>We then separated the two property layers directly. In a matched contribution audit over 69, 75, 100 and 150 bp reads, CK4 alone had a mean paired L2 drift of 0.254. Adding either global P or MSP reduced this drift to 0.182 and 0.181, respectively, and CK4P-MSP reduced it further to 0.150. Thus, both property layers contributed to nuisance-perturbation stability under the block-normalized metric.</w:t>
      </w:r>
    </w:p>
    <w:p>
      <w:r>
        <w:t>The local delta-readout pattern was more specific. CK4 and CK4+P achieved mean macro-F1 values of 0.888 and 0.894 for distinguishing structured local change from matched nuisance perturbation, whereas CK4+MSP reached 0.976 and CK4P-MSP reached 0.977. This indicates that the positionalized property layer, rather than the global P block alone, carried most of the coarse positional readout gain. This supports the intended design: P provides a global biochemical stability summary, whereas MSP uses the same property family to return low-dimensional positional information to a compact identity-frequency backbone.</w:t>
      </w:r>
    </w:p>
    <w:p>
      <w:r>
        <w:t>The redundancy audit also cautions against overinterpreting P and MSP as orthogonal.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independent physical axes.</w:t>
      </w:r>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5" name="Picture 5" descr="Picture 5"/>
            <wp:cNvGraphicFramePr>
              <a:graphicFrameLocks noChangeAspect="1"/>
            </wp:cNvGraphicFramePr>
            <a:graphic>
              <a:graphicData uri="http://schemas.openxmlformats.org/drawingml/2006/picture">
                <pic:pic>
                  <pic:nvPicPr>
                    <pic:cNvPr id="0" name="supp_fig_s8_redundancy_runtime_audit.jpg"/>
                    <pic:cNvPicPr/>
                  </pic:nvPicPr>
                  <pic:blipFill>
                    <a:blip r:embed="rId13"/>
                    <a:stretch>
                      <a:fillRect/>
                    </a:stretch>
                  </pic:blipFill>
                  <pic:spPr>
                    <a:xfrm>
                      <a:off x="0" y="0"/>
                      <a:ext cx="5669280" cy="4585818"/>
                    </a:xfrm>
                    <a:prstGeom prst="rect"/>
                  </pic:spPr>
                </pic:pic>
              </a:graphicData>
            </a:graphic>
          </wp:inline>
        </w:drawing>
      </w:r>
    </w:p>
    <w:p/>
    <w:p>
      <w:pPr>
        <w:pStyle w:val="Caption"/>
        <w:keepNext/>
      </w:pPr>
      <w:r>
        <w:rPr>
          <w:b/>
        </w:rPr>
        <w:t>Supplementary Figure S9. P/MSP relation audit.</w:t>
      </w:r>
    </w:p>
    <w:p>
      <w:pPr>
        <w:keepLines/>
        <w:jc w:val="center"/>
      </w:pPr>
      <w:r>
        <w:drawing>
          <wp:inline xmlns:a="http://schemas.openxmlformats.org/drawingml/2006/main" xmlns:pic="http://schemas.openxmlformats.org/drawingml/2006/picture">
            <wp:extent cx="5669280" cy="5593690"/>
            <wp:docPr id="6" name="Picture 6" descr="Picture 6"/>
            <wp:cNvGraphicFramePr>
              <a:graphicFrameLocks noChangeAspect="1"/>
            </wp:cNvGraphicFramePr>
            <a:graphic>
              <a:graphicData uri="http://schemas.openxmlformats.org/drawingml/2006/picture">
                <pic:pic>
                  <pic:nvPicPr>
                    <pic:cNvPr id="0" name="supp_fig_s9_p_msp_relation_audit.jpg"/>
                    <pic:cNvPicPr/>
                  </pic:nvPicPr>
                  <pic:blipFill>
                    <a:blip r:embed="rId14"/>
                    <a:stretch>
                      <a:fillRect/>
                    </a:stretch>
                  </pic:blipFill>
                  <pic:spPr>
                    <a:xfrm>
                      <a:off x="0" y="0"/>
                      <a:ext cx="5669280" cy="5593690"/>
                    </a:xfrm>
                    <a:prstGeom prst="rect"/>
                  </pic:spPr>
                </pic:pic>
              </a:graphicData>
            </a:graphic>
          </wp:inline>
        </w:drawing>
      </w:r>
    </w:p>
    <w:p/>
    <w:p>
      <w:pPr>
        <w:pStyle w:val="Heading3"/>
      </w:pPr>
      <w:r>
        <w:t>MSP short-bin reliability remains usable at 69-75 bp</w:t>
      </w:r>
    </w:p>
    <w:p>
      <w:r>
        <w:t>We next tested whether MSP becomes noise-dominated when ultra-short reads are divided into finer relative-position bins. The short-bin audit did not show a catastrophic collapse at 69 or 75 bp. In the stability screen, moving from a 2-bin MSP to the full 2+3+4+6-bin MSP changed paired cosine and L2 drift only slightly at the default γ=1 setting: at 69 bp, paired cosine remained approximately 0.986 and L2 drift remained near 0.147; at 75 bp, paired cosine remained approximately 0.987 and L2 drift remained near 0.141. Retrieval also remained effectively saturated.</w:t>
      </w:r>
    </w:p>
    <w:p>
      <w:r>
        <w:t>The local delta-readout audit showed the opposite of an immediate short-bin failure. Finer multi-scale pooling improved mutation readout at fixed gamma. At 69 bp and γ=1, mean macro-F1 increased from approximately 0.865 with 2 bins to approximately 0.899 with 2+3 bins, 0.946 with 2+3+4 bins and 0.953 with 2+3+4+6 bins. The same monotonic pattern persisted at 100 and 150 bp. Bootstrap widths for pooled property features remained small, whereas worst-case binomial sampling error increased as expected when bins narrowed. The combined interpretation is therefore restrained but favorable: static MSP is not catastrophically noise-dominated in the tested ultra-short-read regime, yet it should still be interpreted as a coarse positional summary rather than as an optimized variance-aware weighting model.</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1889760"/>
            <wp:docPr id="7" name="Picture 7" descr="Picture 7"/>
            <wp:cNvGraphicFramePr>
              <a:graphicFrameLocks noChangeAspect="1"/>
            </wp:cNvGraphicFramePr>
            <a:graphic>
              <a:graphicData uri="http://schemas.openxmlformats.org/drawingml/2006/picture">
                <pic:pic>
                  <pic:nvPicPr>
                    <pic:cNvPr id="0" name="supp_fig_s6_msp_bin_gamma_sensitivity.jpg"/>
                    <pic:cNvPicPr/>
                  </pic:nvPicPr>
                  <pic:blipFill>
                    <a:blip r:embed="rId15"/>
                    <a:stretch>
                      <a:fillRect/>
                    </a:stretch>
                  </pic:blipFill>
                  <pic:spPr>
                    <a:xfrm>
                      <a:off x="0" y="0"/>
                      <a:ext cx="5669280" cy="1889760"/>
                    </a:xfrm>
                    <a:prstGeom prst="rect"/>
                  </pic:spPr>
                </pic:pic>
              </a:graphicData>
            </a:graphic>
          </wp:inline>
        </w:drawing>
      </w:r>
    </w:p>
    <w:p/>
    <w:p>
      <w:pPr>
        <w:pStyle w:val="Heading3"/>
      </w:pPr>
      <w:r>
        <w:t>Error-aware ART perturbation audit</w:t>
      </w:r>
    </w:p>
    <w:p>
      <w:r>
        <w:t>We next asked whether the external simulator evidence depended on treating ART as one pooled error source. In the quality-stratified ART audit, representative compact controls remained readable across low-, mid- and high-quality bins. The property-aware compact representation preserved high paired cosine and bounded L2 drift across quality strata, and the hybrid identity/spaced representation retained retrieval and readout consistency.</w:t>
      </w:r>
    </w:p>
    <w:p>
      <w:r>
        <w:t>These results strengthen, but do not overstate, the ART evidence. They show that the main pattern is not restricted to an undifferentiated simulator summary. They do not claim that ART quality strata capture the full physical error distribution of a clinical sequencing run.</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8" name="Picture 8" descr="Picture 8"/>
            <wp:cNvGraphicFramePr>
              <a:graphicFrameLocks noChangeAspect="1"/>
            </wp:cNvGraphicFramePr>
            <a:graphic>
              <a:graphicData uri="http://schemas.openxmlformats.org/drawingml/2006/picture">
                <pic:pic>
                  <pic:nvPicPr>
                    <pic:cNvPr id="0" name="supp_fig_s3_error_aware_art.jpg"/>
                    <pic:cNvPicPr/>
                  </pic:nvPicPr>
                  <pic:blipFill>
                    <a:blip r:embed="rId16"/>
                    <a:stretch>
                      <a:fillRect/>
                    </a:stretch>
                  </pic:blipFill>
                  <pic:spPr>
                    <a:xfrm>
                      <a:off x="0" y="0"/>
                      <a:ext cx="5669280" cy="2680310"/>
                    </a:xfrm>
                    <a:prstGeom prst="rect"/>
                  </pic:spPr>
                </pic:pic>
              </a:graphicData>
            </a:graphic>
          </wp:inline>
        </w:drawing>
      </w:r>
    </w:p>
    <w:p/>
    <w:p>
      <w:pPr>
        <w:pStyle w:val="Heading3"/>
      </w:pPr>
      <w:r>
        <w:t>Compact biochemical summaries improve perturbation stability</w:t>
      </w:r>
    </w:p>
    <w:p>
      <w:r>
        <w:t>The first main experimental block tested whether compact property-aware representations remained closer to their clean counterparts than identity-only baselines. Across the WGS-derived perturbation grid, CK4P-MSP and related property-aware compact representations retained high paired cosine and lower L2 drift while preserving nearest-clean retrieval. In the compact summary, CK4P-MSP achieved paired cosine around 0.991 with L2 drift around 0.116 at 222 features, whereas identity-only compact baselines showed higher drift under the same perturbation families.</w:t>
      </w:r>
    </w:p>
    <w:p>
      <w:r>
        <w:t>The same conclusion survived several fairness checks. Same-dimension PCA/SVD controls showed that the mixed compact result was not simply a consequence of using more features. Dimension-matched high-k compression controls further addressed whether a conventional high-specificity k-mer representation could recover the same behavior under the CK4P-MSP feature budget. In that audit, CK4P-MSP retained higher paired cosine and lower L2 drift than k=15 random projection, MinHash and hashed baselines at approximately 222 features (paired cosine 0.996 and L2 drift 0.078 for CK4P-MSP, compared with paired cosine 0.848, 0.841 and 0.794 and L2 drift 0.484, 0.506 and 0.572 for the three compressed high-k controls). Shallow readout differences were modest (logistic macro-F1 0.401 for CK4P-MSP versus 0.396 for the hashed k=15 control), so this result supports a compact perturbation-stability advantage rather than an end-to-end classifier claim. Paired Wilcoxon tests over matched analysis cells supported the stability differences for key comparisons after multiple-testing correction. Block-weight audits showed that stability and readout conclusions did not depend on one fixed identity/property weighting. P/MSP counterfactual controls further separated dimensionality from sequence-linked biochemical information: CK4 plus permuted P/MSP approached the stability of CK4P-MSP but did not reproduce its local delta-readout (macro-F1 0.875 versus 0.977), while CK4 plus Gaussian P/MSP collapsed both stability and readout. The P/MSP contribution audit further showed that CK4+P and CK4+MSP both reduced drift relative to CK4, while MSP accounted for most of the positional delta-readout gain. Together, these controls show that the stability trend is not explained by feature count, a single weighting choice or random auxiliary columns.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9" name="Picture 9" descr="Picture 9"/>
            <wp:cNvGraphicFramePr>
              <a:graphicFrameLocks noChangeAspect="1"/>
            </wp:cNvGraphicFramePr>
            <a:graphic>
              <a:graphicData uri="http://schemas.openxmlformats.org/drawingml/2006/picture">
                <pic:pic>
                  <pic:nvPicPr>
                    <pic:cNvPr id="0" name="nature_fig2_compact_stability.jpg"/>
                    <pic:cNvPicPr/>
                  </pic:nvPicPr>
                  <pic:blipFill>
                    <a:blip r:embed="rId17"/>
                    <a:stretch>
                      <a:fillRect/>
                    </a:stretch>
                  </pic:blipFill>
                  <pic:spPr>
                    <a:xfrm>
                      <a:off x="0" y="0"/>
                      <a:ext cx="5577840" cy="2519324"/>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257800"/>
            <wp:docPr id="10" name="Picture 10" descr="Picture 10"/>
            <wp:cNvGraphicFramePr>
              <a:graphicFrameLocks noChangeAspect="1"/>
            </wp:cNvGraphicFramePr>
            <a:graphic>
              <a:graphicData uri="http://schemas.openxmlformats.org/drawingml/2006/picture">
                <pic:pic>
                  <pic:nvPicPr>
                    <pic:cNvPr id="0" name="supp_fig_s1_baseline_audit.jpg"/>
                    <pic:cNvPicPr/>
                  </pic:nvPicPr>
                  <pic:blipFill>
                    <a:blip r:embed="rId18"/>
                    <a:stretch>
                      <a:fillRect/>
                    </a:stretch>
                  </pic:blipFill>
                  <pic:spPr>
                    <a:xfrm>
                      <a:off x="0" y="0"/>
                      <a:ext cx="5257800" cy="5257800"/>
                    </a:xfrm>
                    <a:prstGeom prst="rect"/>
                  </pic:spPr>
                </pic:pic>
              </a:graphicData>
            </a:graphic>
          </wp:inline>
        </w:drawing>
      </w:r>
    </w:p>
    <w:p/>
    <w:p>
      <w:r>
        <w:t>See Supplementary Figure S7.</w:t>
      </w:r>
    </w:p>
    <w:p>
      <w:pPr>
        <w:pStyle w:val="Heading3"/>
      </w:pPr>
      <w:r>
        <w:t>CK4P-MSP balances compactness, stability and shallow readout</w:t>
      </w:r>
    </w:p>
    <w:p>
      <w:r>
        <w:t>We then evaluated CK4P-MSP as a nested ablation rather than as a standalone classifier. CK4 tested compact identity alone. CK4+P tested whether global biochemical summaries were sufficient. CK4+MSP tested whether positionalized property pooling carried information beyond identity without the global P block. CK4P-MSP tested whether the global and positional property layers together improved the trade-off between stability, dimensionality and shallow readout. This hierarchy is central to the method: the representation is intended to preserve exact identity evidence while adding interpretable biochemical and positional auxiliary channels.</w:t>
      </w:r>
    </w:p>
    <w:p>
      <w:r>
        <w:t>The resulting trade-off supported the intended role. CK4P-MSP remained compact, reduced perturbation drift relative to CK4 and CK5 identity baselines, and retained competitive macro-F1 in shallow readout. It was not designed as a standalone readout model, and the manuscript should not describe it as one. Its value is that it occupies a stable and interpretable middle ground between identity-only compact features and high-dimensional full-position matrices.</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615387"/>
            <wp:docPr id="11" name="Picture 11" descr="Picture 11"/>
            <wp:cNvGraphicFramePr>
              <a:graphicFrameLocks noChangeAspect="1"/>
            </wp:cNvGraphicFramePr>
            <a:graphic>
              <a:graphicData uri="http://schemas.openxmlformats.org/drawingml/2006/picture">
                <pic:pic>
                  <pic:nvPicPr>
                    <pic:cNvPr id="0" name="nature_fig3_ck4p_msp_tradeoff.jpg"/>
                    <pic:cNvPicPr/>
                  </pic:nvPicPr>
                  <pic:blipFill>
                    <a:blip r:embed="rId19"/>
                    <a:stretch>
                      <a:fillRect/>
                    </a:stretch>
                  </pic:blipFill>
                  <pic:spPr>
                    <a:xfrm>
                      <a:off x="0" y="0"/>
                      <a:ext cx="5577840" cy="2615387"/>
                    </a:xfrm>
                    <a:prstGeom prst="rect"/>
                  </pic:spPr>
                </pic:pic>
              </a:graphicData>
            </a:graphic>
          </wp:inline>
        </w:drawing>
      </w:r>
    </w:p>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0.935</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0.316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0.378</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0.990</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0.122</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0.380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0.991</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0.882</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0.433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0.373</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support consistency beyond the controlled grid</w:t>
      </w:r>
    </w:p>
    <w:p>
      <w:r>
        <w:t>ART and CAMI were used to test whether the representation trend survived outside the handcrafted perturbation grid. ART provided simulator-derived sequencing-error evidence, and CAMI_TOY_low provided an external metagenomic readout probe. In both settings, compact property-aware representations retained the broad separation between identity-only stability and property-aware stability. CAMI also showed that target/background information could remain readable even when label-probe performance was limited, reinforcing the distinction between representation readability and production-grade classification.</w:t>
      </w:r>
    </w:p>
    <w:p>
      <w:r>
        <w:t>The quality-stratified ART audit complements this result by showing that simulator consistency persisted across read-quality bins. Together, these analyses support external consistency under controlled simulator and benchmark resources, while stopping short of any claim of clinical deployment performance.</w:t>
      </w:r>
    </w:p>
    <w:p>
      <w:pPr>
        <w:pStyle w:val="Caption"/>
        <w:keepNext/>
      </w:pPr>
      <w:r>
        <w:rPr>
          <w:b/>
        </w:rPr>
        <w:t>Figure 4. External ART and CAMI consistency probes.</w:t>
      </w:r>
    </w:p>
    <w:p>
      <w:pPr>
        <w:keepLines/>
        <w:jc w:val="center"/>
      </w:pPr>
      <w:r>
        <w:drawing>
          <wp:inline xmlns:a="http://schemas.openxmlformats.org/drawingml/2006/main" xmlns:pic="http://schemas.openxmlformats.org/drawingml/2006/picture">
            <wp:extent cx="5577840" cy="2686660"/>
            <wp:docPr id="12" name="Picture 12" descr="Picture 12"/>
            <wp:cNvGraphicFramePr>
              <a:graphicFrameLocks noChangeAspect="1"/>
            </wp:cNvGraphicFramePr>
            <a:graphic>
              <a:graphicData uri="http://schemas.openxmlformats.org/drawingml/2006/picture">
                <pic:pic>
                  <pic:nvPicPr>
                    <pic:cNvPr id="0" name="nature_fig4_external_probes.jpg"/>
                    <pic:cNvPicPr/>
                  </pic:nvPicPr>
                  <pic:blipFill>
                    <a:blip r:embed="rId20"/>
                    <a:stretch>
                      <a:fillRect/>
                    </a:stretch>
                  </pic:blipFill>
                  <pic:spPr>
                    <a:xfrm>
                      <a:off x="0" y="0"/>
                      <a:ext cx="5577840" cy="2686660"/>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recovers part of the positional information at a much smaller feature cost.</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795118"/>
            <wp:docPr id="13" name="Picture 13" descr="Picture 13"/>
            <wp:cNvGraphicFramePr>
              <a:graphicFrameLocks noChangeAspect="1"/>
            </wp:cNvGraphicFramePr>
            <a:graphic>
              <a:graphicData uri="http://schemas.openxmlformats.org/drawingml/2006/picture">
                <pic:pic>
                  <pic:nvPicPr>
                    <pic:cNvPr id="0" name="nature_fig5_full_position_upper_bound.jpg"/>
                    <pic:cNvPicPr/>
                  </pic:nvPicPr>
                  <pic:blipFill>
                    <a:blip r:embed="rId21"/>
                    <a:stretch>
                      <a:fillRect/>
                    </a:stretch>
                  </pic:blipFill>
                  <pic:spPr>
                    <a:xfrm>
                      <a:off x="0" y="0"/>
                      <a:ext cx="5577840" cy="2795118"/>
                    </a:xfrm>
                    <a:prstGeom prst="rect"/>
                  </pic:spPr>
                </pic:pic>
              </a:graphicData>
            </a:graphic>
          </wp:inline>
        </w:drawing>
      </w:r>
    </w:p>
    <w:p/>
    <w:p>
      <w:pPr>
        <w:pStyle w:val="Heading3"/>
      </w:pPr>
      <w:r>
        <w:t>Local mutation analysis separates robustness from selective sensitivity</w:t>
      </w:r>
    </w:p>
    <w:p>
      <w:r>
        <w:t>A robust representation should not be insensitive to all changes. We therefore tested whether local biochemical change remained distinguishable from matched nuisance perturbation. Property-aware and full-position channels showed larger response to structured local mutation than to matched noise in the relevant comparisons, while CK4P-MSP preserved delta-readout at compact dimensionality. The P/MSP counterfactual audit sharpened this result by showing that the real biochemical mapping, not only extra columns, was needed to obtain the strongest local-change readout.</w:t>
      </w:r>
    </w:p>
    <w:p>
      <w:r>
        <w:t>This result supports a division of labor. Paired cosine and L2 drift quantify nuisance stability, whereas selective-sensitivity ratios and delta-readout quantify whether structured local changes remain readable. CK4P-MSP is therefore not merely a smoothed representation. It can remain stable under nuisance perturbation while preserving enough auxiliary information for local-change readout.</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4" name="Picture 14" descr="Picture 14"/>
            <wp:cNvGraphicFramePr>
              <a:graphicFrameLocks noChangeAspect="1"/>
            </wp:cNvGraphicFramePr>
            <a:graphic>
              <a:graphicData uri="http://schemas.openxmlformats.org/drawingml/2006/picture">
                <pic:pic>
                  <pic:nvPicPr>
                    <pic:cNvPr id="0" name="nature_fig6_local_mutation_sensitivity.jpg"/>
                    <pic:cNvPicPr/>
                  </pic:nvPicPr>
                  <pic:blipFill>
                    <a:blip r:embed="rId22"/>
                    <a:stretch>
                      <a:fillRect/>
                    </a:stretch>
                  </pic:blipFill>
                  <pic:spPr>
                    <a:xfrm>
                      <a:off x="0" y="0"/>
                      <a:ext cx="5577840" cy="3083306"/>
                    </a:xfrm>
                    <a:prstGeom prst="rect"/>
                  </pic:spPr>
                </pic:pic>
              </a:graphicData>
            </a:graphic>
          </wp:inline>
        </w:drawing>
      </w:r>
    </w:p>
    <w:p/>
    <w:p>
      <w:pPr>
        <w:pStyle w:val="Caption"/>
        <w:keepNext/>
      </w:pPr>
      <w:r>
        <w:rPr>
          <w:b/>
        </w:rPr>
        <w:t>Table 4. Local mutation sensitivity metrics.</w:t>
      </w:r>
    </w:p>
    <w:tbl>
      <w:tblPr>
        <w:tblStyle w:val="TableGrid"/>
        <w:tblW w:type="dxa" w:w="9359"/>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 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sensitivity ratio</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delta-readout macro-F1</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0.355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0.266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0.891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0.947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0.696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0.956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P-channels</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1.255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0.188</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1.101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position k-mer 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0.167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1.125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1536</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5" name="Picture 15" descr="Picture 15"/>
            <wp:cNvGraphicFramePr>
              <a:graphicFrameLocks noChangeAspect="1"/>
            </wp:cNvGraphicFramePr>
            <a:graphic>
              <a:graphicData uri="http://schemas.openxmlformats.org/drawingml/2006/picture">
                <pic:pic>
                  <pic:nvPicPr>
                    <pic:cNvPr id="0" name="supp_fig_s4_mutation_fraction_sweep.jpg"/>
                    <pic:cNvPicPr/>
                  </pic:nvPicPr>
                  <pic:blipFill>
                    <a:blip r:embed="rId23"/>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auxiliary robustness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 diagnostic object rather than as a black-box prelude to classification. Across controlled short-read settings, exact identity evidence remained essential, but auxiliary biochemical and coarse positional summaries changed what could be measured under perturbation. CK4P-MSP was most informative in this role: it preserved a reverse-complement canonical 4-mer identity backbone while adding biochemical and multi-scale property pooling channels that improved perturbation stability and retained shallow readout at compact dimensionality.</w:t>
      </w:r>
    </w:p>
    <w:p>
      <w:r>
        <w:t>The results support a division of labor between representation families. Exact k-mer features provide the identity backbone needed for database-linked interpretation. Global biochemical summaries provide an auxiliary stability channel that can remain informative when individual exact matches are weakened by trimming, ambiguity or local perturbation. Multi-scale positional property pooling uses the same biochemical property family to return coarse layout information to an otherwise order-poor k-mer frequency vector; it is not a larger k-mer vocabulary or a learned token mapping.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high-k compressed baselines show that the stability result is not limited to comparisons with short contiguous k-mer counts: CK4P-MSP remained more stable than k=15 MinHash, hashed and random-projection controls at a comparable feature budget, although shallow readout differences were modest. Block-weight audits show that the conclusion is not tied to one arbitrary identity/property scaling. Paired Wilcoxon tests verify that the main stability contrasts are reproducible across matched analysis cells. The empirical MI and k-nearest-neighbor MI audits indicate that P/MSP distance summaries retain perturbation-relevant information beyond CK4 distance in the tested local-mutation regime. The direct P/MSP contribution audit showed that both CK4+P and CK4+MSP reduced drift relative to CK4, whereas MSP carried most of the local delta-readout gain. The redundancy audit further showed that P and MSP share a strong global property component but are not interchangeable: MSP has higher numerical rank and incomplete row-wise alignment with P. The P/MSP counterfactual audit separates sequence-linked biochemical information from feature-space expansion: permuted P/MSP blocks approach some stability behavior but do not reproduce the strongest delta-readout, whereas Gaussian auxiliary blocks fail both stability and readout. These analyses do not turn the result into a universal theorem, but they reduce the likelihood that the geometric pattern is explained only by mixed-space dilution, feature count, redundancy or a single weighting choice.</w:t>
      </w:r>
    </w:p>
    <w:p>
      <w:r>
        <w:t>The perturbation analyses also clarify the scope of the evidence. Uniform substitutions and local mutation sweeps provide controlled tests of representation behavior. ART adds a simulator-derived Illumina-like layer, and the quality-stratified ART audit shows that the main pattern persists across read-quality strata. CAMI_TOY_low provides an external metagenomic readout probe. Together, these data form a consistent body of evidence for representation-level robustness and readability. The manuscript reports the scale of each data layer so that controlled grids, simulator checks and external probes are not conflated. These data do not constitute clinical validation, and they should not be described as such.</w:t>
      </w:r>
    </w:p>
    <w:p>
      <w:r>
        <w:t>A useful outcome of the boundary analyses is that they prevent overgeneralization. CSP and spaced-seed controls help interpret which matching-oriented priors transfer into dense read-level representations, but they do not become universal replacements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that the study evaluates representation diagnostics, not an operational mNGS classifier. Kraken 2, Centrifuge, CLARK, Kaiju and related systems remain the appropriate reference frame for database-linked taxonomic assignment. The present work asks a different question: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Controlled substitutions, ambiguous-base perturbations and local mutation sweeps are useful because they isolate representation behavior, but they do not reproduce every physical process in sequencing data. ART and the quality-stratified ART audit partly address this issue by adding simulator-derived and quality-aware evidence. However, the resulting conclusions remain bounded to controlled short-read and simulator-supported settings, not to unobserved clinical error distributions.</w:t>
      </w:r>
    </w:p>
    <w:p>
      <w:r>
        <w:t>The third limitation concerns data provenance. The 69 and 75 bp settings were selected as ultra-short read lengths that fall within a commonly reported post-QC mNGS range, and the restricted clinical reads themselves were not used in this study or publicly shared. This is compliant with the manuscript's current claim because the experiments use only the length conditions, not patient-level reads or patient-derived labels. Before submission, the authors should still confirm the institutional wording for describing the data-governance boundary.</w:t>
      </w:r>
    </w:p>
    <w:p>
      <w:r>
        <w:t>The fourth limitation is that the MI and conditional-MI analyses are empirical. They support additional perturbation information in the tested feature channels, especially after the k-nearest-neighbor robustness audit, but they are not a general proof that a property-augmented representation always has higher mutual information than an identity-only representation. Likewise, the mixed L2 distance should be read as a standardized diagnostic drift after block construction and normalization, not as a natural metric that equates biochemical properties and k-mer counts as identical physical units. The correct claim is therefore conditional: under the tested local-perturbation grid and estimators, property-aware distance summaries carried additional mutation-relevant information relative to identity-only and permutation controls.</w:t>
      </w:r>
    </w:p>
    <w:p>
      <w:r>
        <w:t>The fifth limitation concerns MSP weighting and scale. The short-bin audit did not show catastrophic collapse at 69-75 bp, and finer multi-scale pooling improved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lightweight in absolute terms in the local implementation, but it was slower to extract than CK4 and simple high-k hashed or MinHash summaries. The method should therefore not be described as an engineering speed-up. Its value in this manuscript is interpretability and perturbation diagnostics under compact dimensionality; large-scale deployment would require optimized implementation and pipeline-level cost-benefit testing.</w:t>
      </w:r>
    </w:p>
    <w:p>
      <w:r>
        <w:t>The seventh limitation is model scope. Large DNA language models and learned metagenomic classifiers provide powerful sequence representations, but they were not used as direct comparators here. This choice follows from the study's diagnostic goal. The paper evaluates decomposable identity, biochemical and positional channels under controlled short-read perturbation, whereas foundation-model embeddings are high-dimensional learned representations optimized for different transfer or prediction objectives. A direct comparison with such models would require a separate benchmark design.</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not to replace exact matching, but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diagnostic objects. In controlled short-read settings, CK4P-MSP retained an exact identity backbone while adding global biochemical and positionalized biochemical channels that improved perturbation stability and preserved local-change readability. The evidence supports a bounded practical implication: biochemical and position-aware summaries may serve as auxiliary channels for representation-level robustness auditing alongside, rather than instead of, exact matching and curated database methods.</w:t>
      </w:r>
    </w:p>
    <w:p>
      <w:pPr>
        <w:pStyle w:val="Heading2"/>
      </w:pPr>
      <w:r>
        <w:t>Data Availability</w:t>
      </w:r>
    </w:p>
    <w:p>
      <w:r>
        <w:t>All processed data tables, figure source summaries and analysis outputs generated for this study are available in the project result folders and will be deposited in a public repository before submission. The current local source locations are info/results, info/paper/figures, info/paper/tables and info/scripts. The final public repository name, DOI/accession and licence are to be inserted before journal submission.</w:t>
      </w:r>
    </w:p>
    <w:p>
      <w:r>
        <w:t>Publicly reused resources include simulator- and benchmark-derived materials used for ART and CAMI analyses, which should be cited through the corresponding primary publications and public resource records in the final reference list. The restricted clinical sequencing provenance was used only to motivate the 69 and 75 bp read-length conditions, and the underlying clinical sequencing reads were not used as experimental input, are not part of the study data package, and cannot be publicly shared because they derive from a restricted clinical sequencing context.</w:t>
      </w:r>
    </w:p>
    <w:p>
      <w:pPr>
        <w:pStyle w:val="Heading2"/>
      </w:pPr>
      <w:r>
        <w:t>Code Availability</w:t>
      </w:r>
    </w:p>
    <w:p>
      <w:r>
        <w:t>The analysis scripts used to generate tables, figures and reviewer-response audits are maintained under info/scripts and will be released with the processed data package before submission. Key audit scripts include run_knn_mi_robustness_audit.py, run_high_k_compressed_baselines.py, run_p_msp_contribution_audit.py, run_property_redundancy_and_runtime_audit.py, generate_supp_fig_s8_redundancy_runtime_audit.py, run_p_channel_counterfactual_audit.py and run_msp_bin_gamma_sensitivity_audit.py. The final repository URL, software licence and archived release identifier are to be inserted before journal submission.</w:t>
      </w:r>
    </w:p>
    <w:p>
      <w:pPr>
        <w:pStyle w:val="Heading2"/>
      </w:pPr>
      <w:r>
        <w:t>Ethics and Data Governance</w:t>
      </w:r>
    </w:p>
    <w:p>
      <w:r>
        <w:t>No patient-level clinical sequencing reads, patient identifiers or patient-derived labels were analyzed in this study. The authors should confirm the institutional wording for this boundary statement before submission.</w:t>
      </w:r>
    </w:p>
    <w:p>
      <w:pPr>
        <w:pStyle w:val="Heading2"/>
      </w:pPr>
      <w:r>
        <w:t>Author Contributions</w:t>
      </w:r>
    </w:p>
    <w:p>
      <w:r>
        <w:t>TBD before submission. Suggested CRediT-style roles to confirm: conceptualization; methodology; software; formal analysis; investigation; data curation; writing - original draft; writing - review and editing; visualization; supervision; funding acquisition.</w:t>
      </w:r>
    </w:p>
    <w:p>
      <w:pPr>
        <w:pStyle w:val="Heading2"/>
      </w:pPr>
      <w:r>
        <w:t>Funding</w:t>
      </w:r>
    </w:p>
    <w:p>
      <w:r>
        <w:t>TBD before submission. Insert grant numbers and funder names exactly as required by NAR/OUP.</w:t>
      </w:r>
    </w:p>
    <w:p>
      <w:pPr>
        <w:pStyle w:val="Heading2"/>
      </w:pPr>
      <w:r>
        <w:t>Acknowledgements</w:t>
      </w:r>
    </w:p>
    <w:p>
      <w:r>
        <w:t>TBD before submission. Include only contributors who meet acknowledgement criteria and do not meet authorship criteria.</w:t>
      </w:r>
    </w:p>
    <w:p>
      <w:pPr>
        <w:pStyle w:val="Heading2"/>
      </w:pPr>
      <w:r>
        <w:t>Conflict of Interest</w:t>
      </w:r>
    </w:p>
    <w:p>
      <w:r>
        <w:t>The authors should confirm the final statement before submission. If accurate, use: 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Wood, Derrick E.; Salzberg, Steven L. Kraken: Ultrafast Metagenomic Sequence Classification Using Exact Alignments. Genome Biology 2014;15:R46. doi:10.1186/gb-2014-15-3-r46</w:t>
      </w:r>
    </w:p>
    <w:p>
      <w:pPr>
        <w:ind w:hanging="360" w:left="360"/>
      </w:pPr>
      <w:r>
        <w:t>8. Wood, Derrick E.; Lu, Jennifer; Langmead, Ben Improved Metagenomic Analysis with Kraken 2. Genome Biology 2019;20:257. doi:10.1186/s13059-019-1891-0</w:t>
      </w:r>
    </w:p>
    <w:p>
      <w:pPr>
        <w:ind w:hanging="360" w:left="360"/>
      </w:pPr>
      <w:r>
        <w:t>9. Ounit, Rachid; Wanamaker, Steve; Close, Timothy J.; Lonardi, Stefano CLARK: Fast and Accurate Classification of Metagenomic and Genomic Sequences Using Discriminative k-mers. BMC Genomics 2015;16:236. doi:10.1186/s12864-015-1419-2</w:t>
      </w:r>
    </w:p>
    <w:p>
      <w:pPr>
        <w:ind w:hanging="360" w:left="360"/>
      </w:pPr>
      <w:r>
        <w:t>10. Kim, Daehwan; Song, Li; Breitwieser, Florian P.; Salzberg, Steven L. Centrifuge: Rapid and Sensitive Classification of Metagenomic Sequences. Genome Research 2016;26:1721--1729. doi:10.1101/gr.210641.116</w:t>
      </w:r>
    </w:p>
    <w:p>
      <w:pPr>
        <w:ind w:hanging="360" w:left="360"/>
      </w:pPr>
      <w:r>
        <w:t>11. Menzel, Peter; Ng, Kim Lee; Krogh, Anders Fast and Sensitive Taxonomic Classification for Metagenomics with Kaiju. Nature Communications 2016;7:11257. doi:10.1038/ncomms11257</w:t>
      </w:r>
    </w:p>
    <w:p>
      <w:pPr>
        <w:ind w:hanging="360" w:left="360"/>
      </w:pPr>
      <w:r>
        <w:t>12.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13.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14. Brinda, Karel; Sykulski, Michal; Kucherov, Gregory Spaced Seeds Improve k-mer-based Metagenomic Classification. Bioinformatics 2015;31:3584--3592. doi:10.1093/bioinformatics/btv419</w:t>
      </w:r>
    </w:p>
    <w:p>
      <w:pPr>
        <w:ind w:hanging="360" w:left="360"/>
      </w:pPr>
      <w:r>
        <w:t>15. Krawczyk, Pawel S.; Lipinski, Leszek; Dziembowski, Andrzej PlasFlow: Predicting Plasmid Sequences in Metagenomic Data Using Genome Signatures. Nucleic Acids Research 2018;46:e35. doi:10.1093/nar/gkx1321</w:t>
      </w:r>
    </w:p>
    <w:p>
      <w:pPr>
        <w:ind w:hanging="360" w:left="360"/>
      </w:pPr>
      <w:r>
        <w:t>16. Fiannaca, Antonino; La Paglia, Laura; La Rosa, Massimo; Lo Bosco, Giosue'; Urso, Antonio; others Deep Learning Models for Bacteria Taxonomic Classification of Metagenomic Data. BMC Bioinformatics 2018;19:198. doi:10.1186/s12859-018-2182-6</w:t>
      </w:r>
    </w:p>
    <w:p>
      <w:pPr>
        <w:ind w:hanging="360" w:left="360"/>
      </w:pPr>
      <w:r>
        <w:t>17. Fuhl, Wolfgang; Zabel, Susanne; Nieselt, Kay Resource Saving Taxonomy Classification with k-mer Distributions and Machine Learning.  2023.</w:t>
      </w:r>
    </w:p>
    <w:p>
      <w:pPr>
        <w:ind w:hanging="360" w:left="360"/>
      </w:pPr>
      <w:r>
        <w:t>18. Ondov, Brian D.; Treangen, Todd J.; Melsted, Pall; Mallonee, Adam B.; Bergman, Nicholas H.; Koren, Sergey; Phillippy, Adam M. Mash: Fast Genome and Metagenome Distance Estimation Using MinHash. Genome Biology 2016;17:132. doi:10.1186/s13059-016-0997-x</w:t>
      </w:r>
    </w:p>
    <w:p>
      <w:pPr>
        <w:ind w:hanging="360" w:left="360"/>
      </w:pPr>
      <w:r>
        <w:t>19. Zielezinski, Andrzej; Vinga, Susana; Almeida, Jonas; Karlowski, Wojciech M. Alignment-free Sequence Comparison: Benefits, Applications, and Tools. Genome Biology 2017;18:186. doi:10.1186/s13059-017-1319-7</w:t>
      </w:r>
    </w:p>
    <w:p>
      <w:pPr>
        <w:ind w:hanging="360" w:left="360"/>
      </w:pPr>
      <w:r>
        <w:t>20. Jeffrey, H. Joel Chaos Game Representation of Gene Structure. Nucleic Acids Research 1990;18:2163--2170. doi:10.1093/nar/18.8.2163</w:t>
      </w:r>
    </w:p>
    <w:p>
      <w:pPr>
        <w:ind w:hanging="360" w:left="360"/>
      </w:pPr>
      <w:r>
        <w:t>21. Voss, Richard F. Evolution of Long-range Fractal Correlations and 1/f Noise in DNA Base Sequences. Physical Review Letters 1992;68:3805--3808. doi:10.1103/PhysRevLett.68.3805</w:t>
      </w:r>
    </w:p>
    <w:p>
      <w:pPr>
        <w:ind w:hanging="360" w:left="360"/>
      </w:pPr>
      <w:r>
        <w:t>22. Anastassiou, Dimitris Genomic Signal Processing. IEEE Signal Processing Magazine 2001;18:8--20. doi:10.1109/79.939833</w:t>
      </w:r>
    </w:p>
    <w:p>
      <w:pPr>
        <w:ind w:hanging="360" w:left="360"/>
      </w:pPr>
      <w:r>
        <w:t>23. Cristea, Paul D. Conversion of Nucleotides Sequences into Genomic Signals. Journal of Cellular and Molecular Medicine 2002;6:279--303. doi:10.1111/j.1582-4934.2002.tb00196.x</w:t>
      </w:r>
    </w:p>
    <w:p>
      <w:pPr>
        <w:ind w:hanging="360" w:left="360"/>
      </w:pPr>
      <w:r>
        <w:t>24. Mendizabal-Ruiz, Gerardo; Rom{\'a}n-God{\'i}nez, Israel; Torres-Ramos, Sulema; Salido-Ruiz, Ricardo A.; Morales, J. Alejandro On DNA Numerical Representations for Genomic Similarity Computation. PLOS ONE 2017;12:e0173288. doi:10.1371/journal.pone.0173288</w:t>
      </w:r>
    </w:p>
    <w:p>
      <w:pPr>
        <w:ind w:hanging="360" w:left="360"/>
      </w:pPr>
      <w:r>
        <w:t>25. Mendizabal-Ruiz, Gerardo; Rom{\'a}n-God{\'i}nez, Israel; Torres-Ramos, Sulema; Salido-Ruiz, Ricardo A.; Morales, J. Alejandro Genomic Signal Processing for DNA Sequence Clustering. PeerJ 2018;6:e4264. doi:10.7717/peerj.4264</w:t>
      </w:r>
    </w:p>
    <w:p>
      <w:pPr>
        <w:ind w:hanging="360" w:left="360"/>
      </w:pPr>
      <w:r>
        <w:t>26. Nair, Achuthsankar S.; Sreenadhan, Sivarama Pillai A Coding Measure Scheme Employing Electron-Ion Interaction Pseudopotential. Bioinformation 2006;1:197--202.</w:t>
      </w:r>
    </w:p>
    <w:p>
      <w:pPr>
        <w:ind w:hanging="360" w:left="360"/>
      </w:pPr>
      <w:r>
        <w:t>27. Liang, Qiaoxing; Bible, Paul W.; Liu, Youping; Zou, Bin; Wei, Li DeepMicrobes: Taxonomic Classification for Metagenomics with Deep Learning. NAR Genomics and Bioinformatics 2020;2:lqaa009. doi:10.1093/nargab/lqaa009</w:t>
      </w:r>
    </w:p>
    <w:p>
      <w:pPr>
        <w:ind w:hanging="360" w:left="360"/>
      </w:pPr>
      <w:r>
        <w:t>28. Wichmann, Felix; Zamudio, Jose R.; Eils, Roland; Schlesner, Matthias MetaTransformer: Deep Metagenomic Sequencing Read Classification Using Self-attention Models. NAR Genomics and Bioinformatics 2023;5:lqad082. doi:10.1093/nargab/lqad082</w:t>
      </w:r>
    </w:p>
    <w:p>
      <w:pPr>
        <w:ind w:hanging="360" w:left="360"/>
      </w:pPr>
      <w:r>
        <w:t>29.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30.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31. Zhou, Zhihan; Ji, Yanrong; Li, Weijian; Dutta, Pratik; Davuluri, Ramana V.; Liu, Han DNABERT-2: Efficient Foundation Model and Benchmark for Multi-Species Genome.  2024. doi:10.48550/arXiv.2306.15006</w:t>
      </w:r>
    </w:p>
    <w:p>
      <w:pPr>
        <w:ind w:hanging="360" w:left="360"/>
      </w:pPr>
      <w:r>
        <w:t>32.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33. Nguyen, Eric; Poli, Michael; Faizi, Marjan; Thomas, Armin W.; Birch-Sykes, Camden; Wornow, Michael; Patel, Aman; Rabideau, Charles; Massaroli, Stefano; Bengio, Yoshua; Ermon, Stefano; Baccus, Stephen A.; Re, Christopher HyenaDNA: Long-Range Genomic Sequence Modeling at Single Nucleotide Resolution.  2023.</w:t>
      </w:r>
    </w:p>
    <w:p>
      <w:pPr>
        <w:ind w:hanging="360" w:left="360"/>
      </w:pPr>
      <w:r>
        <w:t>34.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35.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36. Rojas-Carulla, Mateo; Tolstikhin, Ilya; Luque, Guillermo; Youngblut, Nicholas; Ley, Ruth; Sch{\"o}lkopf, Bernhard GeNet: Deep Representations for Metagenomics.  2019.</w:t>
      </w:r>
    </w:p>
    <w:p>
      <w:pPr>
        <w:ind w:hanging="360" w:left="360"/>
      </w:pPr>
      <w:r>
        <w:t>37. Ren, Jie; Song, Kai; Deng, Chao; Ahlgren, Nathan A.; Fuhrman, Jed A.; Li, Yi; Xie, Xiaohui; Poplin, Ryan; Sun, Fengzhu Identifying Viruses from Metagenomic Data Using Deep Learning. Quantitative Biology 2020;8:64--77. doi:10.1007/s40484-019-0187-4</w:t>
      </w:r>
    </w:p>
    <w:p>
      <w:pPr>
        <w:ind w:hanging="360" w:left="360"/>
      </w:pPr>
      <w:r>
        <w:t>38. Miao, Yan; Liu, Fu; Hou, Tao; Liu, Yun Virtifier: A Deep Learning-Based Identifier for Viral Sequences from Metagenomes. Bioinformatics 2022;38:1216--1222. doi:10.1093/bioinformatics/btab845</w:t>
      </w:r>
    </w:p>
    <w:p>
      <w:pPr>
        <w:ind w:hanging="360" w:left="360"/>
      </w:pPr>
      <w:r>
        <w:t>39. Miao, Yan; Bian, Jilong; Dong, Guanghui; Dai, Tianhong DETIRE: A Hybrid Deep Learning Model for Identifying Viral Sequences from Metagenomes. Frontiers in Microbiology 2023;14:1169791. doi:10.3389/fmicb.2023.1169791</w:t>
      </w:r>
    </w:p>
    <w:p>
      <w:pPr>
        <w:ind w:hanging="360" w:left="360"/>
      </w:pPr>
      <w:r>
        <w:t>40. Moore, Matthew P.; Laager, Mirjam; Ribeca, Paolo; Didelot, Xavier KmerAperture: Retaining k-mer Synteny for Alignment-free Estimation of Within-lineage Core and Accessory Differences.  2022. doi:10.1101/2022.10.12.511870</w:t>
      </w:r>
    </w:p>
    <w:p>
      <w:pPr>
        <w:pStyle w:val="Caption"/>
      </w:pPr>
      <w:r>
        <w:t>Draft note: Author names, affiliations, funding, repository DOI/accession, licence and final reference-manager formatting must be completed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