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0A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bookmarkStart w:id="0" w:name="_GoBack"/>
      <w:r>
        <w:rPr>
          <w:rFonts w:hint="eastAsia" w:ascii="仿宋" w:hAnsi="仿宋" w:eastAsia="仿宋" w:cs="仿宋"/>
          <w:b/>
          <w:bCs/>
          <w:sz w:val="24"/>
          <w:szCs w:val="24"/>
        </w:rPr>
        <w:t>随笔:是谁的物什？</w:t>
      </w:r>
    </w:p>
    <w:bookmarkEnd w:id="0"/>
    <w:p w14:paraId="192BF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我从《众意难违》那篇文章出发，又想到爱新觉罗·恒绍那枚乾隆玉扳指的新闻。《众意难违》讨论的是“无主之物”——出土的、不知归谁的、只能由国家收走的文物。但玉扳指是另一种情况：有主，而且主还在。</w:t>
      </w:r>
    </w:p>
    <w:p w14:paraId="2F391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恒绍面对“应该上交”的众意，回了六个字：“我是皇帝后裔。”</w:t>
      </w:r>
    </w:p>
    <w:p w14:paraId="0A34B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专家鉴定是真的，法律也站他这边——《文物保护法》第六条保护祖传文物所有权。</w:t>
      </w:r>
    </w:p>
    <w:p w14:paraId="4070A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这个案例戳破了“众意”的铁板：当“众意”遇到有根的“私意”，它会裂开。</w:t>
      </w:r>
    </w:p>
    <w:p w14:paraId="39A3E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于是我又接着问：那故宫里的东西呢？康熙雍正乾隆复活，回家还要买票——这个段子怎么解？</w:t>
      </w:r>
    </w:p>
    <w:p w14:paraId="04247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案是，故宫那批文物，1924年溥仪出宫后，经过清室善后委员会六年点查、登记，从“皇族私产”转变为“国家公产”。它不是“没收”，是通过一套程序完成的国有化确认。转变的关键在于：那些文物的历史价值，被认为超出了家族私产的范围，应归国民共有。</w:t>
      </w:r>
    </w:p>
    <w:p w14:paraId="6A4A8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大明皇帝的后代当然还在——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如</w:t>
      </w:r>
      <w:r>
        <w:rPr>
          <w:rFonts w:hint="eastAsia" w:ascii="仿宋" w:hAnsi="仿宋" w:eastAsia="仿宋" w:cs="仿宋"/>
          <w:sz w:val="24"/>
          <w:szCs w:val="24"/>
        </w:rPr>
        <w:t>今还有朱元璋六世孙的墓被发现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——</w:t>
      </w:r>
      <w:r>
        <w:rPr>
          <w:rFonts w:hint="eastAsia" w:ascii="仿宋" w:hAnsi="仿宋" w:eastAsia="仿宋" w:cs="仿宋"/>
          <w:sz w:val="24"/>
          <w:szCs w:val="24"/>
        </w:rPr>
        <w:t>但他们去十三陵，也得买票。</w:t>
      </w:r>
    </w:p>
    <w:p w14:paraId="480B3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还好祭祖一般不记非常远古的祖宗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不然有些人祭祖到了门口还要买票。</w:t>
      </w:r>
    </w:p>
    <w:p w14:paraId="32D14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血缘还在，地契没了；祖宗在里头，孙子在外头，中间隔着一道售票口。 </w:t>
      </w:r>
    </w:p>
    <w:p w14:paraId="38999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所以你会发现，祭祖这件事，靠的是遗忘——忘了太远的，才能安心祭近的。</w:t>
      </w:r>
    </w:p>
    <w:p w14:paraId="7FF23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我不是皇室后裔，不能体会他们心中可能的苦痛，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也</w:t>
      </w:r>
      <w:r>
        <w:rPr>
          <w:rFonts w:hint="eastAsia" w:ascii="仿宋" w:hAnsi="仿宋" w:eastAsia="仿宋" w:cs="仿宋"/>
          <w:sz w:val="24"/>
          <w:szCs w:val="24"/>
        </w:rPr>
        <w:t>请原谅我的“冷漠”。</w:t>
      </w:r>
    </w:p>
    <w:p w14:paraId="3247C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有些痛苦不属于我，就不能说自己“理解”。比“理解”更重要的，是“承认存在”：你知道那种苦可能存在，不会因为自己感受不到就否定它。</w:t>
      </w:r>
    </w:p>
    <w:p w14:paraId="62AC6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我也在想，就算他们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心中</w:t>
      </w:r>
      <w:r>
        <w:rPr>
          <w:rFonts w:hint="eastAsia" w:ascii="仿宋" w:hAnsi="仿宋" w:eastAsia="仿宋" w:cs="仿宋"/>
          <w:sz w:val="24"/>
          <w:szCs w:val="24"/>
        </w:rPr>
        <w:t>难受，可能也不是不想说，而是没办法说。</w:t>
      </w:r>
    </w:p>
    <w:p w14:paraId="4AB05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因为那种经验没有名字——家还在但成了博物馆，祖宗还在但成了展品，你还在但成了游客。语言是为常见经验准备的，这种经验不在菜单上。</w:t>
      </w:r>
    </w:p>
    <w:p w14:paraId="338B0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说不出来，还因为说出来也没用——跟谁说？换来什么？可能只是误解、嘲讽或沉默。那不是“没话可说”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，而</w:t>
      </w:r>
      <w:r>
        <w:rPr>
          <w:rFonts w:hint="eastAsia" w:ascii="仿宋" w:hAnsi="仿宋" w:eastAsia="仿宋" w:cs="仿宋"/>
          <w:sz w:val="24"/>
          <w:szCs w:val="24"/>
        </w:rPr>
        <w:t>是“话没地方放”。</w:t>
      </w:r>
    </w:p>
    <w:p w14:paraId="09AD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看见说不出来的东西，比听懂说出来的东西，更难。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93E79"/>
    <w:rsid w:val="5C99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2026-02-19T06:54:00Z</dcterms:created>
  <dc:creator>北海无泉饮客0019</dc:creator>
  <cp:lastModifiedBy>北海无泉饮客0019</cp:lastModifiedBy>
  <dcterms:modified xsi:type="dcterms:W3CDTF">2026-02-19T06:57:09Z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19A5D20663DA4166B26C4F58B7576C09_11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