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80"/>
        <w:jc w:val="center"/>
      </w:pPr>
      <w:r>
        <w:rPr>
          <w:b/>
          <w:bCs/>
          <w:sz w:val="32"/>
          <w:szCs w:val="32"/>
        </w:rPr>
        <w:t xml:space="preserve">科技成果转化说明材料</w:t>
      </w:r>
    </w:p>
    <w:p>
      <w:pPr>
        <w:spacing w:after="180"/>
        <w:jc w:val="center"/>
      </w:pPr>
      <w:r>
        <w:t xml:space="preserve">(2025.12)</w:t>
      </w:r>
    </w:p>
    <w:p>
      <w:pPr>
        <w:spacing w:after="120" w:line="360"/>
      </w:pPr>
      <w:r>
        <w:t xml:space="preserve"/>
      </w:r>
    </w:p>
    <w:p>
      <w:pPr>
        <w:spacing w:after="120" w:line="360"/>
      </w:pPr>
      <w:r>
        <w:t xml:space="preserve">一、科技成果名称：综合信息平台研发及运维技术服务</w:t>
      </w:r>
    </w:p>
    <w:p>
      <w:pPr>
        <w:spacing w:after="120" w:line="360"/>
      </w:pPr>
      <w:r>
        <w:t xml:space="preserve">——巧姐公关信息填报系统（PC版）V1.0</w:t>
      </w:r>
    </w:p>
    <w:p>
      <w:pPr>
        <w:spacing w:after="120" w:line="360"/>
      </w:pPr>
      <w:r>
        <w:t xml:space="preserve">——巧姐公关信息填报系统（H5版）V1.0</w:t>
      </w:r>
    </w:p>
    <w:p>
      <w:pPr>
        <w:spacing w:after="120" w:line="360"/>
      </w:pPr>
      <w:r>
        <w:t xml:space="preserve">二、科技成果类型：软件著作权</w:t>
      </w:r>
    </w:p>
    <w:p>
      <w:pPr>
        <w:spacing w:after="120" w:line="360"/>
      </w:pPr>
      <w:r>
        <w:t xml:space="preserve">三、科技成果来源：自主研发</w:t>
      </w:r>
    </w:p>
    <w:p>
      <w:pPr>
        <w:spacing w:after="120" w:line="360"/>
      </w:pPr>
      <w:r>
        <w:t xml:space="preserve">四、成果转化描述：</w:t>
      </w:r>
    </w:p>
    <w:p>
      <w:pPr>
        <w:spacing w:after="120" w:line="360"/>
      </w:pPr>
      <w:r>
        <w:t xml:space="preserve">综合信息平台研发及运维技术服务的两个子项目“巧姐公关信息填报系统（PC版）V1.0”、“巧姐公关信息填报系统（H5版）V1.0”的研发成果转化均通过自行投资的方式实施转化，将综合信息平台研发成果转化运用于企业舆情管理、公关信息汇总、客诉填报与统计分析等业务场景当中。</w:t>
      </w:r>
    </w:p>
    <w:p>
      <w:pPr>
        <w:spacing w:after="120" w:line="360"/>
      </w:pPr>
      <w:r>
        <w:t xml:space="preserve">其中巧姐公关信息填报系统（PC版）V1.0 主要应用于品牌企业或公关服务团队的后台管理场景，实现对舆情信息、客诉处理、工作总结、案例库和文件交换等业务的综合管理。系统可围绕品牌、地域、时间、品类等维度进行查询统计，并通过图表看板对舆情数据和处置情况进行可视化展示。该项目运用了后端业务服务框架、前端管理端技术、图表可视化组件、权限控制与操作日志等关键技术，对舆情与客诉数据进行结构化管理和全过程留痕。成果转化后，有助于提升企业对舆情态势和客诉进展的掌控能力，降低人工台账和分散表格管理带来的统计压力，提高公关管理的规范化与标准化水平。</w:t>
      </w:r>
    </w:p>
    <w:p>
      <w:pPr>
        <w:spacing w:after="120" w:line="360"/>
      </w:pPr>
      <w:r>
        <w:t xml:space="preserve">巧姐公关信息填报系统（H5版）V1.0 主要面向移动场景下的一线填报人员使用，支持舆情数据快速录入、客诉处理填报、结果查询和个人信息维护等功能。该子项目与 PC 端统一数据模型和业务口径，可实现移动端录入与后台统计结果的同步联动。项目在转化应用中，能够有效缩短数据回传时间，减少重复录入和信息遗漏，提高外勤人员的填报效率和管理人员的数据获取时效。相关成果在企业公关管理和数据收集场景中具有较好的应用价值，可持续支撑后续的模板优化、功能扩展与软件成果整理工作。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eastAsia="Noto Sans CJK SC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 w:val="false"/>
      <w:keepLines w:val="false"/>
      <w:spacing w:after="120" w:before="180"/>
      <w:outlineLvl w:val="0"/>
    </w:pPr>
    <w:rPr>
      <w:rFonts w:ascii="Arial" w:eastAsia="Noto Sans CJK SC" w:hAnsi="Arial"/>
      <w:b/>
      <w:bCs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2026-04-30T08:05:06.265Z</dcterms:created>
  <dcterms:modified xsi:type="dcterms:W3CDTF">2026-04-30T08:05:06.265Z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