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32"/>
          <w:szCs w:val="32"/>
        </w:rPr>
        <w:t xml:space="preserve">科技成果转化说明材料</w:t>
      </w:r>
    </w:p>
    <w:p>
      <w:pPr>
        <w:spacing w:after="180"/>
        <w:jc w:val="center"/>
      </w:pPr>
      <w:r/>
      <w:r>
        <w:rPr>
          <w:color w:val="FF0000"/>
        </w:rPr>
      </w:r>
      <w:r>
        <w:rPr>
          <w:color w:val="000000"/>
        </w:rPr>
        <w:t>(2025.12)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一、科技成果名称：新政务服务大厅信息系统集成服务</w:t>
      </w:r>
    </w:p>
    <w:p>
      <w:pPr>
        <w:spacing w:after="120" w:line="360"/>
      </w:pPr>
      <w:r>
        <w:t xml:space="preserve">——基层治理微平台V1.0（PC端）</w:t>
      </w:r>
    </w:p>
    <w:p>
      <w:pPr>
        <w:spacing w:after="120" w:line="360"/>
      </w:pPr>
      <w:r>
        <w:t xml:space="preserve">二、科技成果类型：软件著作权</w:t>
      </w:r>
    </w:p>
    <w:p>
      <w:pPr>
        <w:spacing w:after="120" w:line="360"/>
      </w:pPr>
      <w:r>
        <w:t xml:space="preserve">三、科技成果来源：自主研发</w:t>
      </w:r>
    </w:p>
    <w:p>
      <w:pPr>
        <w:spacing w:after="120" w:line="360"/>
      </w:pPr>
      <w:r>
        <w:t xml:space="preserve">四、成果转化描述：</w:t>
      </w:r>
    </w:p>
    <w:p>
      <w:pPr>
        <w:spacing w:after="120" w:line="360"/>
      </w:pPr>
      <w:r>
        <w:t xml:space="preserve">新政务服务大厅信息系统集成服务的核心子项目“基层治理微平台V1.0（PC端）”的研发成果转化通过自行投资的方式实施转化，将该研发成果转化运用于街道、社区、网格化治理和便民服务等基层业务场景当中。</w:t>
      </w:r>
    </w:p>
    <w:p>
      <w:pPr>
        <w:spacing w:after="120" w:line="360"/>
      </w:pPr>
      <w:r>
        <w:t xml:space="preserve">其中基层治理微平台V1.0（PC端）主要围绕社区活动管理、志愿服务、居民信息管理、商户信息管理、网格巡查、便民服务、社区资源预约和 GIS 地图展示等业务模块进行建设。该项目通过统一的后台管理平台，将原本分散的社区治理事项和服务内容整合到同一系统中，实现基础数据统一维护、问题流转统一跟踪、统计结果统一汇总和管理权限统一配置。项目运用了分层服务架构、前端管理平台、GIS 地图联动、组织权限控制和日志审计等关键技术，能够在网格化治理场景中支撑管理者从区域、住户、商户和巡查问题等多个维度开展业务分析与处理。成果转化后，可有效提升社区治理的信息整合程度和工作协同效率，减少线下登记、重复沟通和信息割裂问题，提高基层治理工作的规范化、精细化和数字化水平。该成果已形成相应研发资料、功能说明和后续持续优化基础，可在类似社区治理场景中继续推广应用。</w:t>
      </w:r>
    </w:p>
    <w:p>
      <w:r>
        <w:rPr>
          <w:color w:val="FF0000"/>
        </w:rPr>
      </w:r>
      <w:r>
        <w:rPr>
          <w:color w:val="000000"/>
        </w:rPr>
        <w:t>成果转化时间：2025年12月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180"/>
      <w:outlineLvl w:val="0"/>
    </w:pPr>
    <w:rPr>
      <w:rFonts w:ascii="Arial" w:eastAsia="Noto Sans CJK SC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2026-04-30T08:05:06.283Z</dcterms:created>
  <dcterms:modified xsi:type="dcterms:W3CDTF">2026-04-30T08:05:06.283Z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