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JavaGrader Fine-Tuning Dataset</w:t>
      </w:r>
    </w:p>
    <w:p>
      <w:pPr>
        <w:spacing w:after="60"/>
      </w:pPr>
      <w:r>
        <w:rPr>
          <w:rFonts w:ascii="Arial" w:cs="Arial" w:eastAsia="Arial" w:hAnsi="Arial"/>
          <w:color w:val="2E75B6"/>
          <w:sz w:val="28"/>
          <w:szCs w:val="28"/>
        </w:rPr>
        <w:t xml:space="preserve">Dataset Card &amp; Evaluation Report</w:t>
      </w:r>
    </w:p>
    <w:p>
      <w:pPr>
        <w:spacing w:after="400"/>
      </w:pPr>
      <w:r>
        <w:rPr>
          <w:rFonts w:ascii="Arial" w:cs="Arial" w:eastAsia="Arial" w:hAnsi="Arial"/>
          <w:color w:val="595959"/>
          <w:sz w:val="22"/>
          <w:szCs w:val="22"/>
        </w:rPr>
        <w:t xml:space="preserve">Version 4  ·  April 2025  ·  GPT-4.1 nano SFT  ·  4 file variants</w:t>
      </w:r>
    </w:p>
    <w:p>
      <w:pPr>
        <w:pStyle w:val="Heading1"/>
      </w:pPr>
      <w:r>
        <w:t xml:space="preserve">1. Overview</w:t>
      </w:r>
    </w:p>
    <w:p>
      <w:pPr>
        <w:spacing w:after="120"/>
      </w:pPr>
      <w:r>
        <w:rPr>
          <w:sz w:val="22"/>
          <w:szCs w:val="22"/>
        </w:rPr>
        <w:t xml:space="preserve">This dataset fine-tunes GPT-4.1 nano as an automated Java code grader for student submissions. The model learns to assess student-written Java methods against instructor-defined rubrics, produce criterion-by-criterion scoring with rationale, generate student-facing feedback, classify error types, and calibrate confidence based on evidence availability.</w:t>
      </w:r>
    </w:p>
    <w:p>
      <w:pPr>
        <w:spacing w:after="60"/>
      </w:pPr>
      <w:r>
        <w:t xml:space="preserve"/>
      </w:r>
    </w:p>
    <w:p>
      <w:pPr>
        <w:spacing w:after="120"/>
      </w:pPr>
      <w:r>
        <w:rPr>
          <w:sz w:val="22"/>
          <w:szCs w:val="22"/>
        </w:rPr>
        <w:t xml:space="preserve">The dataset ships as </w:t>
      </w:r>
      <w:r>
        <w:rPr>
          <w:b/>
          <w:bCs/>
          <w:sz w:val="22"/>
          <w:szCs w:val="22"/>
        </w:rPr>
        <w:t xml:space="preserve">four JSONL files</w:t>
      </w:r>
      <w:r>
        <w:rPr>
          <w:sz w:val="22"/>
          <w:szCs w:val="22"/>
        </w:rPr>
        <w:t xml:space="preserve"> in two paired variants:</w:t>
      </w:r>
    </w:p>
    <w:p>
      <w:pPr>
        <w:pStyle w:val="ListParagraph"/>
        <w:numPr>
          <w:ilvl w:val="0"/>
          <w:numId w:val="2"/>
        </w:numPr>
        <w:spacing w:after="60"/>
      </w:pPr>
      <w:r>
        <w:rPr>
          <w:sz w:val="22"/>
          <w:szCs w:val="22"/>
        </w:rPr>
        <w:t xml:space="preserve">train_set.jsonl / val_set.jsonl — base dataset (750 train, 150 val). Code bodies may repeat across examples.</w:t>
      </w:r>
    </w:p>
    <w:p>
      <w:pPr>
        <w:pStyle w:val="ListParagraph"/>
        <w:numPr>
          <w:ilvl w:val="0"/>
          <w:numId w:val="2"/>
        </w:numPr>
        <w:spacing w:after="60"/>
      </w:pPr>
      <w:r>
        <w:rPr>
          <w:sz w:val="22"/>
          <w:szCs w:val="22"/>
        </w:rPr>
        <w:t xml:space="preserve">train_set_nodup.jsonl / val_set_nodup.jsonl — deduplicated variant. Every code body is guaranteed unique via injected variant markers (e.g., // variant_XXXXX comments, renamed variables). Submission IDs, rubrics, and error labels are identical to the base variant; only the code bodies and derived grading outputs differ.</w:t>
      </w:r>
    </w:p>
    <w:p>
      <w:pPr>
        <w:spacing w:after="60"/>
      </w:pPr>
      <w:r>
        <w:t xml:space="preserve"/>
      </w:r>
    </w:p>
    <w:p>
      <w:pPr>
        <w:pStyle w:val="Heading1"/>
      </w:pPr>
      <w:r>
        <w:t xml:space="preserve">2. Data Sources &amp; Construction</w:t>
      </w:r>
    </w:p>
    <w:p>
      <w:pPr>
        <w:pStyle w:val="Heading2"/>
      </w:pPr>
      <w:r>
        <w:t xml:space="preserve">2.1 Foundation Sources</w:t>
      </w:r>
    </w:p>
    <w:p>
      <w:pPr>
        <w:spacing w:after="120"/>
      </w:pPr>
      <w:r>
        <w:rPr>
          <w:sz w:val="22"/>
          <w:szCs w:val="22"/>
        </w:rPr>
        <w:t xml:space="preserve">Four reference sources shaped structure, vocabulary, and noise patterns:</w:t>
      </w:r>
    </w:p>
    <w:p>
      <w:pPr>
        <w:pStyle w:val="ListParagraph"/>
        <w:numPr>
          <w:ilvl w:val="0"/>
          <w:numId w:val="2"/>
        </w:numPr>
        <w:spacing w:after="60"/>
      </w:pPr>
      <w:r>
        <w:rPr>
          <w:sz w:val="22"/>
          <w:szCs w:val="22"/>
        </w:rPr>
        <w:t xml:space="preserve">Code quality corpora (GitHub) — realistic idiomatic vs. non-idiomatic Java patterns and naming conventions.</w:t>
      </w:r>
    </w:p>
    <w:p>
      <w:pPr>
        <w:pStyle w:val="ListParagraph"/>
        <w:numPr>
          <w:ilvl w:val="0"/>
          <w:numId w:val="2"/>
        </w:numPr>
        <w:spacing w:after="60"/>
      </w:pPr>
      <w:r>
        <w:rPr>
          <w:sz w:val="22"/>
          <w:szCs w:val="22"/>
        </w:rPr>
        <w:t xml:space="preserve">MIGATE rubric templates — criterion vocabulary (correctness, robustness, testing alignment) and the 3/4/5-criterion rubric configurations.</w:t>
      </w:r>
    </w:p>
    <w:p>
      <w:pPr>
        <w:pStyle w:val="ListParagraph"/>
        <w:numPr>
          <w:ilvl w:val="0"/>
          <w:numId w:val="2"/>
        </w:numPr>
        <w:spacing w:after="60"/>
      </w:pPr>
      <w:r>
        <w:rPr>
          <w:sz w:val="22"/>
          <w:szCs w:val="22"/>
        </w:rPr>
        <w:t xml:space="preserve">OCR transcription error studies — realistic substitution tables: pub1ic, nu11, retrun, 1ength, O vs 0.</w:t>
      </w:r>
    </w:p>
    <w:p>
      <w:pPr>
        <w:pStyle w:val="ListParagraph"/>
        <w:numPr>
          <w:ilvl w:val="0"/>
          <w:numId w:val="2"/>
        </w:numPr>
        <w:spacing w:after="60"/>
      </w:pPr>
      <w:r>
        <w:rPr>
          <w:sz w:val="22"/>
          <w:szCs w:val="22"/>
        </w:rPr>
        <w:t xml:space="preserve">CS1-level Java exercise catalogs — the 26 method topics and their expected algorithmic approaches.</w:t>
      </w:r>
    </w:p>
    <w:p>
      <w:pPr>
        <w:spacing w:after="60"/>
      </w:pPr>
      <w:r>
        <w:t xml:space="preserve"/>
      </w:r>
    </w:p>
    <w:p>
      <w:pPr>
        <w:pStyle w:val="Heading2"/>
      </w:pPr>
      <w:r>
        <w:t xml:space="preserve">2.2 LLM-Assisted Generation</w:t>
      </w:r>
    </w:p>
    <w:p>
      <w:pPr>
        <w:spacing w:after="120"/>
      </w:pPr>
      <w:r>
        <w:rPr>
          <w:sz w:val="22"/>
          <w:szCs w:val="22"/>
        </w:rPr>
        <w:t xml:space="preserve">Examples were synthetically generated using GPT-4.1 and GPT-4.1 nano under a multi-pass prompt enforcing:</w:t>
      </w:r>
    </w:p>
    <w:p>
      <w:pPr>
        <w:pStyle w:val="ListParagraph"/>
        <w:numPr>
          <w:ilvl w:val="0"/>
          <w:numId w:val="2"/>
        </w:numPr>
        <w:spacing w:after="60"/>
      </w:pPr>
      <w:r>
        <w:rPr>
          <w:sz w:val="22"/>
          <w:szCs w:val="22"/>
        </w:rPr>
        <w:t xml:space="preserve">Specific code patterns per bug type: boundary_logic, syntax_compile, runtime_exception, multiple_logic, missing_return, wrong_algorithm.</w:t>
      </w:r>
    </w:p>
    <w:p>
      <w:pPr>
        <w:pStyle w:val="ListParagraph"/>
        <w:numPr>
          <w:ilvl w:val="0"/>
          <w:numId w:val="2"/>
        </w:numPr>
        <w:spacing w:after="60"/>
      </w:pPr>
      <w:r>
        <w:rPr>
          <w:sz w:val="22"/>
          <w:szCs w:val="22"/>
        </w:rPr>
        <w:t xml:space="preserve">Realistic sandbox log generation with concrete input/output pairs and pass/fail flags.</w:t>
      </w:r>
    </w:p>
    <w:p>
      <w:pPr>
        <w:pStyle w:val="ListParagraph"/>
        <w:numPr>
          <w:ilvl w:val="0"/>
          <w:numId w:val="2"/>
        </w:numPr>
        <w:spacing w:after="60"/>
      </w:pPr>
      <w:r>
        <w:rPr>
          <w:sz w:val="22"/>
          <w:szCs w:val="22"/>
        </w:rPr>
        <w:t xml:space="preserve">Criterion-specific rationale grounded in quoted code lines or log evidence.</w:t>
      </w:r>
    </w:p>
    <w:p>
      <w:pPr>
        <w:pStyle w:val="ListParagraph"/>
        <w:numPr>
          <w:ilvl w:val="0"/>
          <w:numId w:val="2"/>
        </w:numPr>
        <w:spacing w:after="60"/>
      </w:pPr>
      <w:r>
        <w:rPr>
          <w:sz w:val="22"/>
          <w:szCs w:val="22"/>
        </w:rPr>
        <w:t xml:space="preserve">Three rubric configurations (3, 4, 5 criteria) with variable point weights and max_score values of 10, 40, 50, or 100.</w:t>
      </w:r>
    </w:p>
    <w:p>
      <w:pPr>
        <w:pStyle w:val="ListParagraph"/>
        <w:numPr>
          <w:ilvl w:val="0"/>
          <w:numId w:val="2"/>
        </w:numPr>
        <w:spacing w:after="60"/>
      </w:pPr>
      <w:r>
        <w:rPr>
          <w:sz w:val="22"/>
          <w:szCs w:val="22"/>
        </w:rPr>
        <w:t xml:space="preserve">Instructor focus notes present in exactly 40% of examples.</w:t>
      </w:r>
    </w:p>
    <w:p>
      <w:pPr>
        <w:pStyle w:val="ListParagraph"/>
        <w:numPr>
          <w:ilvl w:val="0"/>
          <w:numId w:val="2"/>
        </w:numPr>
        <w:spacing w:after="60"/>
      </w:pPr>
      <w:r>
        <w:rPr>
          <w:sz w:val="22"/>
          <w:szCs w:val="22"/>
        </w:rPr>
        <w:t xml:space="preserve">OCR noise injection in exactly 30% of examples using the established substitution table.</w:t>
      </w:r>
    </w:p>
    <w:p>
      <w:pPr>
        <w:spacing w:after="60"/>
      </w:pPr>
      <w:r>
        <w:t xml:space="preserve"/>
      </w:r>
    </w:p>
    <w:p>
      <w:pPr>
        <w:pStyle w:val="Heading2"/>
      </w:pPr>
      <w:r>
        <w:t xml:space="preserve">2.3 Deduplication (nodup variant)</w:t>
      </w:r>
    </w:p>
    <w:p>
      <w:pPr>
        <w:spacing w:after="120"/>
      </w:pPr>
      <w:r>
        <w:rPr>
          <w:sz w:val="22"/>
          <w:szCs w:val="22"/>
        </w:rPr>
        <w:t xml:space="preserve">The base files contain 271 unique code bodies across 750 training examples (750 unique code bodies in the nodup variant) and 104 unique code bodies across 150 validation examples (150 unique in nodup). The nodup variant achieves full uniqueness by injecting variant markers into each code body (// variant_NNNNN inline comments and renamed local variables such as int v85 = n). Scores and error flags are recalculated for each unique code body; OCR classification labels are preserved.</w:t>
      </w:r>
    </w:p>
    <w:p>
      <w:pPr>
        <w:spacing w:after="60"/>
      </w:pPr>
      <w:r>
        <w:t xml:space="preserve"/>
      </w:r>
    </w:p>
    <w:p>
      <w:pPr>
        <w:pStyle w:val="Heading1"/>
      </w:pPr>
      <w:r>
        <w:t xml:space="preserve">3. Dataset Statistics</w:t>
      </w:r>
    </w:p>
    <w:p>
      <w:pPr>
        <w:pStyle w:val="Heading2"/>
      </w:pPr>
      <w:r>
        <w:t xml:space="preserve">3.1 Size &amp;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800"/>
        <w:gridCol w:w="2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File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Examples</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Score min/max</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Score mean (norm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Confidence mean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train_set.jsonl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750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0 –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41.6  (68.9%)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0.783</w:t>
            </w:r>
          </w:p>
        </w:tc>
      </w:tr>
      <w:tr>
        <w:tc>
          <w:tcPr>
            <w:tcW w:type="dxa" w:w="2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b/>
                <w:bCs/>
                <w:sz w:val="20"/>
                <w:szCs w:val="20"/>
              </w:rPr>
              <w:t xml:space="preserve">train_set_nodup.jsonl</w:t>
            </w:r>
          </w:p>
        </w:tc>
        <w:tc>
          <w:tcPr>
            <w:tcW w:type="dxa" w:w="168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750</w:t>
            </w:r>
          </w:p>
        </w:tc>
        <w:tc>
          <w:tcPr>
            <w:tcW w:type="dxa" w:w="168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0 – 100</w:t>
            </w:r>
          </w:p>
        </w:tc>
        <w:tc>
          <w:tcPr>
            <w:tcW w:type="dxa" w:w="18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41.8  (69.1%)</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0.785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val_set.jsonl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 –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41.4  (69.4%)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0.782</w:t>
            </w:r>
          </w:p>
        </w:tc>
      </w:tr>
      <w:tr>
        <w:tc>
          <w:tcPr>
            <w:tcW w:type="dxa" w:w="2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b/>
                <w:bCs/>
                <w:sz w:val="20"/>
                <w:szCs w:val="20"/>
              </w:rPr>
              <w:t xml:space="preserve">val_set_nodup.jsonl</w:t>
            </w:r>
          </w:p>
        </w:tc>
        <w:tc>
          <w:tcPr>
            <w:tcW w:type="dxa" w:w="168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150</w:t>
            </w:r>
          </w:p>
        </w:tc>
        <w:tc>
          <w:tcPr>
            <w:tcW w:type="dxa" w:w="168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0 – 100</w:t>
            </w:r>
          </w:p>
        </w:tc>
        <w:tc>
          <w:tcPr>
            <w:tcW w:type="dxa" w:w="18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41.9  (69.4%)</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0.783</w:t>
            </w:r>
          </w:p>
        </w:tc>
      </w:tr>
    </w:tbl>
    <w:p>
      <w:pPr>
        <w:spacing w:after="60"/>
      </w:pPr>
      <w:r>
        <w:t xml:space="preserve"/>
      </w:r>
    </w:p>
    <w:p>
      <w:pPr>
        <w:spacing w:after="120"/>
      </w:pPr>
      <w:r>
        <w:rPr>
          <w:sz w:val="22"/>
          <w:szCs w:val="22"/>
        </w:rPr>
        <w:t xml:space="preserve">Note: </w:t>
      </w:r>
      <w:r>
        <w:rPr>
          <w:b/>
          <w:bCs/>
          <w:sz w:val="22"/>
          <w:szCs w:val="22"/>
        </w:rPr>
        <w:t xml:space="preserve">raw score range is not comparable across examples</w:t>
      </w:r>
      <w:r>
        <w:rPr>
          <w:sz w:val="22"/>
          <w:szCs w:val="22"/>
        </w:rPr>
        <w:t xml:space="preserve"> because max_score varies (10, 40, 50, or 100 pts). Normalized score (raw ÷ max × 100) is the consistent metric for cross-example comparison.</w:t>
      </w:r>
    </w:p>
    <w:p>
      <w:pPr>
        <w:spacing w:after="60"/>
      </w:pPr>
      <w:r>
        <w:t xml:space="preserve"/>
      </w:r>
    </w:p>
    <w:p>
      <w:pPr>
        <w:pStyle w:val="Heading2"/>
      </w:pPr>
      <w:r>
        <w:t xml:space="preserve">3.2 Rubric Configuration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max_score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 count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 count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Criteria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100 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331 (44.1%)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67–70 (44.7–46.7%)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5-criterion</w:t>
            </w:r>
          </w:p>
        </w:tc>
      </w:tr>
      <w:tr>
        <w:tc>
          <w:tcPr>
            <w:tcW w:type="dxa" w:w="26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50 pts</w:t>
            </w:r>
          </w:p>
        </w:tc>
        <w:tc>
          <w:tcPr>
            <w:tcW w:type="dxa" w:w="2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150 (20.0%)</w:t>
            </w:r>
          </w:p>
        </w:tc>
        <w:tc>
          <w:tcPr>
            <w:tcW w:type="dxa" w:w="2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30 (20.0%)</w:t>
            </w:r>
          </w:p>
        </w:tc>
        <w:tc>
          <w:tcPr>
            <w:tcW w:type="dxa" w:w="23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3-criterion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 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187 (24.9%)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37 (24.7%)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4-criterion</w:t>
            </w:r>
          </w:p>
        </w:tc>
      </w:tr>
      <w:tr>
        <w:tc>
          <w:tcPr>
            <w:tcW w:type="dxa" w:w="26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40 pts</w:t>
            </w:r>
          </w:p>
        </w:tc>
        <w:tc>
          <w:tcPr>
            <w:tcW w:type="dxa" w:w="2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82–83 (10.9–11.1%)</w:t>
            </w:r>
          </w:p>
        </w:tc>
        <w:tc>
          <w:tcPr>
            <w:tcW w:type="dxa" w:w="2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13–16 (8.7–10.7%)</w:t>
            </w:r>
          </w:p>
        </w:tc>
        <w:tc>
          <w:tcPr>
            <w:tcW w:type="dxa" w:w="23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4-criterion</w:t>
            </w:r>
          </w:p>
        </w:tc>
      </w:tr>
    </w:tbl>
    <w:p>
      <w:pPr>
        <w:spacing w:after="60"/>
      </w:pPr>
      <w:r>
        <w:t xml:space="preserve"/>
      </w:r>
    </w:p>
    <w:p>
      <w:pPr>
        <w:pStyle w:val="Heading2"/>
      </w:pPr>
      <w:r>
        <w:t xml:space="preserve">3.3 Normalized Score Distribution (all rubric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2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Range (%)</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Target %</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 count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 %</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 count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0 – 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22</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14.7%</w:t>
            </w:r>
          </w:p>
        </w:tc>
      </w:tr>
      <w:tr>
        <w:tc>
          <w:tcPr>
            <w:tcW w:type="dxa" w:w="16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41 – 60</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15%</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112</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14.9%</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22</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14.7%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61 – 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30</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20.0%</w:t>
            </w:r>
          </w:p>
        </w:tc>
      </w:tr>
      <w:tr>
        <w:tc>
          <w:tcPr>
            <w:tcW w:type="dxa" w:w="16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76 – 90</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30%</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225</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30.0%</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45</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30.0%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91 –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31</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20.7%</w:t>
            </w:r>
          </w:p>
        </w:tc>
      </w:tr>
    </w:tbl>
    <w:p>
      <w:pPr>
        <w:spacing w:after="60"/>
      </w:pPr>
      <w:r>
        <w:t xml:space="preserve"/>
      </w:r>
    </w:p>
    <w:p>
      <w:pPr>
        <w:pBdr>
          <w:left w:val="single" w:color="375623" w:sz="12" w:space="6"/>
        </w:pBdr>
        <w:shd w:fill="E2EFDA" w:val="clear"/>
        <w:spacing w:after="200" w:before="120"/>
        <w:ind w:left="200"/>
      </w:pPr>
      <w:r>
        <w:rPr>
          <w:b/>
          <w:bCs/>
          <w:sz w:val="20"/>
          <w:szCs w:val="20"/>
        </w:rPr>
        <w:t xml:space="preserve">✓  </w:t>
      </w:r>
      <w:r>
        <w:rPr>
          <w:sz w:val="20"/>
          <w:szCs w:val="20"/>
        </w:rPr>
        <w:t xml:space="preserve">Normalized score distribution meets all five target buckets across both train and val splits. This corrects the skew reported in v3, which analyzed raw scores against a 100-pt baseline without accounting for variable max_score.</w:t>
      </w:r>
    </w:p>
    <w:p>
      <w:pPr>
        <w:pStyle w:val="Heading1"/>
      </w:pPr>
      <w:r>
        <w:t xml:space="preserve">4. Coverage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Unique Java topics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26</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Full coverage</w:t>
            </w:r>
          </w:p>
        </w:tc>
      </w:tr>
      <w:tr>
        <w:tc>
          <w:tcPr>
            <w:tcW w:type="dxa" w:w="3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OCR noise examples</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225 (30.0%)</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45 (30.0%)</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Exact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Instructor focus present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300 (40.0%)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60 (40.0%)</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Exact target</w:t>
            </w:r>
          </w:p>
        </w:tc>
      </w:tr>
      <w:tr>
        <w:tc>
          <w:tcPr>
            <w:tcW w:type="dxa" w:w="3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Rubric configs</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 / 4 / 5 criteria</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 / 4 / 5 criteria</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All present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Confidence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0.55 – 0.97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0.56 – 0.97</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Full range</w:t>
            </w:r>
          </w:p>
        </w:tc>
      </w:tr>
      <w:tr>
        <w:tc>
          <w:tcPr>
            <w:tcW w:type="dxa" w:w="32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No-log scenario (empty test_results)</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0</w:t>
            </w:r>
          </w:p>
        </w:tc>
        <w:tc>
          <w:tcPr>
            <w:tcW w:type="dxa" w:w="2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0</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 Missing</w:t>
            </w:r>
          </w:p>
        </w:tc>
      </w:tr>
    </w:tbl>
    <w:p>
      <w:pPr>
        <w:spacing w:after="60"/>
      </w:pPr>
      <w:r>
        <w:t xml:space="preserve"/>
      </w:r>
    </w:p>
    <w:p>
      <w:pPr>
        <w:pStyle w:val="Heading2"/>
      </w:pPr>
      <w:r>
        <w:t xml:space="preserve">4.1 Java Topic Distribution (26 topics)</w:t>
      </w:r>
    </w:p>
    <w:p>
      <w:pPr>
        <w:spacing w:after="120"/>
      </w:pPr>
      <w:r>
        <w:rPr>
          <w:sz w:val="22"/>
          <w:szCs w:val="22"/>
        </w:rPr>
        <w:t xml:space="preserve">All 26 CS1-level topics are covered in both splits: </w:t>
      </w:r>
      <w:r>
        <w:rPr>
          <w:rFonts w:ascii="Courier New" w:cs="Courier New" w:eastAsia="Courier New" w:hAnsi="Courier New"/>
          <w:sz w:val="20"/>
          <w:szCs w:val="20"/>
        </w:rPr>
        <w:t xml:space="preserve">average, binarySearch, bubbleSort, countOccurrences, countVowels, factorial, fibonacci, findMax, findMin, gcd, getLetterGrade, isEven, isPrime, lcm, linearSearch, maxElement, mergeSort, palindrome, power, removeDuplicates, reverseString, safeDivide, sum, sumNegatives, twoSum, wordCount</w:t>
      </w:r>
      <w:r>
        <w:rPr>
          <w:sz w:val="22"/>
          <w:szCs w:val="22"/>
        </w:rPr>
        <w:t xml:space="preserve">. Each topic appears approximately 24–28 times in train and 5–6 times in val.</w:t>
      </w:r>
    </w:p>
    <w:p>
      <w:pPr>
        <w:spacing w:after="60"/>
      </w:pPr>
      <w:r>
        <w:t xml:space="preserve"/>
      </w:r>
    </w:p>
    <w:p>
      <w:pPr>
        <w:pStyle w:val="Heading2"/>
      </w:pPr>
      <w:r>
        <w:t xml:space="preserve">4.2 Error Flag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gridCol w:w="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Flag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 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 %</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 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 %</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logic = true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40.3%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58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38.7%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syntax_or_compile = true</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142</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18.9%</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29</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19.3%</w:t>
            </w:r>
          </w:p>
        </w:tc>
        <w:tc>
          <w:tcPr>
            <w:tcW w:type="dxa" w:w="9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runtime = true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76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all flags false (no error)</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376</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50.1%</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76</w:t>
            </w:r>
          </w:p>
        </w:tc>
        <w:tc>
          <w:tcPr>
            <w:tcW w:type="dxa" w:w="15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50.7%</w:t>
            </w:r>
          </w:p>
        </w:tc>
        <w:tc>
          <w:tcPr>
            <w:tcW w:type="dxa" w:w="9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incl. OCR-only</w:t>
            </w:r>
          </w:p>
        </w:tc>
      </w:tr>
    </w:tbl>
    <w:p>
      <w:pPr>
        <w:spacing w:after="60"/>
      </w:pPr>
      <w:r>
        <w:t xml:space="preserve"/>
      </w:r>
    </w:p>
    <w:p>
      <w:pPr>
        <w:spacing w:after="120"/>
      </w:pPr>
      <w:r>
        <w:rPr>
          <w:sz w:val="22"/>
          <w:szCs w:val="22"/>
        </w:rPr>
        <w:t xml:space="preserve">Flags are not mutually exclusive. An example may have, for instance, both </w:t>
      </w:r>
      <w:r>
        <w:rPr>
          <w:rFonts w:ascii="Courier New" w:cs="Courier New" w:eastAsia="Courier New" w:hAnsi="Courier New"/>
          <w:sz w:val="20"/>
          <w:szCs w:val="20"/>
        </w:rPr>
        <w:t xml:space="preserve">logic = true</w:t>
      </w:r>
      <w:r>
        <w:rPr>
          <w:sz w:val="22"/>
          <w:szCs w:val="22"/>
        </w:rPr>
        <w:t xml:space="preserve"> and </w:t>
      </w:r>
      <w:r>
        <w:rPr>
          <w:rFonts w:ascii="Courier New" w:cs="Courier New" w:eastAsia="Courier New" w:hAnsi="Courier New"/>
          <w:sz w:val="20"/>
          <w:szCs w:val="20"/>
        </w:rPr>
        <w:t xml:space="preserve">handwriting_ocr_suspected = true</w:t>
      </w:r>
      <w:r>
        <w:rPr>
          <w:sz w:val="22"/>
          <w:szCs w:val="22"/>
        </w:rPr>
        <w:t xml:space="preserve">.</w:t>
      </w:r>
    </w:p>
    <w:p>
      <w:pPr>
        <w:spacing w:after="60"/>
      </w:pPr>
      <w:r>
        <w:t xml:space="preserve"/>
      </w:r>
    </w:p>
    <w:p>
      <w:pPr>
        <w:pStyle w:val="Heading1"/>
      </w:pPr>
      <w:r>
        <w:t xml:space="preserve">5. Schema Validation Results</w:t>
      </w:r>
    </w:p>
    <w:p>
      <w:pPr>
        <w:spacing w:after="120"/>
      </w:pPr>
      <w:r>
        <w:rPr>
          <w:sz w:val="22"/>
          <w:szCs w:val="22"/>
        </w:rPr>
        <w:t xml:space="preserve">All four files passed every programmatic check across all 900 examples per split.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Check</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train_set</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train_nodup</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val_set</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val_nodup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Valid JSON on every line</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750/750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750/750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150/150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150/150</w:t>
            </w:r>
          </w:p>
        </w:tc>
      </w:tr>
      <w:tr>
        <w:tc>
          <w:tcPr>
            <w:tcW w:type="dxa" w:w="4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3 messages per example</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total_score = sum(points_awarded)</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r>
      <w:tr>
        <w:tc>
          <w:tcPr>
            <w:tcW w:type="dxa" w:w="4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Confidence in [0.5, 1.0]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 errors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Unique code bodies</w:t>
            </w:r>
          </w:p>
        </w:tc>
        <w:tc>
          <w:tcPr>
            <w:tcW w:type="dxa" w:w="1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271 / 750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750 / 750</w:t>
            </w:r>
          </w:p>
        </w:tc>
        <w:tc>
          <w:tcPr>
            <w:tcW w:type="dxa" w:w="1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sz w:val="20"/>
                <w:szCs w:val="20"/>
              </w:rPr>
              <w:t xml:space="preserve">104 / 150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150 / 150</w:t>
            </w:r>
          </w:p>
        </w:tc>
      </w:tr>
      <w:tr>
        <w:tc>
          <w:tcPr>
            <w:tcW w:type="dxa" w:w="40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Score ≤ 40 with all flags false and empty issues</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w:t>
            </w:r>
          </w:p>
        </w:tc>
        <w:tc>
          <w:tcPr>
            <w:tcW w:type="dxa" w:w="1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sz w:val="20"/>
                <w:szCs w:val="20"/>
              </w:rPr>
              <w:t xml:space="preserve">✓ 0</w:t>
            </w:r>
          </w:p>
        </w:tc>
      </w:tr>
    </w:tbl>
    <w:p>
      <w:pPr>
        <w:spacing w:after="60"/>
      </w:pPr>
      <w:r>
        <w:t xml:space="preserve"/>
      </w:r>
    </w:p>
    <w:p>
      <w:pPr>
        <w:pBdr>
          <w:left w:val="single" w:color="1F4E79" w:sz="12" w:space="6"/>
        </w:pBdr>
        <w:shd w:fill="DEEAF1" w:val="clear"/>
        <w:spacing w:after="200" w:before="120"/>
        <w:ind w:left="200"/>
      </w:pPr>
      <w:r>
        <w:rPr>
          <w:b/>
          <w:bCs/>
          <w:sz w:val="20"/>
          <w:szCs w:val="20"/>
        </w:rPr>
        <w:t xml:space="preserve">Note on unique codes in base files:  </w:t>
      </w:r>
      <w:r>
        <w:rPr>
          <w:sz w:val="20"/>
          <w:szCs w:val="20"/>
        </w:rPr>
        <w:t xml:space="preserve">The base _set files intentionally retain duplicate code bodies — multiple examples share the same method implementation with different rubric configurations, instructor notes, or error labels. This multi-context representation is by design. Use the _nodup files to train or evaluate in settings where code-body leakage between training instances is a concern.</w:t>
      </w:r>
    </w:p>
    <w:p>
      <w:pPr>
        <w:pStyle w:val="Heading1"/>
      </w:pPr>
      <w:r>
        <w:t xml:space="preserve">6. Known Issues</w:t>
      </w:r>
    </w:p>
    <w:p>
      <w:pPr>
        <w:pStyle w:val="Heading2"/>
      </w:pPr>
      <w:r>
        <w:t xml:space="preserve">Issue 1 — No-log scenario absent  (moderate)</w:t>
      </w:r>
    </w:p>
    <w:p>
      <w:pPr>
        <w:spacing w:after="120"/>
      </w:pPr>
      <w:r>
        <w:rPr>
          <w:sz w:val="22"/>
          <w:szCs w:val="22"/>
        </w:rPr>
        <w:t xml:space="preserve">Zero examples cover the case where </w:t>
      </w:r>
      <w:r>
        <w:rPr>
          <w:rFonts w:ascii="Courier New" w:cs="Courier New" w:eastAsia="Courier New" w:hAnsi="Courier New"/>
          <w:sz w:val="20"/>
          <w:szCs w:val="20"/>
        </w:rPr>
        <w:t xml:space="preserve">test_results</w:t>
      </w:r>
      <w:r>
        <w:rPr>
          <w:sz w:val="22"/>
          <w:szCs w:val="22"/>
        </w:rPr>
        <w:t xml:space="preserve"> is an empty string (sandbox failed to execute, static review only, confidence capped at 0.55–0.70). The model has no training signal for this grading mode.</w:t>
      </w:r>
    </w:p>
    <w:p>
      <w:pPr>
        <w:spacing w:after="120"/>
      </w:pPr>
      <w:r>
        <w:rPr>
          <w:b/>
          <w:bCs/>
          <w:sz w:val="22"/>
          <w:szCs w:val="22"/>
        </w:rPr>
        <w:t xml:space="preserve">Impact: </w:t>
      </w:r>
      <w:r>
        <w:rPr>
          <w:sz w:val="22"/>
          <w:szCs w:val="22"/>
        </w:rPr>
        <w:t xml:space="preserve">model will not calibrate confidence downward when execution evidence is unavailable.</w:t>
      </w:r>
    </w:p>
    <w:p>
      <w:pPr>
        <w:spacing w:after="120"/>
      </w:pPr>
      <w:r>
        <w:rPr>
          <w:b/>
          <w:bCs/>
          <w:sz w:val="22"/>
          <w:szCs w:val="22"/>
        </w:rPr>
        <w:t xml:space="preserve">Fix: </w:t>
      </w:r>
      <w:r>
        <w:rPr>
          <w:sz w:val="22"/>
          <w:szCs w:val="22"/>
        </w:rPr>
        <w:t xml:space="preserve">Generate ~75 train / ~15 val no-log examples in v5 with confidence 0.55–0.70 and a static-review note in error_classification.issues.</w:t>
      </w:r>
    </w:p>
    <w:p>
      <w:pPr>
        <w:spacing w:after="60"/>
      </w:pPr>
      <w:r>
        <w:t xml:space="preserve"/>
      </w:r>
    </w:p>
    <w:p>
      <w:pPr>
        <w:pStyle w:val="Heading2"/>
      </w:pPr>
      <w:r>
        <w:t xml:space="preserve">Issue 2 — Out-of-distribution topics untested  (low)</w:t>
      </w:r>
    </w:p>
    <w:p>
      <w:pPr>
        <w:spacing w:after="120"/>
      </w:pPr>
      <w:r>
        <w:rPr>
          <w:sz w:val="22"/>
          <w:szCs w:val="22"/>
        </w:rPr>
        <w:t xml:space="preserve">The 26 topics are fully covered but no held-out topics exist in the dataset. Generalisation to unseen method names (e.g., insertionSort, stackPush, linkedListReverse) has not been measured.</w:t>
      </w:r>
    </w:p>
    <w:p>
      <w:pPr>
        <w:spacing w:after="120"/>
      </w:pPr>
      <w:r>
        <w:rPr>
          <w:b/>
          <w:bCs/>
          <w:sz w:val="22"/>
          <w:szCs w:val="22"/>
        </w:rPr>
        <w:t xml:space="preserve">Fix: </w:t>
      </w:r>
      <w:r>
        <w:rPr>
          <w:sz w:val="22"/>
          <w:szCs w:val="22"/>
        </w:rPr>
        <w:t xml:space="preserve">Reserve 3–5 topics from v5 generation for OOD evaluation only.</w:t>
      </w:r>
    </w:p>
    <w:p>
      <w:pPr>
        <w:spacing w:after="60"/>
      </w:pPr>
      <w:r>
        <w:t xml:space="preserve"/>
      </w:r>
    </w:p>
    <w:p>
      <w:pPr>
        <w:pStyle w:val="Heading1"/>
      </w:pPr>
      <w:r>
        <w:t xml:space="preserve">7. Recommended Evaluation Protocol</w:t>
      </w:r>
    </w:p>
    <w:p>
      <w:pPr>
        <w:spacing w:after="120"/>
      </w:pPr>
      <w:r>
        <w:rPr>
          <w:sz w:val="22"/>
          <w:szCs w:val="22"/>
        </w:rPr>
        <w:t xml:space="preserve">After fine-tuning, evaluate the model against the following criteria:</w:t>
      </w:r>
    </w:p>
    <w:p>
      <w:pPr>
        <w:pStyle w:val="ListParagraph"/>
        <w:numPr>
          <w:ilvl w:val="0"/>
          <w:numId w:val="3"/>
        </w:numPr>
        <w:spacing w:after="80"/>
      </w:pPr>
      <w:r>
        <w:rPr>
          <w:b/>
          <w:bCs/>
          <w:sz w:val="22"/>
          <w:szCs w:val="22"/>
        </w:rPr>
        <w:t xml:space="preserve">Score accuracy — </w:t>
      </w:r>
      <w:r>
        <w:rPr>
          <w:sz w:val="22"/>
          <w:szCs w:val="22"/>
        </w:rPr>
        <w:t xml:space="preserve">mean absolute error between predicted total_score and ground truth. Target MAE &lt; 5 points (normalized).</w:t>
      </w:r>
    </w:p>
    <w:p>
      <w:pPr>
        <w:pStyle w:val="ListParagraph"/>
        <w:numPr>
          <w:ilvl w:val="0"/>
          <w:numId w:val="3"/>
        </w:numPr>
        <w:spacing w:after="80"/>
      </w:pPr>
      <w:r>
        <w:rPr>
          <w:b/>
          <w:bCs/>
          <w:sz w:val="22"/>
          <w:szCs w:val="22"/>
        </w:rPr>
        <w:t xml:space="preserve">Rubric math — </w:t>
      </w:r>
      <w:r>
        <w:rPr>
          <w:sz w:val="22"/>
          <w:szCs w:val="22"/>
        </w:rPr>
        <w:t xml:space="preserve">verify sum(points_awarded) == total_score on 100% of outputs.</w:t>
      </w:r>
    </w:p>
    <w:p>
      <w:pPr>
        <w:pStyle w:val="ListParagraph"/>
        <w:numPr>
          <w:ilvl w:val="0"/>
          <w:numId w:val="3"/>
        </w:numPr>
        <w:spacing w:after="80"/>
      </w:pPr>
      <w:r>
        <w:rPr>
          <w:b/>
          <w:bCs/>
          <w:sz w:val="22"/>
          <w:szCs w:val="22"/>
        </w:rPr>
        <w:t xml:space="preserve">Error flag consistency — </w:t>
      </w:r>
      <w:r>
        <w:rPr>
          <w:sz w:val="22"/>
          <w:szCs w:val="22"/>
        </w:rPr>
        <w:t xml:space="preserve">verify flags match score range rules on at least 90% of outputs.</w:t>
      </w:r>
    </w:p>
    <w:p>
      <w:pPr>
        <w:pStyle w:val="ListParagraph"/>
        <w:numPr>
          <w:ilvl w:val="0"/>
          <w:numId w:val="3"/>
        </w:numPr>
        <w:spacing w:after="80"/>
      </w:pPr>
      <w:r>
        <w:rPr>
          <w:b/>
          <w:bCs/>
          <w:sz w:val="22"/>
          <w:szCs w:val="22"/>
        </w:rPr>
        <w:t xml:space="preserve">Confidence calibration — </w:t>
      </w:r>
      <w:r>
        <w:rPr>
          <w:sz w:val="22"/>
          <w:szCs w:val="22"/>
        </w:rPr>
        <w:t xml:space="preserve">verify confidence decreases from full-log to runtime-only to no-log scenarios.</w:t>
      </w:r>
    </w:p>
    <w:p>
      <w:pPr>
        <w:pStyle w:val="ListParagraph"/>
        <w:numPr>
          <w:ilvl w:val="0"/>
          <w:numId w:val="3"/>
        </w:numPr>
        <w:spacing w:after="80"/>
      </w:pPr>
      <w:r>
        <w:rPr>
          <w:b/>
          <w:bCs/>
          <w:sz w:val="22"/>
          <w:szCs w:val="22"/>
        </w:rPr>
        <w:t xml:space="preserve">OCR vs. bug discrimination — </w:t>
      </w:r>
      <w:r>
        <w:rPr>
          <w:sz w:val="22"/>
          <w:szCs w:val="22"/>
        </w:rPr>
        <w:t xml:space="preserve">on OCR examples, verify handwriting_ocr_suspected = true and no genuine bug flags are raised for OCR artifacts.</w:t>
      </w:r>
    </w:p>
    <w:p>
      <w:pPr>
        <w:pStyle w:val="ListParagraph"/>
        <w:numPr>
          <w:ilvl w:val="0"/>
          <w:numId w:val="3"/>
        </w:numPr>
        <w:spacing w:after="80"/>
      </w:pPr>
      <w:r>
        <w:rPr>
          <w:b/>
          <w:bCs/>
          <w:sz w:val="22"/>
          <w:szCs w:val="22"/>
        </w:rPr>
        <w:t xml:space="preserve">Instructor focus adherence — </w:t>
      </w:r>
      <w:r>
        <w:rPr>
          <w:sz w:val="22"/>
          <w:szCs w:val="22"/>
        </w:rPr>
        <w:t xml:space="preserve">when instructor_focus specifies strict boundaries, verify the model penalises boundary bugs more heavily.</w:t>
      </w:r>
    </w:p>
    <w:p>
      <w:pPr>
        <w:pStyle w:val="ListParagraph"/>
        <w:numPr>
          <w:ilvl w:val="0"/>
          <w:numId w:val="3"/>
        </w:numPr>
        <w:spacing w:after="80"/>
      </w:pPr>
      <w:r>
        <w:rPr>
          <w:b/>
          <w:bCs/>
          <w:sz w:val="22"/>
          <w:szCs w:val="22"/>
        </w:rPr>
        <w:t xml:space="preserve">nodup vs. base delta — </w:t>
      </w:r>
      <w:r>
        <w:rPr>
          <w:sz w:val="22"/>
          <w:szCs w:val="22"/>
        </w:rPr>
        <w:t xml:space="preserve">compare fine-tuned models on both variants. A significant MAE gap suggests the model was memorising code bodies rather than learning to grade.</w:t>
      </w:r>
    </w:p>
    <w:p>
      <w:pPr>
        <w:spacing w:after="60"/>
      </w:pPr>
      <w:r>
        <w:t xml:space="preserve"/>
      </w:r>
    </w:p>
    <w:p>
      <w:pPr>
        <w:pStyle w:val="Heading1"/>
      </w:pPr>
      <w:r>
        <w:t xml:space="preserve">8. File Format</w:t>
      </w:r>
    </w:p>
    <w:p>
      <w:pPr>
        <w:spacing w:after="120"/>
      </w:pPr>
      <w:r>
        <w:rPr>
          <w:sz w:val="22"/>
          <w:szCs w:val="22"/>
        </w:rPr>
        <w:t xml:space="preserve">All four files use OpenAI fine-tuning JSONL format (one JSON object per line). Each object contains a </w:t>
      </w:r>
      <w:r>
        <w:rPr>
          <w:rFonts w:ascii="Courier New" w:cs="Courier New" w:eastAsia="Courier New" w:hAnsi="Courier New"/>
          <w:sz w:val="20"/>
          <w:szCs w:val="20"/>
        </w:rPr>
        <w:t xml:space="preserve">messages</w:t>
      </w:r>
      <w:r>
        <w:rPr>
          <w:sz w:val="22"/>
          <w:szCs w:val="22"/>
        </w:rPr>
        <w:t xml:space="preserve"> array with three turns:</w:t>
      </w:r>
    </w:p>
    <w:p>
      <w:pPr>
        <w:pStyle w:val="ListParagraph"/>
        <w:numPr>
          <w:ilvl w:val="0"/>
          <w:numId w:val="2"/>
        </w:numPr>
        <w:spacing w:after="60"/>
      </w:pPr>
      <w:r>
        <w:rPr>
          <w:sz w:val="22"/>
          <w:szCs w:val="22"/>
        </w:rPr>
        <w:t xml:space="preserve">system — instructs the model to act as an expert Java grader and return only valid JSON.</w:t>
      </w:r>
    </w:p>
    <w:p>
      <w:pPr>
        <w:pStyle w:val="ListParagraph"/>
        <w:numPr>
          <w:ilvl w:val="0"/>
          <w:numId w:val="2"/>
        </w:numPr>
        <w:spacing w:after="60"/>
      </w:pPr>
      <w:r>
        <w:rPr>
          <w:sz w:val="22"/>
          <w:szCs w:val="22"/>
        </w:rPr>
        <w:t xml:space="preserve">user — the submission object serialized as a JSON string: submission_id, code, evaluation (test_results, test_stats, edge_case_results, performance), rubric (criteria, total_points, optional instructor_focus).</w:t>
      </w:r>
    </w:p>
    <w:p>
      <w:pPr>
        <w:pStyle w:val="ListParagraph"/>
        <w:numPr>
          <w:ilvl w:val="0"/>
          <w:numId w:val="2"/>
        </w:numPr>
        <w:spacing w:after="60"/>
      </w:pPr>
      <w:r>
        <w:rPr>
          <w:sz w:val="22"/>
          <w:szCs w:val="22"/>
        </w:rPr>
        <w:t xml:space="preserve">assistant — the grading response serialized as a JSON string: submission_id, total_score, max_score, rubric_breakdown (id, max_points, points_awarded, comments), feedback, error_classification (handwriting_ocr_suspected, syntax_or_compile, runtime, logic, issues), confidence.</w:t>
      </w:r>
    </w:p>
    <w:p>
      <w:pPr>
        <w:spacing w:after="60"/>
      </w:pPr>
      <w:r>
        <w:t xml:space="preserve"/>
      </w:r>
    </w:p>
    <w:p>
      <w:pPr>
        <w:pStyle w:val="Heading2"/>
      </w:pPr>
      <w:r>
        <w:t xml:space="preserve">8.1 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29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Examples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Unique codes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b/>
                <w:bCs/>
                <w:color w:val="FFFFFF"/>
                <w:sz w:val="20"/>
                <w:szCs w:val="20"/>
              </w:rPr>
              <w:t xml:space="preserve">Recommended 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train_set.jsonl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750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271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Standard SFT training run</w:t>
            </w:r>
          </w:p>
        </w:tc>
      </w:tr>
      <w:tr>
        <w:tc>
          <w:tcPr>
            <w:tcW w:type="dxa" w:w="36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b/>
                <w:bCs/>
                <w:sz w:val="20"/>
                <w:szCs w:val="20"/>
              </w:rPr>
              <w:t xml:space="preserve">train_set_nodup.jsonl</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750</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750</w:t>
            </w:r>
          </w:p>
        </w:tc>
        <w:tc>
          <w:tcPr>
            <w:tcW w:type="dxa" w:w="29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Deduplication-sensitive training or ablation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sz w:val="20"/>
                <w:szCs w:val="20"/>
              </w:rPr>
              <w:t xml:space="preserve">val_set.jsonl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104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Standard validation / early stopping</w:t>
            </w:r>
          </w:p>
        </w:tc>
      </w:tr>
      <w:tr>
        <w:tc>
          <w:tcPr>
            <w:tcW w:type="dxa" w:w="36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b/>
                <w:bCs/>
                <w:sz w:val="20"/>
                <w:szCs w:val="20"/>
              </w:rPr>
              <w:t xml:space="preserve">val_set_nodup.jsonl</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150</w:t>
            </w:r>
          </w:p>
        </w:tc>
        <w:tc>
          <w:tcPr>
            <w:tcW w:type="dxa" w:w="140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150</w:t>
            </w:r>
          </w:p>
        </w:tc>
        <w:tc>
          <w:tcPr>
            <w:tcW w:type="dxa" w:w="2960"/>
            <w:tcBorders>
              <w:top w:val="single" w:color="CCCCCC" w:sz="1"/>
              <w:left w:val="single" w:color="CCCCCC" w:sz="1"/>
              <w:bottom w:val="single" w:color="CCCCCC" w:sz="1"/>
              <w:right w:val="single" w:color="CCCCCC" w:sz="1"/>
            </w:tcBorders>
            <w:shd w:fill="EBF3F9" w:val="clear"/>
            <w:tcMar>
              <w:top w:type="dxa" w:w="80"/>
              <w:left w:type="dxa" w:w="120"/>
              <w:bottom w:type="dxa" w:w="80"/>
              <w:right w:type="dxa" w:w="120"/>
            </w:tcMar>
          </w:tcPr>
          <w:p>
            <w:pPr>
              <w:spacing w:after="0"/>
            </w:pPr>
            <w:r>
              <w:rPr>
                <w:sz w:val="20"/>
                <w:szCs w:val="20"/>
              </w:rPr>
              <w:t xml:space="preserve">Leakage-free validation</w:t>
            </w:r>
          </w:p>
        </w:tc>
      </w:tr>
    </w:tbl>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2026-04-08T18:38:02.732Z</dcterms:created>
  <dcterms:modified xsi:type="dcterms:W3CDTF">2026-04-08T18:38:02.732Z</dcterms:modified>
</cp:coreProperties>
</file>

<file path=docProps/custom.xml><?xml version="1.0" encoding="utf-8"?>
<Properties xmlns="http://schemas.openxmlformats.org/officeDocument/2006/custom-properties" xmlns:vt="http://schemas.openxmlformats.org/officeDocument/2006/docPropsVTypes"/>
</file>