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 (APA 7th Edition)</w:t>
      </w:r>
    </w:p>
    <w:p>
      <w:r>
        <w:rPr>
          <w:rFonts w:ascii="Times New Roman" w:hAnsi="Times New Roman"/>
          <w:sz w:val="24"/>
        </w:rPr>
        <w:t>Aarons, G. A., Ehrhart, M. G., Farahnak, L. R., &amp; Hurlburt, M. S. (2015). Leadership and organizational change for implementation (LOCI): A randomized mixed method pilot study of a leadership and organization development intervention for evidence-based practice implementation. Implementation Science, 10(1), Article 11.</w:t>
      </w:r>
    </w:p>
    <w:p>
      <w:r>
        <w:rPr>
          <w:rFonts w:ascii="Times New Roman" w:hAnsi="Times New Roman"/>
          <w:sz w:val="24"/>
        </w:rPr>
        <w:t>Ahmad, A. (2017). Role of teacher in students' personality development. Psychology and Behavioral Science International Journal, 2(2), 1–2.</w:t>
      </w:r>
    </w:p>
    <w:p>
      <w:r>
        <w:rPr>
          <w:rFonts w:ascii="Times New Roman" w:hAnsi="Times New Roman"/>
          <w:sz w:val="24"/>
        </w:rPr>
        <w:t>Alderman, M. K. (2013). Motivation for achievement: Possibilities for teaching and learning. Routledge.</w:t>
      </w:r>
    </w:p>
    <w:p>
      <w:r>
        <w:rPr>
          <w:rFonts w:ascii="Times New Roman" w:hAnsi="Times New Roman"/>
          <w:sz w:val="24"/>
        </w:rPr>
        <w:t>Alhamuddin, A., Murniati, A., Surbiyantoro, E., &amp; Mulyani, D. (2021). Developing core competencies for Islamic higher education in Indonesia in the era of Industrial Revolution 4.0. Jurnal Pendidikan Islam Indonesia, 5(2), 136–152.</w:t>
      </w:r>
    </w:p>
    <w:p>
      <w:r>
        <w:rPr>
          <w:rFonts w:ascii="Times New Roman" w:hAnsi="Times New Roman"/>
          <w:sz w:val="24"/>
        </w:rPr>
        <w:t>Antonopoulou, H. (2024). The value of emotional intelligence: Self-awareness, self-regulation, motivation, and empathy as key components. Technium Education and Humanities, 8, 78–92.</w:t>
      </w:r>
    </w:p>
    <w:p>
      <w:r>
        <w:rPr>
          <w:rFonts w:ascii="Times New Roman" w:hAnsi="Times New Roman"/>
          <w:sz w:val="24"/>
        </w:rPr>
        <w:t>Asbari, M., &amp; Novitasari, D. (2024). Outcome-based education model: Its impact and implications for lecturer creativity and innovation in higher education. International Journal of Social and Management Studies, 5(5), 22–31.</w:t>
      </w:r>
    </w:p>
    <w:p>
      <w:r>
        <w:rPr>
          <w:rFonts w:ascii="Times New Roman" w:hAnsi="Times New Roman"/>
          <w:sz w:val="24"/>
        </w:rPr>
        <w:t>Augusto-Landa, J. M., Pulido-Martos, M., &amp; Lopez-Zafra, E. (2011). Does perceived emotional intelligence and optimism/pessimism predict psychological well-being? Journal of Happiness Studies, 12(3), 463–474.</w:t>
      </w:r>
    </w:p>
    <w:p>
      <w:r>
        <w:rPr>
          <w:rFonts w:ascii="Times New Roman" w:hAnsi="Times New Roman"/>
          <w:sz w:val="24"/>
        </w:rPr>
        <w:t>Aulia, I. N. (2022). Innovative learning strategies: Analysis of study books using the PAILKEM approach by Hamzah B. Uno. LECTURES: Journal of Islamic and Education Studies, 1(1), 25–31.</w:t>
      </w:r>
    </w:p>
    <w:p>
      <w:r>
        <w:rPr>
          <w:rFonts w:ascii="Times New Roman" w:hAnsi="Times New Roman"/>
          <w:sz w:val="24"/>
        </w:rPr>
        <w:t>Bamberg, M. (1997). Language, concepts and emotions: The role of language in the construction of emotions. Language Sciences, 19(4), 309–340.</w:t>
      </w:r>
    </w:p>
    <w:p>
      <w:r>
        <w:rPr>
          <w:rFonts w:ascii="Times New Roman" w:hAnsi="Times New Roman"/>
          <w:sz w:val="24"/>
        </w:rPr>
        <w:t>Bar-On, R. (2006). The Bar-On model of emotional-social intelligence (ESI). Psicothema, 18, 13–25.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