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spacing w:after="120" w:before="0" w:line="300"/>
        <w:jc w:val="center"/>
      </w:pPr>
      <w:r>
        <w:rPr>
          <w:rFonts w:ascii="Arial" w:cs="Arial" w:eastAsia="Arial" w:hAnsi="Arial"/>
          <w:b/>
          <w:bCs/>
          <w:color w:val="5B6B7B"/>
          <w:sz w:val="30"/>
          <w:szCs w:val="30"/>
          <w:rtl/>
        </w:rPr>
        <w:t xml:space="preserve">أمانة منطقة الرياض</w:t>
      </w:r>
    </w:p>
    <w:p>
      <w:pPr>
        <w:bidi/>
        <w:spacing w:after="600" w:before="0" w:line="300"/>
        <w:jc w:val="center"/>
      </w:pPr>
      <w:r>
        <w:rPr>
          <w:rFonts w:ascii="Arial" w:cs="Arial" w:eastAsia="Arial" w:hAnsi="Arial"/>
          <w:b w:val="false"/>
          <w:color w:val="5B6B7B"/>
          <w:sz w:val="26"/>
          <w:szCs w:val="26"/>
          <w:rtl/>
        </w:rPr>
        <w:t xml:space="preserve">وكالة الخدمات المؤسسية</w:t>
      </w:r>
    </w:p>
    <w:p>
      <w:pPr>
        <w:bidi/>
        <w:spacing w:after="200" w:before="0" w:line="300"/>
        <w:jc w:val="center"/>
      </w:pPr>
      <w:r>
        <w:rPr>
          <w:rFonts w:ascii="Arial" w:cs="Arial" w:eastAsia="Arial" w:hAnsi="Arial"/>
          <w:b/>
          <w:bCs/>
          <w:color w:val="006A46"/>
          <w:sz w:val="52"/>
          <w:szCs w:val="52"/>
          <w:rtl/>
        </w:rPr>
        <w:t xml:space="preserve">استراتيجية إدارة الإيرادات والتمويل</w:t>
      </w:r>
    </w:p>
    <w:p>
      <w:pPr>
        <w:bidi/>
        <w:spacing w:after="600" w:before="0" w:line="300"/>
        <w:jc w:val="center"/>
      </w:pPr>
      <w:r>
        <w:rPr>
          <w:rFonts w:ascii="Arial" w:cs="Arial" w:eastAsia="Arial" w:hAnsi="Arial"/>
          <w:b/>
          <w:bCs/>
          <w:color w:val="0B6B73"/>
          <w:sz w:val="44"/>
          <w:szCs w:val="44"/>
          <w:rtl/>
        </w:rPr>
        <w:t xml:space="preserve">2026 – 2030</w:t>
      </w:r>
    </w:p>
    <w:p>
      <w:pPr>
        <w:bidi/>
        <w:spacing w:after="1800" w:before="0" w:line="300"/>
        <w:jc w:val="center"/>
      </w:pPr>
      <w:r>
        <w:rPr>
          <w:rFonts w:ascii="Arial" w:cs="Arial" w:eastAsia="Arial" w:hAnsi="Arial"/>
          <w:b w:val="false"/>
          <w:color w:val="1F2A37"/>
          <w:sz w:val="28"/>
          <w:szCs w:val="28"/>
          <w:rtl/>
        </w:rPr>
        <w:t xml:space="preserve">النموذج البلدي الرائد إقليمياً في تنمية الإيرادات والتمويل المبتكر</w:t>
      </w:r>
    </w:p>
    <w:p>
      <w:pPr>
        <w:bidi/>
        <w:spacing w:after="120" w:before="0" w:line="300"/>
        <w:jc w:val="center"/>
      </w:pPr>
      <w:r>
        <w:rPr>
          <w:rFonts w:ascii="Arial" w:cs="Arial" w:eastAsia="Arial" w:hAnsi="Arial"/>
          <w:b/>
          <w:bCs/>
          <w:color w:val="B7801A"/>
          <w:sz w:val="22"/>
          <w:szCs w:val="22"/>
          <w:rtl/>
        </w:rPr>
        <w:t xml:space="preserve">مسودة للمراجعة والاعتماد</w:t>
      </w:r>
    </w:p>
    <w:p>
      <w:r>
        <w:br w:type="page"/>
      </w:r>
    </w:p>
    <w:p>
      <w:pPr>
        <w:pStyle w:val="Heading1"/>
        <w:bidi/>
      </w:pPr>
      <w:r>
        <w:rPr>
          <w:rFonts w:ascii="Arial" w:cs="Arial" w:eastAsia="Arial" w:hAnsi="Arial"/>
          <w:b w:val="false"/>
          <w:color w:val="1F2A37"/>
          <w:sz w:val="22"/>
          <w:szCs w:val="22"/>
          <w:rtl/>
        </w:rPr>
        <w:t xml:space="preserve">المحتويات</w:t>
      </w:r>
    </w:p>
    <w:p>
      <w:pPr>
        <w:pStyle w:val="ListParagraph"/>
        <w:numPr>
          <w:ilvl w:val="0"/>
          <w:numId w:val="2"/>
        </w:numPr>
        <w:bidi/>
        <w:spacing w:after="60" w:line="290"/>
        <w:jc w:val="both"/>
      </w:pPr>
      <w:r>
        <w:rPr>
          <w:rFonts w:ascii="Arial" w:cs="Arial" w:eastAsia="Arial" w:hAnsi="Arial"/>
          <w:b w:val="false"/>
          <w:color w:val="1F2A37"/>
          <w:sz w:val="22"/>
          <w:szCs w:val="22"/>
          <w:rtl/>
        </w:rPr>
        <w:t xml:space="preserve">المقدمة والسياق</w:t>
      </w:r>
    </w:p>
    <w:p>
      <w:pPr>
        <w:pStyle w:val="ListParagraph"/>
        <w:numPr>
          <w:ilvl w:val="0"/>
          <w:numId w:val="2"/>
        </w:numPr>
        <w:bidi/>
        <w:spacing w:after="60" w:line="290"/>
        <w:jc w:val="both"/>
      </w:pPr>
      <w:r>
        <w:rPr>
          <w:rFonts w:ascii="Arial" w:cs="Arial" w:eastAsia="Arial" w:hAnsi="Arial"/>
          <w:b w:val="false"/>
          <w:color w:val="1F2A37"/>
          <w:sz w:val="22"/>
          <w:szCs w:val="22"/>
          <w:rtl/>
        </w:rPr>
        <w:t xml:space="preserve">الإطار الاستراتيجي لإدارة الإيرادات والتمويل</w:t>
      </w:r>
    </w:p>
    <w:p>
      <w:pPr>
        <w:pStyle w:val="ListParagraph"/>
        <w:numPr>
          <w:ilvl w:val="0"/>
          <w:numId w:val="2"/>
        </w:numPr>
        <w:bidi/>
        <w:spacing w:after="60" w:line="290"/>
        <w:jc w:val="both"/>
      </w:pPr>
      <w:r>
        <w:rPr>
          <w:rFonts w:ascii="Arial" w:cs="Arial" w:eastAsia="Arial" w:hAnsi="Arial"/>
          <w:b w:val="false"/>
          <w:color w:val="1F2A37"/>
          <w:sz w:val="22"/>
          <w:szCs w:val="22"/>
          <w:rtl/>
        </w:rPr>
        <w:t xml:space="preserve">الهيكل التنظيمي</w:t>
      </w:r>
    </w:p>
    <w:p>
      <w:pPr>
        <w:pStyle w:val="ListParagraph"/>
        <w:numPr>
          <w:ilvl w:val="0"/>
          <w:numId w:val="2"/>
        </w:numPr>
        <w:bidi/>
        <w:spacing w:after="60" w:line="290"/>
        <w:jc w:val="both"/>
      </w:pPr>
      <w:r>
        <w:rPr>
          <w:rFonts w:ascii="Arial" w:cs="Arial" w:eastAsia="Arial" w:hAnsi="Arial"/>
          <w:b w:val="false"/>
          <w:color w:val="1F2A37"/>
          <w:sz w:val="22"/>
          <w:szCs w:val="22"/>
          <w:rtl/>
        </w:rPr>
        <w:t xml:space="preserve">إدارة تخطيط ومراقبة الإيرادات</w:t>
      </w:r>
    </w:p>
    <w:p>
      <w:pPr>
        <w:pStyle w:val="ListParagraph"/>
        <w:numPr>
          <w:ilvl w:val="0"/>
          <w:numId w:val="2"/>
        </w:numPr>
        <w:bidi/>
        <w:spacing w:after="60" w:line="290"/>
        <w:jc w:val="both"/>
      </w:pPr>
      <w:r>
        <w:rPr>
          <w:rFonts w:ascii="Arial" w:cs="Arial" w:eastAsia="Arial" w:hAnsi="Arial"/>
          <w:b w:val="false"/>
          <w:color w:val="1F2A37"/>
          <w:sz w:val="22"/>
          <w:szCs w:val="22"/>
          <w:rtl/>
        </w:rPr>
        <w:t xml:space="preserve">إدارة الائتمان والتمويل</w:t>
      </w:r>
    </w:p>
    <w:p>
      <w:pPr>
        <w:pStyle w:val="ListParagraph"/>
        <w:numPr>
          <w:ilvl w:val="0"/>
          <w:numId w:val="2"/>
        </w:numPr>
        <w:bidi/>
        <w:spacing w:after="60" w:line="290"/>
        <w:jc w:val="both"/>
      </w:pPr>
      <w:r>
        <w:rPr>
          <w:rFonts w:ascii="Arial" w:cs="Arial" w:eastAsia="Arial" w:hAnsi="Arial"/>
          <w:b w:val="false"/>
          <w:color w:val="1F2A37"/>
          <w:sz w:val="22"/>
          <w:szCs w:val="22"/>
          <w:rtl/>
        </w:rPr>
        <w:t xml:space="preserve">إدارة الاستدامة المالية</w:t>
      </w:r>
    </w:p>
    <w:p>
      <w:pPr>
        <w:pStyle w:val="ListParagraph"/>
        <w:numPr>
          <w:ilvl w:val="0"/>
          <w:numId w:val="2"/>
        </w:numPr>
        <w:bidi/>
        <w:spacing w:after="60" w:line="290"/>
        <w:jc w:val="both"/>
      </w:pPr>
      <w:r>
        <w:rPr>
          <w:rFonts w:ascii="Arial" w:cs="Arial" w:eastAsia="Arial" w:hAnsi="Arial"/>
          <w:b w:val="false"/>
          <w:color w:val="1F2A37"/>
          <w:sz w:val="22"/>
          <w:szCs w:val="22"/>
          <w:rtl/>
        </w:rPr>
        <w:t xml:space="preserve">التكامل ومصفوفة المسؤوليات</w:t>
      </w:r>
    </w:p>
    <w:p>
      <w:pPr>
        <w:pStyle w:val="ListParagraph"/>
        <w:numPr>
          <w:ilvl w:val="0"/>
          <w:numId w:val="2"/>
        </w:numPr>
        <w:bidi/>
        <w:spacing w:after="60" w:line="290"/>
        <w:jc w:val="both"/>
      </w:pPr>
      <w:r>
        <w:rPr>
          <w:rFonts w:ascii="Arial" w:cs="Arial" w:eastAsia="Arial" w:hAnsi="Arial"/>
          <w:b w:val="false"/>
          <w:color w:val="1F2A37"/>
          <w:sz w:val="22"/>
          <w:szCs w:val="22"/>
          <w:rtl/>
        </w:rPr>
        <w:t xml:space="preserve">خارطة الطريق 2026–2030</w:t>
      </w:r>
    </w:p>
    <w:p>
      <w:pPr>
        <w:pStyle w:val="ListParagraph"/>
        <w:numPr>
          <w:ilvl w:val="0"/>
          <w:numId w:val="2"/>
        </w:numPr>
        <w:bidi/>
        <w:spacing w:after="60" w:line="290"/>
        <w:jc w:val="both"/>
      </w:pPr>
      <w:r>
        <w:rPr>
          <w:rFonts w:ascii="Arial" w:cs="Arial" w:eastAsia="Arial" w:hAnsi="Arial"/>
          <w:b w:val="false"/>
          <w:color w:val="1F2A37"/>
          <w:sz w:val="22"/>
          <w:szCs w:val="22"/>
          <w:rtl/>
        </w:rPr>
        <w:t xml:space="preserve">مؤشرات الأداء الرئيسية</w:t>
      </w:r>
    </w:p>
    <w:p>
      <w:pPr>
        <w:pStyle w:val="ListParagraph"/>
        <w:numPr>
          <w:ilvl w:val="0"/>
          <w:numId w:val="2"/>
        </w:numPr>
        <w:bidi/>
        <w:spacing w:after="60" w:line="290"/>
        <w:jc w:val="both"/>
      </w:pPr>
      <w:r>
        <w:rPr>
          <w:rFonts w:ascii="Arial" w:cs="Arial" w:eastAsia="Arial" w:hAnsi="Arial"/>
          <w:b w:val="false"/>
          <w:color w:val="1F2A37"/>
          <w:sz w:val="22"/>
          <w:szCs w:val="22"/>
          <w:rtl/>
        </w:rPr>
        <w:t xml:space="preserve">الحوكمة وإدارة المخاطر</w:t>
      </w:r>
    </w:p>
    <w:p>
      <w:pPr>
        <w:pStyle w:val="ListParagraph"/>
        <w:numPr>
          <w:ilvl w:val="0"/>
          <w:numId w:val="2"/>
        </w:numPr>
        <w:bidi/>
        <w:spacing w:after="60" w:line="290"/>
        <w:jc w:val="both"/>
      </w:pPr>
      <w:r>
        <w:rPr>
          <w:rFonts w:ascii="Arial" w:cs="Arial" w:eastAsia="Arial" w:hAnsi="Arial"/>
          <w:b w:val="false"/>
          <w:color w:val="1F2A37"/>
          <w:sz w:val="22"/>
          <w:szCs w:val="22"/>
          <w:rtl/>
        </w:rPr>
        <w:t xml:space="preserve">الملحق (أ): مسودة ميثاق اللجنة العليا للتمويل</w:t>
      </w:r>
    </w:p>
    <w:p>
      <w:pPr>
        <w:pStyle w:val="ListParagraph"/>
        <w:numPr>
          <w:ilvl w:val="0"/>
          <w:numId w:val="2"/>
        </w:numPr>
        <w:bidi/>
        <w:spacing w:after="60" w:line="290"/>
        <w:jc w:val="both"/>
      </w:pPr>
      <w:r>
        <w:rPr>
          <w:rFonts w:ascii="Arial" w:cs="Arial" w:eastAsia="Arial" w:hAnsi="Arial"/>
          <w:b w:val="false"/>
          <w:color w:val="1F2A37"/>
          <w:sz w:val="22"/>
          <w:szCs w:val="22"/>
          <w:rtl/>
        </w:rPr>
        <w:t xml:space="preserve">الملحق (ب): ملخص التجارب الخليجية والعربية والعالمية</w:t>
      </w:r>
    </w:p>
    <w:p>
      <w:pPr>
        <w:pStyle w:val="ListParagraph"/>
        <w:numPr>
          <w:ilvl w:val="0"/>
          <w:numId w:val="2"/>
        </w:numPr>
        <w:bidi/>
        <w:spacing w:after="60" w:line="290"/>
        <w:jc w:val="both"/>
      </w:pPr>
      <w:r>
        <w:rPr>
          <w:rFonts w:ascii="Arial" w:cs="Arial" w:eastAsia="Arial" w:hAnsi="Arial"/>
          <w:b w:val="false"/>
          <w:color w:val="1F2A37"/>
          <w:sz w:val="22"/>
          <w:szCs w:val="22"/>
          <w:rtl/>
        </w:rPr>
        <w:t xml:space="preserve">الملحق (ج): مسرد المصطلحات</w:t>
      </w:r>
    </w:p>
    <w:p>
      <w:r>
        <w:br w:type="page"/>
      </w:r>
    </w:p>
    <w:p>
      <w:pPr>
        <w:pStyle w:val="Heading1"/>
        <w:bidi/>
      </w:pPr>
      <w:r>
        <w:rPr>
          <w:rFonts w:ascii="Arial" w:cs="Arial" w:eastAsia="Arial" w:hAnsi="Arial"/>
          <w:b w:val="false"/>
          <w:color w:val="1F2A37"/>
          <w:sz w:val="22"/>
          <w:szCs w:val="22"/>
          <w:rtl/>
        </w:rPr>
        <w:t xml:space="preserve">1. المقدمة والسياق</w:t>
      </w:r>
    </w:p>
    <w:p>
      <w:pPr>
        <w:bidi/>
        <w:spacing w:after="120" w:before="0" w:line="300"/>
        <w:jc w:val="both"/>
      </w:pPr>
      <w:r>
        <w:rPr>
          <w:rFonts w:ascii="Arial" w:cs="Arial" w:eastAsia="Arial" w:hAnsi="Arial"/>
          <w:b w:val="false"/>
          <w:color w:val="1F2A37"/>
          <w:sz w:val="22"/>
          <w:szCs w:val="22"/>
          <w:rtl/>
        </w:rPr>
        <w:t xml:space="preserve">تأتي هذه الاستراتيجية لتحديد توجه </w:t>
      </w:r>
      <w:r>
        <w:rPr>
          <w:rFonts w:ascii="Arial" w:cs="Arial" w:eastAsia="Arial" w:hAnsi="Arial"/>
          <w:b/>
          <w:bCs/>
          <w:color w:val="1F2A37"/>
          <w:sz w:val="22"/>
          <w:szCs w:val="22"/>
          <w:rtl/>
        </w:rPr>
        <w:t xml:space="preserve">إدارة الإيرادات والتمويل</w:t>
      </w:r>
      <w:r>
        <w:rPr>
          <w:rFonts w:ascii="Arial" w:cs="Arial" w:eastAsia="Arial" w:hAnsi="Arial"/>
          <w:b w:val="false"/>
          <w:color w:val="1F2A37"/>
          <w:sz w:val="22"/>
          <w:szCs w:val="22"/>
          <w:rtl/>
        </w:rPr>
        <w:t xml:space="preserve"> في أمانة منطقة الرياض وإداراتها الثلاث للفترة </w:t>
      </w:r>
      <w:r>
        <w:rPr>
          <w:rFonts w:ascii="Arial" w:cs="Arial" w:eastAsia="Arial" w:hAnsi="Arial"/>
          <w:b/>
          <w:bCs/>
          <w:color w:val="1F2A37"/>
          <w:sz w:val="22"/>
          <w:szCs w:val="22"/>
          <w:rtl/>
        </w:rPr>
        <w:t xml:space="preserve">2026–2030</w:t>
      </w:r>
      <w:r>
        <w:rPr>
          <w:rFonts w:ascii="Arial" w:cs="Arial" w:eastAsia="Arial" w:hAnsi="Arial"/>
          <w:b w:val="false"/>
          <w:color w:val="1F2A37"/>
          <w:sz w:val="22"/>
          <w:szCs w:val="22"/>
          <w:rtl/>
        </w:rPr>
        <w:t xml:space="preserve">، في مرحلة تشهد فيها الرياض نمواً استثنائياً واستعداداً لاستضافة </w:t>
      </w:r>
      <w:r>
        <w:rPr>
          <w:rFonts w:ascii="Arial" w:cs="Arial" w:eastAsia="Arial" w:hAnsi="Arial"/>
          <w:b/>
          <w:bCs/>
          <w:color w:val="1F2A37"/>
          <w:sz w:val="22"/>
          <w:szCs w:val="22"/>
          <w:rtl/>
        </w:rPr>
        <w:t xml:space="preserve">إكسبو 2030</w:t>
      </w:r>
      <w:r>
        <w:rPr>
          <w:rFonts w:ascii="Arial" w:cs="Arial" w:eastAsia="Arial" w:hAnsi="Arial"/>
          <w:b w:val="false"/>
          <w:color w:val="1F2A37"/>
          <w:sz w:val="22"/>
          <w:szCs w:val="22"/>
          <w:rtl/>
        </w:rPr>
        <w:t xml:space="preserve"> و</w:t>
      </w:r>
      <w:r>
        <w:rPr>
          <w:rFonts w:ascii="Arial" w:cs="Arial" w:eastAsia="Arial" w:hAnsi="Arial"/>
          <w:b/>
          <w:bCs/>
          <w:color w:val="1F2A37"/>
          <w:sz w:val="22"/>
          <w:szCs w:val="22"/>
          <w:rtl/>
        </w:rPr>
        <w:t xml:space="preserve">كأس العالم 2034</w:t>
      </w:r>
      <w:r>
        <w:rPr>
          <w:rFonts w:ascii="Arial" w:cs="Arial" w:eastAsia="Arial" w:hAnsi="Arial"/>
          <w:b w:val="false"/>
          <w:color w:val="1F2A37"/>
          <w:sz w:val="22"/>
          <w:szCs w:val="22"/>
          <w:rtl/>
        </w:rPr>
        <w:t xml:space="preserve">، بما يرفع الطلب على المشاريع والخدمات والبنية التحتية.</w:t>
      </w:r>
    </w:p>
    <w:p>
      <w:pPr>
        <w:pStyle w:val="Heading2"/>
        <w:bidi/>
      </w:pPr>
      <w:r>
        <w:rPr>
          <w:rFonts w:ascii="Arial" w:cs="Arial" w:eastAsia="Arial" w:hAnsi="Arial"/>
          <w:b w:val="false"/>
          <w:color w:val="1F2A37"/>
          <w:sz w:val="22"/>
          <w:szCs w:val="22"/>
          <w:rtl/>
        </w:rPr>
        <w:t xml:space="preserve">النموذج المالي للأمانة</w:t>
      </w:r>
    </w:p>
    <w:p>
      <w:pPr>
        <w:pStyle w:val="ListParagraph"/>
        <w:numPr>
          <w:ilvl w:val="0"/>
          <w:numId w:val="3"/>
        </w:numPr>
        <w:bidi/>
        <w:spacing w:after="60" w:line="290"/>
        <w:jc w:val="both"/>
      </w:pPr>
      <w:r>
        <w:rPr>
          <w:rFonts w:ascii="Arial" w:cs="Arial" w:eastAsia="Arial" w:hAnsi="Arial"/>
          <w:b/>
          <w:bCs/>
          <w:color w:val="1F2A37"/>
          <w:sz w:val="22"/>
          <w:szCs w:val="22"/>
          <w:rtl/>
        </w:rPr>
        <w:t xml:space="preserve">الميزانية:</w:t>
      </w:r>
      <w:r>
        <w:rPr>
          <w:rFonts w:ascii="Arial" w:cs="Arial" w:eastAsia="Arial" w:hAnsi="Arial"/>
          <w:b w:val="false"/>
          <w:color w:val="1F2A37"/>
          <w:sz w:val="22"/>
          <w:szCs w:val="22"/>
          <w:rtl/>
        </w:rPr>
        <w:t xml:space="preserve"> تُعتمد من الدولة.</w:t>
      </w:r>
    </w:p>
    <w:p>
      <w:pPr>
        <w:pStyle w:val="ListParagraph"/>
        <w:numPr>
          <w:ilvl w:val="0"/>
          <w:numId w:val="3"/>
        </w:numPr>
        <w:bidi/>
        <w:spacing w:after="60" w:line="290"/>
        <w:jc w:val="both"/>
      </w:pPr>
      <w:r>
        <w:rPr>
          <w:rFonts w:ascii="Arial" w:cs="Arial" w:eastAsia="Arial" w:hAnsi="Arial"/>
          <w:b/>
          <w:bCs/>
          <w:color w:val="1F2A37"/>
          <w:sz w:val="22"/>
          <w:szCs w:val="22"/>
          <w:rtl/>
        </w:rPr>
        <w:t xml:space="preserve">الإيرادات:</w:t>
      </w:r>
      <w:r>
        <w:rPr>
          <w:rFonts w:ascii="Arial" w:cs="Arial" w:eastAsia="Arial" w:hAnsi="Arial"/>
          <w:b w:val="false"/>
          <w:color w:val="1F2A37"/>
          <w:sz w:val="22"/>
          <w:szCs w:val="22"/>
          <w:rtl/>
        </w:rPr>
        <w:t xml:space="preserve"> تُورَّد للخزينة العامة، و</w:t>
      </w:r>
      <w:r>
        <w:rPr>
          <w:rFonts w:ascii="Arial" w:cs="Arial" w:eastAsia="Arial" w:hAnsi="Arial"/>
          <w:b/>
          <w:bCs/>
          <w:color w:val="1F2A37"/>
          <w:sz w:val="22"/>
          <w:szCs w:val="22"/>
          <w:rtl/>
        </w:rPr>
        <w:t xml:space="preserve">ما يتحقق فوق المستهدف يعود لميزانية الأمانة</w:t>
      </w:r>
      <w:r>
        <w:rPr>
          <w:rFonts w:ascii="Arial" w:cs="Arial" w:eastAsia="Arial" w:hAnsi="Arial"/>
          <w:b w:val="false"/>
          <w:color w:val="1F2A37"/>
          <w:sz w:val="22"/>
          <w:szCs w:val="22"/>
          <w:rtl/>
        </w:rPr>
        <w:t xml:space="preserve">؛ فكل ريال فوق المستهدف مكسب مباشر للأمانة.</w:t>
      </w:r>
    </w:p>
    <w:p>
      <w:pPr>
        <w:pStyle w:val="ListParagraph"/>
        <w:numPr>
          <w:ilvl w:val="0"/>
          <w:numId w:val="3"/>
        </w:numPr>
        <w:bidi/>
        <w:spacing w:after="60" w:line="290"/>
        <w:jc w:val="both"/>
      </w:pPr>
      <w:r>
        <w:rPr>
          <w:rFonts w:ascii="Arial" w:cs="Arial" w:eastAsia="Arial" w:hAnsi="Arial"/>
          <w:b/>
          <w:bCs/>
          <w:color w:val="1F2A37"/>
          <w:sz w:val="22"/>
          <w:szCs w:val="22"/>
          <w:rtl/>
        </w:rPr>
        <w:t xml:space="preserve">التمويل:</w:t>
      </w:r>
      <w:r>
        <w:rPr>
          <w:rFonts w:ascii="Arial" w:cs="Arial" w:eastAsia="Arial" w:hAnsi="Arial"/>
          <w:b w:val="false"/>
          <w:color w:val="1F2A37"/>
          <w:sz w:val="22"/>
          <w:szCs w:val="22"/>
          <w:rtl/>
        </w:rPr>
        <w:t xml:space="preserve"> يمكن تمويل المشاريع من خارج الميزانية عبر أربعة مسارات (المستثمر، الجهات الحكومية، البنوك، السندات والصكوك)، وتُعد إيرادات الأمانة مصدراً للسداد.</w:t>
      </w:r>
    </w:p>
    <w:p>
      <w:pPr>
        <w:pStyle w:val="Heading2"/>
        <w:bidi/>
      </w:pPr>
      <w:r>
        <w:rPr>
          <w:rFonts w:ascii="Arial" w:cs="Arial" w:eastAsia="Arial" w:hAnsi="Arial"/>
          <w:b w:val="false"/>
          <w:color w:val="1F2A37"/>
          <w:sz w:val="22"/>
          <w:szCs w:val="22"/>
          <w:rtl/>
        </w:rPr>
        <w:t xml:space="preserve">تطور الإيرادات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الفترة</w:t>
            </w:r>
          </w:p>
        </w:tc>
        <w:tc>
          <w:tcPr>
            <w:tcW w:type="dxa" w:w="3159"/>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الإيرادات (مليون ريال)</w:t>
            </w:r>
          </w:p>
        </w:tc>
        <w:tc>
          <w:tcPr>
            <w:tcW w:type="dxa" w:w="3159"/>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النمو</w:t>
            </w:r>
          </w:p>
        </w:tc>
      </w:tr>
      <w:tr>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قبل سنتين</w:t>
            </w:r>
          </w:p>
        </w:tc>
        <w:tc>
          <w:tcPr>
            <w:tcW w:type="dxa" w:w="315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2,800</w:t>
            </w:r>
          </w:p>
        </w:tc>
        <w:tc>
          <w:tcPr>
            <w:tcW w:type="dxa" w:w="315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r>
      <w:tr>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السنة السابقة</w:t>
            </w:r>
          </w:p>
        </w:tc>
        <w:tc>
          <w:tcPr>
            <w:tcW w:type="dxa" w:w="315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3,100</w:t>
            </w:r>
          </w:p>
        </w:tc>
        <w:tc>
          <w:tcPr>
            <w:tcW w:type="dxa" w:w="315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+10.7%</w:t>
            </w:r>
          </w:p>
        </w:tc>
      </w:tr>
      <w:tr>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السنة الأخيرة</w:t>
            </w:r>
          </w:p>
        </w:tc>
        <w:tc>
          <w:tcPr>
            <w:tcW w:type="dxa" w:w="315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3,650</w:t>
            </w:r>
          </w:p>
        </w:tc>
        <w:tc>
          <w:tcPr>
            <w:tcW w:type="dxa" w:w="315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+17.7%</w:t>
            </w:r>
          </w:p>
        </w:tc>
      </w:tr>
    </w:tbl>
    <w:p>
      <w:pPr>
        <w:spacing w:after="120"/>
      </w:pPr>
    </w:p>
    <w:p>
      <w:pPr>
        <w:bidi/>
        <w:spacing w:after="120" w:before="0" w:line="300"/>
        <w:jc w:val="both"/>
      </w:pPr>
      <w:r>
        <w:rPr>
          <w:rFonts w:ascii="Arial" w:cs="Arial" w:eastAsia="Arial" w:hAnsi="Arial"/>
          <w:b w:val="false"/>
          <w:color w:val="1F2A37"/>
          <w:sz w:val="22"/>
          <w:szCs w:val="22"/>
          <w:rtl/>
        </w:rPr>
        <w:t xml:space="preserve">حققت الإيرادات نمواً يقارب </w:t>
      </w:r>
      <w:r>
        <w:rPr>
          <w:rFonts w:ascii="Arial" w:cs="Arial" w:eastAsia="Arial" w:hAnsi="Arial"/>
          <w:b/>
          <w:bCs/>
          <w:color w:val="1F2A37"/>
          <w:sz w:val="22"/>
          <w:szCs w:val="22"/>
          <w:rtl/>
        </w:rPr>
        <w:t xml:space="preserve">30% خلال سنتين</w:t>
      </w:r>
      <w:r>
        <w:rPr>
          <w:rFonts w:ascii="Arial" w:cs="Arial" w:eastAsia="Arial" w:hAnsi="Arial"/>
          <w:b w:val="false"/>
          <w:color w:val="1F2A37"/>
          <w:sz w:val="22"/>
          <w:szCs w:val="22"/>
          <w:rtl/>
        </w:rPr>
        <w:t xml:space="preserve"> (متوسط مركّب يقارب 14% سنوياً)، وجزء منه مرتبط بالطفرة الإنشائية؛ ولذلك اعتُمد مستهدف متوازن.</w:t>
      </w:r>
    </w:p>
    <w:p>
      <w:pPr>
        <w:pStyle w:val="Heading2"/>
        <w:bidi/>
      </w:pPr>
      <w:r>
        <w:rPr>
          <w:rFonts w:ascii="Arial" w:cs="Arial" w:eastAsia="Arial" w:hAnsi="Arial"/>
          <w:b w:val="false"/>
          <w:color w:val="1F2A37"/>
          <w:sz w:val="22"/>
          <w:szCs w:val="22"/>
          <w:rtl/>
        </w:rPr>
        <w:t xml:space="preserve">النطاق</w:t>
      </w:r>
    </w:p>
    <w:p>
      <w:pPr>
        <w:bidi/>
        <w:spacing w:after="120" w:before="0" w:line="300"/>
        <w:jc w:val="both"/>
      </w:pPr>
      <w:r>
        <w:rPr>
          <w:rFonts w:ascii="Arial" w:cs="Arial" w:eastAsia="Arial" w:hAnsi="Arial"/>
          <w:b w:val="false"/>
          <w:color w:val="1F2A37"/>
          <w:sz w:val="22"/>
          <w:szCs w:val="22"/>
          <w:rtl/>
        </w:rPr>
        <w:t xml:space="preserve">تشمل الاستراتيجية الإطار العام للإدارة، واستراتيجية ومهام كل من: </w:t>
      </w:r>
      <w:r>
        <w:rPr>
          <w:rFonts w:ascii="Arial" w:cs="Arial" w:eastAsia="Arial" w:hAnsi="Arial"/>
          <w:b/>
          <w:bCs/>
          <w:color w:val="1F2A37"/>
          <w:sz w:val="22"/>
          <w:szCs w:val="22"/>
          <w:rtl/>
        </w:rPr>
        <w:t xml:space="preserve">إدارة تخطيط ومراقبة الإيرادات</w:t>
      </w:r>
      <w:r>
        <w:rPr>
          <w:rFonts w:ascii="Arial" w:cs="Arial" w:eastAsia="Arial" w:hAnsi="Arial"/>
          <w:b w:val="false"/>
          <w:color w:val="1F2A37"/>
          <w:sz w:val="22"/>
          <w:szCs w:val="22"/>
          <w:rtl/>
        </w:rPr>
        <w:t xml:space="preserve">، و</w:t>
      </w:r>
      <w:r>
        <w:rPr>
          <w:rFonts w:ascii="Arial" w:cs="Arial" w:eastAsia="Arial" w:hAnsi="Arial"/>
          <w:b/>
          <w:bCs/>
          <w:color w:val="1F2A37"/>
          <w:sz w:val="22"/>
          <w:szCs w:val="22"/>
          <w:rtl/>
        </w:rPr>
        <w:t xml:space="preserve">إدارة الائتمان والتمويل</w:t>
      </w:r>
      <w:r>
        <w:rPr>
          <w:rFonts w:ascii="Arial" w:cs="Arial" w:eastAsia="Arial" w:hAnsi="Arial"/>
          <w:b w:val="false"/>
          <w:color w:val="1F2A37"/>
          <w:sz w:val="22"/>
          <w:szCs w:val="22"/>
          <w:rtl/>
        </w:rPr>
        <w:t xml:space="preserve">، و</w:t>
      </w:r>
      <w:r>
        <w:rPr>
          <w:rFonts w:ascii="Arial" w:cs="Arial" w:eastAsia="Arial" w:hAnsi="Arial"/>
          <w:b/>
          <w:bCs/>
          <w:color w:val="1F2A37"/>
          <w:sz w:val="22"/>
          <w:szCs w:val="22"/>
          <w:rtl/>
        </w:rPr>
        <w:t xml:space="preserve">إدارة الاستدامة المالية</w:t>
      </w:r>
      <w:r>
        <w:rPr>
          <w:rFonts w:ascii="Arial" w:cs="Arial" w:eastAsia="Arial" w:hAnsi="Arial"/>
          <w:b w:val="false"/>
          <w:color w:val="1F2A37"/>
          <w:sz w:val="22"/>
          <w:szCs w:val="22"/>
          <w:rtl/>
        </w:rPr>
        <w:t xml:space="preserve">، وآليات التكامل مع وكالة الاستثمار والتخصيص والإدارة المالية وجهات التحصيل واللجنة العليا للتمويل.</w:t>
      </w:r>
    </w:p>
    <w:p>
      <w:r>
        <w:br w:type="page"/>
      </w:r>
    </w:p>
    <w:p>
      <w:pPr>
        <w:pStyle w:val="Heading1"/>
        <w:bidi/>
      </w:pPr>
      <w:r>
        <w:rPr>
          <w:rFonts w:ascii="Arial" w:cs="Arial" w:eastAsia="Arial" w:hAnsi="Arial"/>
          <w:b w:val="false"/>
          <w:color w:val="1F2A37"/>
          <w:sz w:val="22"/>
          <w:szCs w:val="22"/>
          <w:rtl/>
        </w:rPr>
        <w:t xml:space="preserve">2. الإطار الاستراتيجي لإدارة الإيرادات والتمويل</w:t>
      </w:r>
    </w:p>
    <w:p>
      <w:pPr>
        <w:pStyle w:val="Heading2"/>
        <w:bidi/>
      </w:pPr>
      <w:r>
        <w:rPr>
          <w:rFonts w:ascii="Arial" w:cs="Arial" w:eastAsia="Arial" w:hAnsi="Arial"/>
          <w:b w:val="false"/>
          <w:color w:val="1F2A37"/>
          <w:sz w:val="22"/>
          <w:szCs w:val="22"/>
          <w:rtl/>
        </w:rPr>
        <w:t xml:space="preserve">التعريف</w:t>
      </w:r>
    </w:p>
    <w:p>
      <w:pPr>
        <w:bidi/>
        <w:spacing w:after="120" w:before="0" w:line="300"/>
        <w:jc w:val="both"/>
      </w:pPr>
      <w:r>
        <w:rPr>
          <w:rFonts w:ascii="Arial" w:cs="Arial" w:eastAsia="Arial" w:hAnsi="Arial"/>
          <w:b w:val="false"/>
          <w:color w:val="1F2A37"/>
          <w:sz w:val="22"/>
          <w:szCs w:val="22"/>
          <w:rtl/>
        </w:rPr>
        <w:t xml:space="preserve">إدارة تعمل على </w:t>
      </w:r>
      <w:r>
        <w:rPr>
          <w:rFonts w:ascii="Arial" w:cs="Arial" w:eastAsia="Arial" w:hAnsi="Arial"/>
          <w:b/>
          <w:bCs/>
          <w:color w:val="1F2A37"/>
          <w:sz w:val="22"/>
          <w:szCs w:val="22"/>
          <w:rtl/>
        </w:rPr>
        <w:t xml:space="preserve">تعظيم الإيرادات البلدية وتنويعها</w:t>
      </w:r>
      <w:r>
        <w:rPr>
          <w:rFonts w:ascii="Arial" w:cs="Arial" w:eastAsia="Arial" w:hAnsi="Arial"/>
          <w:b w:val="false"/>
          <w:color w:val="1F2A37"/>
          <w:sz w:val="22"/>
          <w:szCs w:val="22"/>
          <w:rtl/>
        </w:rPr>
        <w:t xml:space="preserve">، و</w:t>
      </w:r>
      <w:r>
        <w:rPr>
          <w:rFonts w:ascii="Arial" w:cs="Arial" w:eastAsia="Arial" w:hAnsi="Arial"/>
          <w:b/>
          <w:bCs/>
          <w:color w:val="1F2A37"/>
          <w:sz w:val="22"/>
          <w:szCs w:val="22"/>
          <w:rtl/>
        </w:rPr>
        <w:t xml:space="preserve">تمويل مشاريع المدينة من خارج الميزانية</w:t>
      </w:r>
      <w:r>
        <w:rPr>
          <w:rFonts w:ascii="Arial" w:cs="Arial" w:eastAsia="Arial" w:hAnsi="Arial"/>
          <w:b w:val="false"/>
          <w:color w:val="1F2A37"/>
          <w:sz w:val="22"/>
          <w:szCs w:val="22"/>
          <w:rtl/>
        </w:rPr>
        <w:t xml:space="preserve"> عبر المستثمرين والجهات الحكومية والبنوك والسندات، مع </w:t>
      </w:r>
      <w:r>
        <w:rPr>
          <w:rFonts w:ascii="Arial" w:cs="Arial" w:eastAsia="Arial" w:hAnsi="Arial"/>
          <w:b/>
          <w:bCs/>
          <w:color w:val="1F2A37"/>
          <w:sz w:val="22"/>
          <w:szCs w:val="22"/>
          <w:rtl/>
        </w:rPr>
        <w:t xml:space="preserve">ضمان الاستدامة المالية</w:t>
      </w:r>
      <w:r>
        <w:rPr>
          <w:rFonts w:ascii="Arial" w:cs="Arial" w:eastAsia="Arial" w:hAnsi="Arial"/>
          <w:b w:val="false"/>
          <w:color w:val="1F2A37"/>
          <w:sz w:val="22"/>
          <w:szCs w:val="22"/>
          <w:rtl/>
        </w:rPr>
        <w:t xml:space="preserve"> للأمانة على المدى الطويل؛ حتى تكبر المدينة دون أن يكبر العبء على الميزانية.</w:t>
      </w:r>
    </w:p>
    <w:p>
      <w:pPr>
        <w:pStyle w:val="Heading2"/>
        <w:bidi/>
      </w:pPr>
      <w:r>
        <w:rPr>
          <w:rFonts w:ascii="Arial" w:cs="Arial" w:eastAsia="Arial" w:hAnsi="Arial"/>
          <w:b w:val="false"/>
          <w:color w:val="1F2A37"/>
          <w:sz w:val="22"/>
          <w:szCs w:val="22"/>
          <w:rtl/>
        </w:rPr>
        <w:t xml:space="preserve">الرؤية</w:t>
      </w:r>
    </w:p>
    <w:p>
      <w:pPr>
        <w:pBdr>
          <w:right w:val="single" w:color="006A46" w:sz="24" w:space="8"/>
        </w:pBdr>
        <w:shd w:fill="F1F5F3" w:color="auto" w:val="clear"/>
        <w:bidi/>
        <w:spacing w:after="160" w:before="0" w:line="300"/>
        <w:ind w:start="120" w:end="120"/>
        <w:jc w:val="both"/>
      </w:pPr>
      <w:r>
        <w:rPr>
          <w:rFonts w:ascii="Arial" w:cs="Arial" w:eastAsia="Arial" w:hAnsi="Arial"/>
          <w:b/>
          <w:bCs/>
          <w:color w:val="1F2A37"/>
          <w:sz w:val="22"/>
          <w:szCs w:val="22"/>
          <w:rtl/>
        </w:rPr>
        <w:t xml:space="preserve">النموذج البلدي الرائد إقليمياً في تنمية الإيرادات والتمويل المبتكر.</w:t>
      </w:r>
    </w:p>
    <w:p>
      <w:pPr>
        <w:pStyle w:val="Heading2"/>
        <w:bidi/>
      </w:pPr>
      <w:r>
        <w:rPr>
          <w:rFonts w:ascii="Arial" w:cs="Arial" w:eastAsia="Arial" w:hAnsi="Arial"/>
          <w:b w:val="false"/>
          <w:color w:val="1F2A37"/>
          <w:sz w:val="22"/>
          <w:szCs w:val="22"/>
          <w:rtl/>
        </w:rPr>
        <w:t xml:space="preserve">الرسالة</w:t>
      </w:r>
    </w:p>
    <w:p>
      <w:pPr>
        <w:pBdr>
          <w:right w:val="single" w:color="006A46" w:sz="24" w:space="8"/>
        </w:pBdr>
        <w:shd w:fill="F1F5F3" w:color="auto" w:val="clear"/>
        <w:bidi/>
        <w:spacing w:after="160" w:before="0" w:line="300"/>
        <w:ind w:start="120" w:end="120"/>
        <w:jc w:val="both"/>
      </w:pPr>
      <w:r>
        <w:rPr>
          <w:rFonts w:ascii="Arial" w:cs="Arial" w:eastAsia="Arial" w:hAnsi="Arial"/>
          <w:b w:val="false"/>
          <w:color w:val="1F2A37"/>
          <w:sz w:val="22"/>
          <w:szCs w:val="22"/>
          <w:rtl/>
        </w:rPr>
        <w:t xml:space="preserve">تعظيم إيرادات الأمانة وتنويعها، وتوفير حلول تمويل مبتكرة من خارج الميزانية بالشراكة مع القطاعين العام والخاص، بما يدعم مشاريع مدينة الرياض وجودة الحياة فيها ويضمن الاستدامة المالية، وفق أعلى معايير الحوكمة والشفافية.</w:t>
      </w:r>
    </w:p>
    <w:p>
      <w:pPr>
        <w:pStyle w:val="Heading2"/>
        <w:bidi/>
      </w:pPr>
      <w:r>
        <w:rPr>
          <w:rFonts w:ascii="Arial" w:cs="Arial" w:eastAsia="Arial" w:hAnsi="Arial"/>
          <w:b w:val="false"/>
          <w:color w:val="1F2A37"/>
          <w:sz w:val="22"/>
          <w:szCs w:val="22"/>
          <w:rtl/>
        </w:rPr>
        <w:t xml:space="preserve">القيم</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القيمة</w:t>
            </w:r>
          </w:p>
        </w:tc>
        <w:tc>
          <w:tcPr>
            <w:tcW w:type="dxa" w:w="631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المعنى</w:t>
            </w:r>
          </w:p>
        </w:tc>
      </w:tr>
      <w:tr>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الحوكمة والشفافية</w:t>
            </w:r>
          </w:p>
        </w:tc>
        <w:tc>
          <w:tcPr>
            <w:tcW w:type="dxa" w:w="631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قرارات موثقة ومعايير معلنة وتقارير دورية</w:t>
            </w:r>
          </w:p>
        </w:tc>
      </w:tr>
      <w:tr>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الابتكار</w:t>
            </w:r>
          </w:p>
        </w:tc>
        <w:tc>
          <w:tcPr>
            <w:tcW w:type="dxa" w:w="631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حلول تمويل وإيراد غير تقليدية</w:t>
            </w:r>
          </w:p>
        </w:tc>
      </w:tr>
      <w:tr>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الشراكة</w:t>
            </w:r>
          </w:p>
        </w:tc>
        <w:tc>
          <w:tcPr>
            <w:tcW w:type="dxa" w:w="631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العمل مع جهات التحصيل والوكالات والقطاعين العام والخاص</w:t>
            </w:r>
          </w:p>
        </w:tc>
      </w:tr>
      <w:tr>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الكفاءة</w:t>
            </w:r>
          </w:p>
        </w:tc>
        <w:tc>
          <w:tcPr>
            <w:tcW w:type="dxa" w:w="631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أفضل قيمة لكل ريال</w:t>
            </w:r>
          </w:p>
        </w:tc>
      </w:tr>
      <w:tr>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الاستدامة</w:t>
            </w:r>
          </w:p>
        </w:tc>
        <w:tc>
          <w:tcPr>
            <w:tcW w:type="dxa" w:w="631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لا مكسب اليوم على حساب الغد</w:t>
            </w:r>
          </w:p>
        </w:tc>
      </w:tr>
      <w:tr>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القرار المبني على البيانات</w:t>
            </w:r>
          </w:p>
        </w:tc>
        <w:tc>
          <w:tcPr>
            <w:tcW w:type="dxa" w:w="631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مصدر موحد للأرقام وتحليل مستمر</w:t>
            </w:r>
          </w:p>
        </w:tc>
      </w:tr>
    </w:tbl>
    <w:p>
      <w:pPr>
        <w:spacing w:after="120"/>
      </w:pPr>
    </w:p>
    <w:p>
      <w:pPr>
        <w:pStyle w:val="Heading2"/>
        <w:bidi/>
      </w:pPr>
      <w:r>
        <w:rPr>
          <w:rFonts w:ascii="Arial" w:cs="Arial" w:eastAsia="Arial" w:hAnsi="Arial"/>
          <w:b w:val="false"/>
          <w:color w:val="1F2A37"/>
          <w:sz w:val="22"/>
          <w:szCs w:val="22"/>
          <w:rtl/>
        </w:rPr>
        <w:t xml:space="preserve">الأهداف الاستراتيجية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6"/>
        <w:gridCol w:w="3438"/>
        <w:gridCol w:w="2321"/>
        <w:gridCol w:w="2751"/>
      </w:tblGrid>
      <w:tr>
        <w:trPr>
          <w:tblHeader/>
        </w:trPr>
        <w:tc>
          <w:tcPr>
            <w:tcW w:type="dxa" w:w="516"/>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w:t>
            </w:r>
          </w:p>
        </w:tc>
        <w:tc>
          <w:tcPr>
            <w:tcW w:type="dxa" w:w="343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الهدف الاستراتيجي</w:t>
            </w:r>
          </w:p>
        </w:tc>
        <w:tc>
          <w:tcPr>
            <w:tcW w:type="dxa" w:w="2321"/>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الإدارة المسؤولة</w:t>
            </w:r>
          </w:p>
        </w:tc>
        <w:tc>
          <w:tcPr>
            <w:tcW w:type="dxa" w:w="2751"/>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أمثلة المؤشرات</w:t>
            </w:r>
          </w:p>
        </w:tc>
      </w:tr>
      <w:tr>
        <w:tc>
          <w:tcPr>
            <w:tcW w:type="dxa" w:w="51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1</w:t>
            </w:r>
          </w:p>
        </w:tc>
        <w:tc>
          <w:tcPr>
            <w:tcW w:type="dxa" w:w="343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تعظيم الإيرادات البلدية وتجاوز المستهدف السنوي</w:t>
            </w:r>
          </w:p>
        </w:tc>
        <w:tc>
          <w:tcPr>
            <w:tcW w:type="dxa" w:w="232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تخطيط ومراقبة الإيرادات</w:t>
            </w:r>
          </w:p>
        </w:tc>
        <w:tc>
          <w:tcPr>
            <w:tcW w:type="dxa" w:w="275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نسبة تحقيق المستهدف، النمو السنوي</w:t>
            </w:r>
          </w:p>
        </w:tc>
      </w:tr>
      <w:tr>
        <w:tc>
          <w:tcPr>
            <w:tcW w:type="dxa" w:w="51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w:t>
            </w:r>
          </w:p>
        </w:tc>
        <w:tc>
          <w:tcPr>
            <w:tcW w:type="dxa" w:w="343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تعزيز الرقابة على أداء التحصيل والحد من المتأخرات والفاقد</w:t>
            </w:r>
          </w:p>
        </w:tc>
        <w:tc>
          <w:tcPr>
            <w:tcW w:type="dxa" w:w="232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تخطيط ومراقبة الإيرادات (مع جهات التحصيل)</w:t>
            </w:r>
          </w:p>
        </w:tc>
        <w:tc>
          <w:tcPr>
            <w:tcW w:type="dxa" w:w="275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نسبة التحصيل، المتأخرات، التوصيات المنفذة</w:t>
            </w:r>
          </w:p>
        </w:tc>
      </w:tr>
      <w:tr>
        <w:tc>
          <w:tcPr>
            <w:tcW w:type="dxa" w:w="51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3</w:t>
            </w:r>
          </w:p>
        </w:tc>
        <w:tc>
          <w:tcPr>
            <w:tcW w:type="dxa" w:w="343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تنويع مصادر الإيرادات وتقليل الاعتماد على التأجير</w:t>
            </w:r>
          </w:p>
        </w:tc>
        <w:tc>
          <w:tcPr>
            <w:tcW w:type="dxa" w:w="232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تخطيط ومراقبة الإيرادات</w:t>
            </w:r>
          </w:p>
        </w:tc>
        <w:tc>
          <w:tcPr>
            <w:tcW w:type="dxa" w:w="275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نسبة الإيرادات من غير التأجير، نمو الإيواء</w:t>
            </w:r>
          </w:p>
        </w:tc>
      </w:tr>
      <w:tr>
        <w:tc>
          <w:tcPr>
            <w:tcW w:type="dxa" w:w="51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4</w:t>
            </w:r>
          </w:p>
        </w:tc>
        <w:tc>
          <w:tcPr>
            <w:tcW w:type="dxa" w:w="343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تمويل مشاريع المدينة من خارج الميزانية عبر المسارات الأربعة</w:t>
            </w:r>
          </w:p>
        </w:tc>
        <w:tc>
          <w:tcPr>
            <w:tcW w:type="dxa" w:w="232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الائتمان والتمويل</w:t>
            </w:r>
          </w:p>
        </w:tc>
        <w:tc>
          <w:tcPr>
            <w:tcW w:type="dxa" w:w="275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قيمة المشاريع الممولة، الوفر على الميزانية</w:t>
            </w:r>
          </w:p>
        </w:tc>
      </w:tr>
      <w:tr>
        <w:tc>
          <w:tcPr>
            <w:tcW w:type="dxa" w:w="51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5</w:t>
            </w:r>
          </w:p>
        </w:tc>
        <w:tc>
          <w:tcPr>
            <w:tcW w:type="dxa" w:w="343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ضمان الاستدامة المالية وإدارة الالتزامات والمخاطر ورفع كفاءة الإنفاق</w:t>
            </w:r>
          </w:p>
        </w:tc>
        <w:tc>
          <w:tcPr>
            <w:tcW w:type="dxa" w:w="232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الاستدامة المالية</w:t>
            </w:r>
          </w:p>
        </w:tc>
        <w:tc>
          <w:tcPr>
            <w:tcW w:type="dxa" w:w="275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نسبة الصفقات المراجعة، خدمة الدين، الوفر من الكفاءة</w:t>
            </w:r>
          </w:p>
        </w:tc>
      </w:tr>
      <w:tr>
        <w:tc>
          <w:tcPr>
            <w:tcW w:type="dxa" w:w="51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6</w:t>
            </w:r>
          </w:p>
        </w:tc>
        <w:tc>
          <w:tcPr>
            <w:tcW w:type="dxa" w:w="343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التحول الرقمي وتكامل البيانات المالية</w:t>
            </w:r>
          </w:p>
        </w:tc>
        <w:tc>
          <w:tcPr>
            <w:tcW w:type="dxa" w:w="232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مشترك</w:t>
            </w:r>
          </w:p>
        </w:tc>
        <w:tc>
          <w:tcPr>
            <w:tcW w:type="dxa" w:w="275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دقة التنبؤ، اللوحات الموحدة، التحصيل الإلكتروني</w:t>
            </w:r>
          </w:p>
        </w:tc>
      </w:tr>
      <w:tr>
        <w:tc>
          <w:tcPr>
            <w:tcW w:type="dxa" w:w="51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7</w:t>
            </w:r>
          </w:p>
        </w:tc>
        <w:tc>
          <w:tcPr>
            <w:tcW w:type="dxa" w:w="343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التميز المؤسسي وبناء القدرات</w:t>
            </w:r>
          </w:p>
        </w:tc>
        <w:tc>
          <w:tcPr>
            <w:tcW w:type="dxa" w:w="232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الإدارة العامة</w:t>
            </w:r>
          </w:p>
        </w:tc>
        <w:tc>
          <w:tcPr>
            <w:tcW w:type="dxa" w:w="275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الكوادر المؤهلة في الشراكات والتمويل والتحليل</w:t>
            </w:r>
          </w:p>
        </w:tc>
      </w:tr>
    </w:tbl>
    <w:p>
      <w:pPr>
        <w:spacing w:after="120"/>
      </w:pPr>
    </w:p>
    <w:p>
      <w:pPr>
        <w:pStyle w:val="Heading2"/>
        <w:bidi/>
      </w:pPr>
      <w:r>
        <w:rPr>
          <w:rFonts w:ascii="Arial" w:cs="Arial" w:eastAsia="Arial" w:hAnsi="Arial"/>
          <w:b w:val="false"/>
          <w:color w:val="1F2A37"/>
          <w:sz w:val="22"/>
          <w:szCs w:val="22"/>
          <w:rtl/>
        </w:rPr>
        <w:t xml:space="preserve">المستهدف الرئيسي: 5 مليارات ريال بحلول 2030</w:t>
      </w:r>
    </w:p>
    <w:p>
      <w:pPr>
        <w:bidi/>
        <w:spacing w:after="120" w:before="0" w:line="300"/>
        <w:jc w:val="both"/>
      </w:pPr>
      <w:r>
        <w:rPr>
          <w:rFonts w:ascii="Arial" w:cs="Arial" w:eastAsia="Arial" w:hAnsi="Arial"/>
          <w:b w:val="false"/>
          <w:color w:val="1F2A37"/>
          <w:sz w:val="22"/>
          <w:szCs w:val="22"/>
          <w:rtl/>
        </w:rPr>
        <w:t xml:space="preserve">يتطلب بلوغ </w:t>
      </w:r>
      <w:r>
        <w:rPr>
          <w:rFonts w:ascii="Arial" w:cs="Arial" w:eastAsia="Arial" w:hAnsi="Arial"/>
          <w:b/>
          <w:bCs/>
          <w:color w:val="1F2A37"/>
          <w:sz w:val="22"/>
          <w:szCs w:val="22"/>
          <w:rtl/>
        </w:rPr>
        <w:t xml:space="preserve">5,000 مليون ريال</w:t>
      </w:r>
      <w:r>
        <w:rPr>
          <w:rFonts w:ascii="Arial" w:cs="Arial" w:eastAsia="Arial" w:hAnsi="Arial"/>
          <w:b w:val="false"/>
          <w:color w:val="1F2A37"/>
          <w:sz w:val="22"/>
          <w:szCs w:val="22"/>
          <w:rtl/>
        </w:rPr>
        <w:t xml:space="preserve"> في 2030 انطلاقاً من 3,650 مليون نمواً سنوياً مركّباً يقارب </w:t>
      </w:r>
      <w:r>
        <w:rPr>
          <w:rFonts w:ascii="Arial" w:cs="Arial" w:eastAsia="Arial" w:hAnsi="Arial"/>
          <w:b/>
          <w:bCs/>
          <w:color w:val="1F2A37"/>
          <w:sz w:val="22"/>
          <w:szCs w:val="22"/>
          <w:rtl/>
        </w:rPr>
        <w:t xml:space="preserve">6.5%</w:t>
      </w:r>
      <w:r>
        <w:rPr>
          <w:rFonts w:ascii="Arial" w:cs="Arial" w:eastAsia="Arial" w:hAnsi="Arial"/>
          <w:b w:val="false"/>
          <w:color w:val="1F2A37"/>
          <w:sz w:val="22"/>
          <w:szCs w:val="22"/>
          <w:rtl/>
        </w:rPr>
        <w:t xml:space="preserve">، وهو مستهدف متوازن مقارنة بالنمو الأخير، ويترك مجالاً لتحقيق فائض يعود لميزانية الأمانة.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السنة</w:t>
            </w:r>
          </w:p>
        </w:tc>
        <w:tc>
          <w:tcPr>
            <w:tcW w:type="dxa" w:w="631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المسار المستهدف للإيرادات (مليون ريال)</w:t>
            </w:r>
          </w:p>
        </w:tc>
      </w:tr>
      <w:tr>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2026</w:t>
            </w:r>
          </w:p>
        </w:tc>
        <w:tc>
          <w:tcPr>
            <w:tcW w:type="dxa" w:w="631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3,887</w:t>
            </w:r>
          </w:p>
        </w:tc>
      </w:tr>
      <w:tr>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2027</w:t>
            </w:r>
          </w:p>
        </w:tc>
        <w:tc>
          <w:tcPr>
            <w:tcW w:type="dxa" w:w="631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4,140</w:t>
            </w:r>
          </w:p>
        </w:tc>
      </w:tr>
      <w:tr>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2028</w:t>
            </w:r>
          </w:p>
        </w:tc>
        <w:tc>
          <w:tcPr>
            <w:tcW w:type="dxa" w:w="631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4,409</w:t>
            </w:r>
          </w:p>
        </w:tc>
      </w:tr>
      <w:tr>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2029</w:t>
            </w:r>
          </w:p>
        </w:tc>
        <w:tc>
          <w:tcPr>
            <w:tcW w:type="dxa" w:w="631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4,695</w:t>
            </w:r>
          </w:p>
        </w:tc>
      </w:tr>
      <w:tr>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2030</w:t>
            </w:r>
          </w:p>
        </w:tc>
        <w:tc>
          <w:tcPr>
            <w:tcW w:type="dxa" w:w="631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5,000</w:t>
            </w:r>
          </w:p>
        </w:tc>
      </w:tr>
    </w:tbl>
    <w:p>
      <w:pPr>
        <w:spacing w:after="12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708"/>
        <w:gridCol w:w="2708"/>
      </w:tblGrid>
      <w:tr>
        <w:trPr>
          <w:tblHeader/>
        </w:trPr>
        <w:tc>
          <w:tcPr>
            <w:tcW w:type="dxa" w:w="3610"/>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السيناريو</w:t>
            </w:r>
          </w:p>
        </w:tc>
        <w:tc>
          <w:tcPr>
            <w:tcW w:type="dxa" w:w="270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النمو السنوي</w:t>
            </w:r>
          </w:p>
        </w:tc>
        <w:tc>
          <w:tcPr>
            <w:tcW w:type="dxa" w:w="270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إيرادات 2030 التقريبية</w:t>
            </w:r>
          </w:p>
        </w:tc>
      </w:tr>
      <w:tr>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متحفظ</w:t>
            </w:r>
          </w:p>
        </w:tc>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7%</w:t>
            </w:r>
          </w:p>
        </w:tc>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5.1 مليار ريال</w:t>
            </w:r>
          </w:p>
        </w:tc>
      </w:tr>
      <w:tr>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المعتمد</w:t>
            </w:r>
          </w:p>
        </w:tc>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6.5%</w:t>
            </w:r>
          </w:p>
        </w:tc>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5.0 مليار ريال</w:t>
            </w:r>
          </w:p>
        </w:tc>
      </w:tr>
      <w:tr>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أساسي</w:t>
            </w:r>
          </w:p>
        </w:tc>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10%</w:t>
            </w:r>
          </w:p>
        </w:tc>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5.9 مليار ريال</w:t>
            </w:r>
          </w:p>
        </w:tc>
      </w:tr>
      <w:tr>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طموح (استمرار الأداء الحالي)</w:t>
            </w:r>
          </w:p>
        </w:tc>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14%</w:t>
            </w:r>
          </w:p>
        </w:tc>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7.0 مليار ريال</w:t>
            </w:r>
          </w:p>
        </w:tc>
      </w:tr>
    </w:tbl>
    <w:p>
      <w:pPr>
        <w:spacing w:after="120"/>
      </w:pPr>
    </w:p>
    <w:p>
      <w:pPr>
        <w:pStyle w:val="Heading2"/>
        <w:bidi/>
      </w:pPr>
      <w:r>
        <w:rPr>
          <w:rFonts w:ascii="Arial" w:cs="Arial" w:eastAsia="Arial" w:hAnsi="Arial"/>
          <w:b w:val="false"/>
          <w:color w:val="1F2A37"/>
          <w:sz w:val="22"/>
          <w:szCs w:val="22"/>
          <w:rtl/>
        </w:rPr>
        <w:t xml:space="preserve">المواءمة الاستراتيجية</w:t>
      </w:r>
    </w:p>
    <w:p>
      <w:pPr>
        <w:pStyle w:val="ListParagraph"/>
        <w:numPr>
          <w:ilvl w:val="0"/>
          <w:numId w:val="3"/>
        </w:numPr>
        <w:bidi/>
        <w:spacing w:after="60" w:line="290"/>
        <w:jc w:val="both"/>
      </w:pPr>
      <w:r>
        <w:rPr>
          <w:rFonts w:ascii="Arial" w:cs="Arial" w:eastAsia="Arial" w:hAnsi="Arial"/>
          <w:b/>
          <w:bCs/>
          <w:color w:val="1F2A37"/>
          <w:sz w:val="22"/>
          <w:szCs w:val="22"/>
          <w:rtl/>
        </w:rPr>
        <w:t xml:space="preserve">رؤية المملكة 2030:</w:t>
      </w:r>
      <w:r>
        <w:rPr>
          <w:rFonts w:ascii="Arial" w:cs="Arial" w:eastAsia="Arial" w:hAnsi="Arial"/>
          <w:b w:val="false"/>
          <w:color w:val="1F2A37"/>
          <w:sz w:val="22"/>
          <w:szCs w:val="22"/>
          <w:rtl/>
        </w:rPr>
        <w:t xml:space="preserve"> برنامج التخصيص، وبرنامج الاستدامة المالية، وبرنامج جودة الحياة.</w:t>
      </w:r>
    </w:p>
    <w:p>
      <w:pPr>
        <w:pStyle w:val="ListParagraph"/>
        <w:numPr>
          <w:ilvl w:val="0"/>
          <w:numId w:val="3"/>
        </w:numPr>
        <w:bidi/>
        <w:spacing w:after="60" w:line="290"/>
        <w:jc w:val="both"/>
      </w:pPr>
      <w:r>
        <w:rPr>
          <w:rFonts w:ascii="Arial" w:cs="Arial" w:eastAsia="Arial" w:hAnsi="Arial"/>
          <w:b/>
          <w:bCs/>
          <w:color w:val="1F2A37"/>
          <w:sz w:val="22"/>
          <w:szCs w:val="22"/>
          <w:rtl/>
        </w:rPr>
        <w:t xml:space="preserve">وزارة البلديات والإسكان:</w:t>
      </w:r>
      <w:r>
        <w:rPr>
          <w:rFonts w:ascii="Arial" w:cs="Arial" w:eastAsia="Arial" w:hAnsi="Arial"/>
          <w:b w:val="false"/>
          <w:color w:val="1F2A37"/>
          <w:sz w:val="22"/>
          <w:szCs w:val="22"/>
          <w:rtl/>
        </w:rPr>
        <w:t xml:space="preserve"> مستهدفات الأمانات ومؤشراتها ولائحة رسوم الخدمات البلدية.</w:t>
      </w:r>
    </w:p>
    <w:p>
      <w:pPr>
        <w:pStyle w:val="ListParagraph"/>
        <w:numPr>
          <w:ilvl w:val="0"/>
          <w:numId w:val="3"/>
        </w:numPr>
        <w:bidi/>
        <w:spacing w:after="60" w:line="290"/>
        <w:jc w:val="both"/>
      </w:pPr>
      <w:r>
        <w:rPr>
          <w:rFonts w:ascii="Arial" w:cs="Arial" w:eastAsia="Arial" w:hAnsi="Arial"/>
          <w:b/>
          <w:bCs/>
          <w:color w:val="1F2A37"/>
          <w:sz w:val="22"/>
          <w:szCs w:val="22"/>
          <w:rtl/>
        </w:rPr>
        <w:t xml:space="preserve">استراتيجية أمانة منطقة الرياض</w:t>
      </w:r>
      <w:r>
        <w:rPr>
          <w:rFonts w:ascii="Arial" w:cs="Arial" w:eastAsia="Arial" w:hAnsi="Arial"/>
          <w:b w:val="false"/>
          <w:color w:val="1F2A37"/>
          <w:sz w:val="22"/>
          <w:szCs w:val="22"/>
          <w:rtl/>
        </w:rPr>
        <w:t xml:space="preserve"> ومشاريع إكسبو 2030 وكأس العالم 2034.</w:t>
      </w:r>
    </w:p>
    <w:p>
      <w:pPr>
        <w:pStyle w:val="Heading2"/>
        <w:bidi/>
      </w:pPr>
      <w:r>
        <w:rPr>
          <w:rFonts w:ascii="Arial" w:cs="Arial" w:eastAsia="Arial" w:hAnsi="Arial"/>
          <w:b w:val="false"/>
          <w:color w:val="1F2A37"/>
          <w:sz w:val="22"/>
          <w:szCs w:val="22"/>
          <w:rtl/>
        </w:rPr>
        <w:t xml:space="preserve">الجهات المرتبطة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النطاق</w:t>
            </w:r>
          </w:p>
        </w:tc>
        <w:tc>
          <w:tcPr>
            <w:tcW w:type="dxa" w:w="7221"/>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الجهات</w:t>
            </w:r>
          </w:p>
        </w:tc>
      </w:tr>
      <w:tr>
        <w:tc>
          <w:tcPr>
            <w:tcW w:type="dxa" w:w="1805"/>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خارج الأمانة</w:t>
            </w:r>
          </w:p>
        </w:tc>
        <w:tc>
          <w:tcPr>
            <w:tcW w:type="dxa" w:w="722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وزارة المالية، وزارة البلديات والإسكان، المركز الوطني للتخصيص، المركز الوطني لإدارة الدين، هيئة السوق المالية، الهيئة الملكية لمدينة الرياض، هيئة كفاءة الإنفاق والمشروعات الحكومية، صندوق البنية التحتية الوطني، البنوك، المستثمرون والمطورون والرعاة</w:t>
            </w:r>
          </w:p>
        </w:tc>
      </w:tr>
      <w:tr>
        <w:tc>
          <w:tcPr>
            <w:tcW w:type="dxa" w:w="1805"/>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داخل الأمانة</w:t>
            </w:r>
          </w:p>
        </w:tc>
        <w:tc>
          <w:tcPr>
            <w:tcW w:type="dxa" w:w="722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اللجنة العليا للتمويل، وكالة الاستثمار والتخصيص، الإدارة المالية، القطاعات الخمسة، البلديات الـ47، إدارات المشاريع، الشؤون القانونية، التقنية</w:t>
            </w:r>
          </w:p>
        </w:tc>
      </w:tr>
    </w:tbl>
    <w:p>
      <w:r>
        <w:br w:type="page"/>
      </w:r>
    </w:p>
    <w:p>
      <w:pPr>
        <w:pStyle w:val="Heading1"/>
        <w:bidi/>
      </w:pPr>
      <w:r>
        <w:rPr>
          <w:rFonts w:ascii="Arial" w:cs="Arial" w:eastAsia="Arial" w:hAnsi="Arial"/>
          <w:b w:val="false"/>
          <w:color w:val="1F2A37"/>
          <w:sz w:val="22"/>
          <w:szCs w:val="22"/>
          <w:rtl/>
        </w:rPr>
        <w:t xml:space="preserve">3. الهيكل التنظيمي</w:t>
      </w:r>
    </w:p>
    <w:p>
      <w:pPr>
        <w:bidi/>
        <w:spacing w:after="120" w:before="0" w:line="300"/>
        <w:jc w:val="both"/>
      </w:pPr>
      <w:r>
        <w:rPr>
          <w:rFonts w:ascii="Arial" w:cs="Arial" w:eastAsia="Arial" w:hAnsi="Arial"/>
          <w:b w:val="false"/>
          <w:color w:val="1F2A37"/>
          <w:sz w:val="22"/>
          <w:szCs w:val="22"/>
          <w:rtl/>
        </w:rPr>
        <w:t xml:space="preserve">سمو الأمين ← مساعد الأمين لإدارة المدينة ← وكالة الخدمات المؤسسية ← </w:t>
      </w:r>
      <w:r>
        <w:rPr>
          <w:rFonts w:ascii="Arial" w:cs="Arial" w:eastAsia="Arial" w:hAnsi="Arial"/>
          <w:b/>
          <w:bCs/>
          <w:color w:val="1F2A37"/>
          <w:sz w:val="22"/>
          <w:szCs w:val="22"/>
          <w:rtl/>
        </w:rPr>
        <w:t xml:space="preserve">إدارة الإيرادات والتمويل</w:t>
      </w:r>
      <w:r>
        <w:rPr>
          <w:rFonts w:ascii="Arial" w:cs="Arial" w:eastAsia="Arial" w:hAnsi="Arial"/>
          <w:b w:val="false"/>
          <w:color w:val="1F2A37"/>
          <w:sz w:val="22"/>
          <w:szCs w:val="22"/>
          <w:rtl/>
        </w:rPr>
        <w:t xml:space="preserve">، وتضم ثلاث إدارات لكل منها ثلاثة أقسام:</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الإدارة</w:t>
            </w:r>
          </w:p>
        </w:tc>
        <w:tc>
          <w:tcPr>
            <w:tcW w:type="dxa" w:w="5867"/>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الأقسام</w:t>
            </w:r>
          </w:p>
        </w:tc>
      </w:tr>
      <w:tr>
        <w:tc>
          <w:tcPr>
            <w:tcW w:type="dxa" w:w="315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إدارة تخطيط ومراقبة الإيرادات</w:t>
            </w:r>
          </w:p>
        </w:tc>
        <w:tc>
          <w:tcPr>
            <w:tcW w:type="dxa" w:w="586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قسم تخطيط الإيرادات والتنبؤ بها</w:t>
            </w:r>
          </w:p>
          <w:p>
            <w:pPr>
              <w:bidi/>
              <w:spacing w:after="20"/>
            </w:pPr>
            <w:r>
              <w:rPr>
                <w:rFonts w:ascii="Arial" w:cs="Arial" w:eastAsia="Arial" w:hAnsi="Arial"/>
                <w:b w:val="false"/>
                <w:color w:val="1F2A37"/>
                <w:sz w:val="19"/>
                <w:szCs w:val="19"/>
                <w:rtl/>
              </w:rPr>
              <w:t xml:space="preserve">قسم مراقبة الإيرادات والتحصيل</w:t>
            </w:r>
          </w:p>
          <w:p>
            <w:pPr>
              <w:bidi/>
              <w:spacing w:after="20"/>
            </w:pPr>
            <w:r>
              <w:rPr>
                <w:rFonts w:ascii="Arial" w:cs="Arial" w:eastAsia="Arial" w:hAnsi="Arial"/>
                <w:b w:val="false"/>
                <w:color w:val="1F2A37"/>
                <w:sz w:val="19"/>
                <w:szCs w:val="19"/>
                <w:rtl/>
              </w:rPr>
              <w:t xml:space="preserve">قسم تنمية الإيرادات وتنويعها</w:t>
            </w:r>
          </w:p>
        </w:tc>
      </w:tr>
      <w:tr>
        <w:tc>
          <w:tcPr>
            <w:tcW w:type="dxa" w:w="315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إدارة الائتمان والتمويل</w:t>
            </w:r>
          </w:p>
        </w:tc>
        <w:tc>
          <w:tcPr>
            <w:tcW w:type="dxa" w:w="586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قسم أمانة اللجنة والمحفظة</w:t>
            </w:r>
          </w:p>
          <w:p>
            <w:pPr>
              <w:bidi/>
              <w:spacing w:after="20"/>
            </w:pPr>
            <w:r>
              <w:rPr>
                <w:rFonts w:ascii="Arial" w:cs="Arial" w:eastAsia="Arial" w:hAnsi="Arial"/>
                <w:b w:val="false"/>
                <w:color w:val="1F2A37"/>
                <w:sz w:val="19"/>
                <w:szCs w:val="19"/>
                <w:rtl/>
              </w:rPr>
              <w:t xml:space="preserve">قسم التمويل الاستثماري والحكومي</w:t>
            </w:r>
          </w:p>
          <w:p>
            <w:pPr>
              <w:bidi/>
              <w:spacing w:after="20"/>
            </w:pPr>
            <w:r>
              <w:rPr>
                <w:rFonts w:ascii="Arial" w:cs="Arial" w:eastAsia="Arial" w:hAnsi="Arial"/>
                <w:b w:val="false"/>
                <w:color w:val="1F2A37"/>
                <w:sz w:val="19"/>
                <w:szCs w:val="19"/>
                <w:rtl/>
              </w:rPr>
              <w:t xml:space="preserve">قسم التمويل البنكي وأسواق المال</w:t>
            </w:r>
          </w:p>
        </w:tc>
      </w:tr>
      <w:tr>
        <w:tc>
          <w:tcPr>
            <w:tcW w:type="dxa" w:w="315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إدارة الاستدامة المالية</w:t>
            </w:r>
          </w:p>
        </w:tc>
        <w:tc>
          <w:tcPr>
            <w:tcW w:type="dxa" w:w="586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قسم السياسات والقواعد المالية</w:t>
            </w:r>
          </w:p>
          <w:p>
            <w:pPr>
              <w:bidi/>
              <w:spacing w:after="20"/>
            </w:pPr>
            <w:r>
              <w:rPr>
                <w:rFonts w:ascii="Arial" w:cs="Arial" w:eastAsia="Arial" w:hAnsi="Arial"/>
                <w:b w:val="false"/>
                <w:color w:val="1F2A37"/>
                <w:sz w:val="19"/>
                <w:szCs w:val="19"/>
                <w:rtl/>
              </w:rPr>
              <w:t xml:space="preserve">قسم المخاطر والالتزامات المالية</w:t>
            </w:r>
          </w:p>
          <w:p>
            <w:pPr>
              <w:bidi/>
              <w:spacing w:after="20"/>
            </w:pPr>
            <w:r>
              <w:rPr>
                <w:rFonts w:ascii="Arial" w:cs="Arial" w:eastAsia="Arial" w:hAnsi="Arial"/>
                <w:b w:val="false"/>
                <w:color w:val="1F2A37"/>
                <w:sz w:val="19"/>
                <w:szCs w:val="19"/>
                <w:rtl/>
              </w:rPr>
              <w:t xml:space="preserve">قسم الإسقاطات المالية وكفاءة الإنفاق</w:t>
            </w:r>
          </w:p>
        </w:tc>
      </w:tr>
    </w:tbl>
    <w:p>
      <w:pPr>
        <w:spacing w:after="120"/>
      </w:pPr>
    </w:p>
    <w:p>
      <w:pPr>
        <w:pBdr>
          <w:right w:val="single" w:color="B7801A" w:sz="24" w:space="8"/>
        </w:pBdr>
        <w:shd w:fill="FBF6EC" w:color="auto" w:val="clear"/>
        <w:bidi/>
        <w:spacing w:after="160" w:before="0" w:line="300"/>
        <w:ind w:start="120" w:end="120"/>
        <w:jc w:val="both"/>
      </w:pPr>
      <w:r>
        <w:rPr>
          <w:rFonts w:ascii="Arial" w:cs="Arial" w:eastAsia="Arial" w:hAnsi="Arial"/>
          <w:b/>
          <w:bCs/>
          <w:color w:val="1F2A37"/>
          <w:sz w:val="22"/>
          <w:szCs w:val="22"/>
          <w:rtl/>
        </w:rPr>
        <w:t xml:space="preserve">ترابط الإدارات الثلاث:</w:t>
      </w:r>
      <w:r>
        <w:rPr>
          <w:rFonts w:ascii="Arial" w:cs="Arial" w:eastAsia="Arial" w:hAnsi="Arial"/>
          <w:b w:val="false"/>
          <w:color w:val="1F2A37"/>
          <w:sz w:val="22"/>
          <w:szCs w:val="22"/>
          <w:rtl/>
        </w:rPr>
        <w:t xml:space="preserve"> الإيرادات «الضامن» الذي يقوم عليه التمويل؛ والتمويل يستخدم قدرة الاقتراض؛ والاستدامة تضمن ألا يضغط السداد على الإيرادات أكثر من اللازم.</w:t>
      </w:r>
    </w:p>
    <w:p>
      <w:r>
        <w:br w:type="page"/>
      </w:r>
    </w:p>
    <w:p>
      <w:pPr>
        <w:pStyle w:val="Heading1"/>
        <w:bidi/>
      </w:pPr>
      <w:r>
        <w:rPr>
          <w:rFonts w:ascii="Arial" w:cs="Arial" w:eastAsia="Arial" w:hAnsi="Arial"/>
          <w:b w:val="false"/>
          <w:color w:val="1F2A37"/>
          <w:sz w:val="22"/>
          <w:szCs w:val="22"/>
          <w:rtl/>
        </w:rPr>
        <w:t xml:space="preserve">4. إدارة تخطيط ومراقبة الإيرادات</w:t>
      </w:r>
    </w:p>
    <w:p>
      <w:pPr>
        <w:pStyle w:val="Heading2"/>
        <w:bidi/>
      </w:pPr>
      <w:r>
        <w:rPr>
          <w:rFonts w:ascii="Arial" w:cs="Arial" w:eastAsia="Arial" w:hAnsi="Arial"/>
          <w:b w:val="false"/>
          <w:color w:val="1F2A37"/>
          <w:sz w:val="22"/>
          <w:szCs w:val="22"/>
          <w:rtl/>
        </w:rPr>
        <w:t xml:space="preserve">التعريف</w:t>
      </w:r>
    </w:p>
    <w:p>
      <w:pPr>
        <w:bidi/>
        <w:spacing w:after="120" w:before="0" w:line="300"/>
        <w:jc w:val="both"/>
      </w:pPr>
      <w:r>
        <w:rPr>
          <w:rFonts w:ascii="Arial" w:cs="Arial" w:eastAsia="Arial" w:hAnsi="Arial"/>
          <w:b w:val="false"/>
          <w:color w:val="1F2A37"/>
          <w:sz w:val="22"/>
          <w:szCs w:val="22"/>
          <w:rtl/>
        </w:rPr>
        <w:t xml:space="preserve">الإدارة المسؤولة عن </w:t>
      </w:r>
      <w:r>
        <w:rPr>
          <w:rFonts w:ascii="Arial" w:cs="Arial" w:eastAsia="Arial" w:hAnsi="Arial"/>
          <w:b/>
          <w:bCs/>
          <w:color w:val="1F2A37"/>
          <w:sz w:val="22"/>
          <w:szCs w:val="22"/>
          <w:rtl/>
        </w:rPr>
        <w:t xml:space="preserve">تخطيط إيرادات الأمانة والتنبؤ بها وتوزيع مستهدفاتها</w:t>
      </w:r>
      <w:r>
        <w:rPr>
          <w:rFonts w:ascii="Arial" w:cs="Arial" w:eastAsia="Arial" w:hAnsi="Arial"/>
          <w:b w:val="false"/>
          <w:color w:val="1F2A37"/>
          <w:sz w:val="22"/>
          <w:szCs w:val="22"/>
          <w:rtl/>
        </w:rPr>
        <w:t xml:space="preserve"> على القطاعات والبلديات وجهات التحصيل، و</w:t>
      </w:r>
      <w:r>
        <w:rPr>
          <w:rFonts w:ascii="Arial" w:cs="Arial" w:eastAsia="Arial" w:hAnsi="Arial"/>
          <w:b/>
          <w:bCs/>
          <w:color w:val="1F2A37"/>
          <w:sz w:val="22"/>
          <w:szCs w:val="22"/>
          <w:rtl/>
        </w:rPr>
        <w:t xml:space="preserve">مراقبة الأداء الفعلي</w:t>
      </w:r>
      <w:r>
        <w:rPr>
          <w:rFonts w:ascii="Arial" w:cs="Arial" w:eastAsia="Arial" w:hAnsi="Arial"/>
          <w:b w:val="false"/>
          <w:color w:val="1F2A37"/>
          <w:sz w:val="22"/>
          <w:szCs w:val="22"/>
          <w:rtl/>
        </w:rPr>
        <w:t xml:space="preserve"> لجميع جهات التحصيل الـ54 وتحليله ومقارنته، و</w:t>
      </w:r>
      <w:r>
        <w:rPr>
          <w:rFonts w:ascii="Arial" w:cs="Arial" w:eastAsia="Arial" w:hAnsi="Arial"/>
          <w:b/>
          <w:bCs/>
          <w:color w:val="1F2A37"/>
          <w:sz w:val="22"/>
          <w:szCs w:val="22"/>
          <w:rtl/>
        </w:rPr>
        <w:t xml:space="preserve">اكتشاف الفاقد</w:t>
      </w:r>
      <w:r>
        <w:rPr>
          <w:rFonts w:ascii="Arial" w:cs="Arial" w:eastAsia="Arial" w:hAnsi="Arial"/>
          <w:b w:val="false"/>
          <w:color w:val="1F2A37"/>
          <w:sz w:val="22"/>
          <w:szCs w:val="22"/>
          <w:rtl/>
        </w:rPr>
        <w:t xml:space="preserve"> و</w:t>
      </w:r>
      <w:r>
        <w:rPr>
          <w:rFonts w:ascii="Arial" w:cs="Arial" w:eastAsia="Arial" w:hAnsi="Arial"/>
          <w:b/>
          <w:bCs/>
          <w:color w:val="1F2A37"/>
          <w:sz w:val="22"/>
          <w:szCs w:val="22"/>
          <w:rtl/>
        </w:rPr>
        <w:t xml:space="preserve">تنويع مصادر الإيرادات</w:t>
      </w:r>
      <w:r>
        <w:rPr>
          <w:rFonts w:ascii="Arial" w:cs="Arial" w:eastAsia="Arial" w:hAnsi="Arial"/>
          <w:b w:val="false"/>
          <w:color w:val="1F2A37"/>
          <w:sz w:val="22"/>
          <w:szCs w:val="22"/>
          <w:rtl/>
        </w:rPr>
        <w:t xml:space="preserve">. وهي «برج المراقبة» المالي للأمانة والمصدر الموحد لبيانات الإيرادات. ولا تتولى الإدارة التحصيل بنفسها؛ فالتحصيل مسؤولية جهات التحصيل، ودور الإدارة التخطيط والقياس والتنبيه والتوصية.</w:t>
      </w:r>
    </w:p>
    <w:p>
      <w:pPr>
        <w:pStyle w:val="Heading2"/>
        <w:bidi/>
      </w:pPr>
      <w:r>
        <w:rPr>
          <w:rFonts w:ascii="Arial" w:cs="Arial" w:eastAsia="Arial" w:hAnsi="Arial"/>
          <w:b w:val="false"/>
          <w:color w:val="1F2A37"/>
          <w:sz w:val="22"/>
          <w:szCs w:val="22"/>
          <w:rtl/>
        </w:rPr>
        <w:t xml:space="preserve">الرسالة</w:t>
      </w:r>
    </w:p>
    <w:p>
      <w:pPr>
        <w:pBdr>
          <w:right w:val="single" w:color="006A46" w:sz="24" w:space="8"/>
        </w:pBdr>
        <w:shd w:fill="F1F5F3" w:color="auto" w:val="clear"/>
        <w:bidi/>
        <w:spacing w:after="160" w:before="0" w:line="300"/>
        <w:ind w:start="120" w:end="120"/>
        <w:jc w:val="both"/>
      </w:pPr>
      <w:r>
        <w:rPr>
          <w:rFonts w:ascii="Arial" w:cs="Arial" w:eastAsia="Arial" w:hAnsi="Arial"/>
          <w:b w:val="false"/>
          <w:color w:val="1F2A37"/>
          <w:sz w:val="22"/>
          <w:szCs w:val="22"/>
          <w:rtl/>
        </w:rPr>
        <w:t xml:space="preserve">تمكين الأمانة من تجاوز مستهدفات الإيرادات عبر تخطيط دقيق، ورقابة موحدة على جميع جهات التحصيل، واكتشاف مستمر لفرص النمو.</w:t>
      </w:r>
    </w:p>
    <w:p>
      <w:pPr>
        <w:pStyle w:val="Heading2"/>
        <w:bidi/>
      </w:pPr>
      <w:r>
        <w:rPr>
          <w:rFonts w:ascii="Arial" w:cs="Arial" w:eastAsia="Arial" w:hAnsi="Arial"/>
          <w:b w:val="false"/>
          <w:color w:val="1F2A37"/>
          <w:sz w:val="22"/>
          <w:szCs w:val="22"/>
          <w:rtl/>
        </w:rPr>
        <w:t xml:space="preserve">خريطة التحصيل في الأمانة</w:t>
      </w:r>
    </w:p>
    <w:p>
      <w:pPr>
        <w:bidi/>
        <w:spacing w:after="120" w:before="0" w:line="300"/>
        <w:jc w:val="both"/>
      </w:pPr>
      <w:r>
        <w:rPr>
          <w:rFonts w:ascii="Arial" w:cs="Arial" w:eastAsia="Arial" w:hAnsi="Arial"/>
          <w:b w:val="false"/>
          <w:color w:val="1F2A37"/>
          <w:sz w:val="22"/>
          <w:szCs w:val="22"/>
          <w:rtl/>
        </w:rPr>
        <w:t xml:space="preserve">التحصيل في الأمانة موزّع على </w:t>
      </w:r>
      <w:r>
        <w:rPr>
          <w:rFonts w:ascii="Arial" w:cs="Arial" w:eastAsia="Arial" w:hAnsi="Arial"/>
          <w:b/>
          <w:bCs/>
          <w:color w:val="1F2A37"/>
          <w:sz w:val="22"/>
          <w:szCs w:val="22"/>
          <w:rtl/>
        </w:rPr>
        <w:t xml:space="preserve">54 جهة</w:t>
      </w:r>
      <w:r>
        <w:rPr>
          <w:rFonts w:ascii="Arial" w:cs="Arial" w:eastAsia="Arial" w:hAnsi="Arial"/>
          <w:b w:val="false"/>
          <w:color w:val="1F2A37"/>
          <w:sz w:val="22"/>
          <w:szCs w:val="22"/>
          <w:rtl/>
        </w:rPr>
        <w:t xml:space="preserve"> تعمل جميعها على </w:t>
      </w:r>
      <w:r>
        <w:rPr>
          <w:rFonts w:ascii="Arial" w:cs="Arial" w:eastAsia="Arial" w:hAnsi="Arial"/>
          <w:b/>
          <w:bCs/>
          <w:color w:val="1F2A37"/>
          <w:sz w:val="22"/>
          <w:szCs w:val="22"/>
          <w:rtl/>
        </w:rPr>
        <w:t xml:space="preserve">نظام واحد</w:t>
      </w:r>
      <w:r>
        <w:rPr>
          <w:rFonts w:ascii="Arial" w:cs="Arial" w:eastAsia="Arial" w:hAnsi="Arial"/>
          <w:b w:val="false"/>
          <w:color w:val="1F2A37"/>
          <w:sz w:val="22"/>
          <w:szCs w:val="22"/>
          <w:rtl/>
        </w:rPr>
        <w:t xml:space="preserve">، والبلديات مستقلة عن القطاعات: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903"/>
        <w:gridCol w:w="4513"/>
      </w:tblGrid>
      <w:tr>
        <w:trPr>
          <w:tblHeader/>
        </w:trPr>
        <w:tc>
          <w:tcPr>
            <w:tcW w:type="dxa" w:w="3610"/>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جهة التحصيل</w:t>
            </w:r>
          </w:p>
        </w:tc>
        <w:tc>
          <w:tcPr>
            <w:tcW w:type="dxa" w:w="903"/>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العدد</w:t>
            </w:r>
          </w:p>
        </w:tc>
        <w:tc>
          <w:tcPr>
            <w:tcW w:type="dxa" w:w="4513"/>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الإيرادات التي تحصّلها</w:t>
            </w:r>
          </w:p>
        </w:tc>
      </w:tr>
      <w:tr>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إدارة التحصيل في الإدارة المالية</w:t>
            </w:r>
          </w:p>
        </w:tc>
        <w:tc>
          <w:tcPr>
            <w:tcW w:type="dxa" w:w="903"/>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1</w:t>
            </w:r>
          </w:p>
        </w:tc>
        <w:tc>
          <w:tcPr>
            <w:tcW w:type="dxa" w:w="4513"/>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الرسوم والتراخيص، والجزاءات والغرامات، والتبغ والإيواء</w:t>
            </w:r>
          </w:p>
        </w:tc>
      </w:tr>
      <w:tr>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إدارة التحصيل في وكالة الاستثمار والتخصيص</w:t>
            </w:r>
          </w:p>
        </w:tc>
        <w:tc>
          <w:tcPr>
            <w:tcW w:type="dxa" w:w="903"/>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1</w:t>
            </w:r>
          </w:p>
        </w:tc>
        <w:tc>
          <w:tcPr>
            <w:tcW w:type="dxa" w:w="4513"/>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إيجارات الأصول البلدية ومستحقات العقود الاستثمارية</w:t>
            </w:r>
          </w:p>
        </w:tc>
      </w:tr>
      <w:tr>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إدارات التحصيل في القطاعات</w:t>
            </w:r>
          </w:p>
        </w:tc>
        <w:tc>
          <w:tcPr>
            <w:tcW w:type="dxa" w:w="903"/>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5</w:t>
            </w:r>
          </w:p>
        </w:tc>
        <w:tc>
          <w:tcPr>
            <w:tcW w:type="dxa" w:w="4513"/>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إيرادات القطاع</w:t>
            </w:r>
          </w:p>
        </w:tc>
      </w:tr>
      <w:tr>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البلديات الفرعية</w:t>
            </w:r>
          </w:p>
        </w:tc>
        <w:tc>
          <w:tcPr>
            <w:tcW w:type="dxa" w:w="903"/>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47</w:t>
            </w:r>
          </w:p>
        </w:tc>
        <w:tc>
          <w:tcPr>
            <w:tcW w:type="dxa" w:w="4513"/>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إيرادات البلدية</w:t>
            </w:r>
          </w:p>
        </w:tc>
      </w:tr>
    </w:tbl>
    <w:p>
      <w:pPr>
        <w:spacing w:after="120"/>
      </w:pPr>
    </w:p>
    <w:p>
      <w:pPr>
        <w:pBdr>
          <w:right w:val="single" w:color="006A46" w:sz="24" w:space="8"/>
        </w:pBdr>
        <w:shd w:fill="F1F5F3" w:color="auto" w:val="clear"/>
        <w:bidi/>
        <w:spacing w:after="160" w:before="0" w:line="300"/>
        <w:ind w:start="120" w:end="120"/>
        <w:jc w:val="both"/>
      </w:pPr>
      <w:r>
        <w:rPr>
          <w:rFonts w:ascii="Arial" w:cs="Arial" w:eastAsia="Arial" w:hAnsi="Arial"/>
          <w:b/>
          <w:bCs/>
          <w:color w:val="1F2A37"/>
          <w:sz w:val="22"/>
          <w:szCs w:val="22"/>
          <w:rtl/>
        </w:rPr>
        <w:t xml:space="preserve">تقسيم الأدوار:</w:t>
      </w:r>
      <w:r>
        <w:rPr>
          <w:rFonts w:ascii="Arial" w:cs="Arial" w:eastAsia="Arial" w:hAnsi="Arial"/>
          <w:b w:val="false"/>
          <w:color w:val="1F2A37"/>
          <w:sz w:val="22"/>
          <w:szCs w:val="22"/>
          <w:rtl/>
        </w:rPr>
        <w:t xml:space="preserve"> جهات التحصيل </w:t>
      </w:r>
      <w:r>
        <w:rPr>
          <w:rFonts w:ascii="Arial" w:cs="Arial" w:eastAsia="Arial" w:hAnsi="Arial"/>
          <w:b/>
          <w:bCs/>
          <w:color w:val="1F2A37"/>
          <w:sz w:val="22"/>
          <w:szCs w:val="22"/>
          <w:rtl/>
        </w:rPr>
        <w:t xml:space="preserve">تحصّل وتطالب</w:t>
      </w:r>
      <w:r>
        <w:rPr>
          <w:rFonts w:ascii="Arial" w:cs="Arial" w:eastAsia="Arial" w:hAnsi="Arial"/>
          <w:b w:val="false"/>
          <w:color w:val="1F2A37"/>
          <w:sz w:val="22"/>
          <w:szCs w:val="22"/>
          <w:rtl/>
        </w:rPr>
        <w:t xml:space="preserve">، وإدارة تخطيط ومراقبة الإيرادات </w:t>
      </w:r>
      <w:r>
        <w:rPr>
          <w:rFonts w:ascii="Arial" w:cs="Arial" w:eastAsia="Arial" w:hAnsi="Arial"/>
          <w:b/>
          <w:bCs/>
          <w:color w:val="1F2A37"/>
          <w:sz w:val="22"/>
          <w:szCs w:val="22"/>
          <w:rtl/>
        </w:rPr>
        <w:t xml:space="preserve">تخطط وتقيس وتنبّه وتقترح</w:t>
      </w:r>
      <w:r>
        <w:rPr>
          <w:rFonts w:ascii="Arial" w:cs="Arial" w:eastAsia="Arial" w:hAnsi="Arial"/>
          <w:b w:val="false"/>
          <w:color w:val="1F2A37"/>
          <w:sz w:val="22"/>
          <w:szCs w:val="22"/>
          <w:rtl/>
        </w:rPr>
        <w:t xml:space="preserve">.</w:t>
      </w:r>
    </w:p>
    <w:p>
      <w:pPr>
        <w:pStyle w:val="Heading2"/>
        <w:bidi/>
      </w:pPr>
      <w:r>
        <w:rPr>
          <w:rFonts w:ascii="Arial" w:cs="Arial" w:eastAsia="Arial" w:hAnsi="Arial"/>
          <w:b w:val="false"/>
          <w:color w:val="1F2A37"/>
          <w:sz w:val="22"/>
          <w:szCs w:val="22"/>
          <w:rtl/>
        </w:rPr>
        <w:t xml:space="preserve">قراءة في مصادر الإيرادات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5"/>
        <w:gridCol w:w="1062"/>
        <w:gridCol w:w="5309"/>
      </w:tblGrid>
      <w:tr>
        <w:trPr>
          <w:tblHeader/>
        </w:trPr>
        <w:tc>
          <w:tcPr>
            <w:tcW w:type="dxa" w:w="2655"/>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المصدر</w:t>
            </w:r>
          </w:p>
        </w:tc>
        <w:tc>
          <w:tcPr>
            <w:tcW w:type="dxa" w:w="1062"/>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الترتيب</w:t>
            </w:r>
          </w:p>
        </w:tc>
        <w:tc>
          <w:tcPr>
            <w:tcW w:type="dxa" w:w="5309"/>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الملاحظة الاستراتيجية</w:t>
            </w:r>
          </w:p>
        </w:tc>
      </w:tr>
      <w:tr>
        <w:tc>
          <w:tcPr>
            <w:tcW w:type="dxa" w:w="2655"/>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الإيرادات الاستثمارية (التأجير)</w:t>
            </w:r>
          </w:p>
        </w:tc>
        <w:tc>
          <w:tcPr>
            <w:tcW w:type="dxa" w:w="1062"/>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الأول</w:t>
            </w:r>
          </w:p>
        </w:tc>
        <w:tc>
          <w:tcPr>
            <w:tcW w:type="dxa" w:w="530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أكبر مصدر وأكثرها استقراراً؛ المخاطرة في التركّز والمتأخرات، والفرصة في مراجعة التسعير مع السوق عند التجديد.</w:t>
            </w:r>
          </w:p>
        </w:tc>
      </w:tr>
      <w:tr>
        <w:tc>
          <w:tcPr>
            <w:tcW w:type="dxa" w:w="2655"/>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الرسوم والتراخيص (التجارية والإنشائية)</w:t>
            </w:r>
          </w:p>
        </w:tc>
        <w:tc>
          <w:tcPr>
            <w:tcW w:type="dxa" w:w="1062"/>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الثاني</w:t>
            </w:r>
          </w:p>
        </w:tc>
        <w:tc>
          <w:tcPr>
            <w:tcW w:type="dxa" w:w="530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الرسوم الإنشائية مرتبطة بدورة سوق البناء؛ تحتاج تنبؤاً متحفظاً وعدم افتراض استمرار الطفرة.</w:t>
            </w:r>
          </w:p>
        </w:tc>
      </w:tr>
      <w:tr>
        <w:tc>
          <w:tcPr>
            <w:tcW w:type="dxa" w:w="2655"/>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الجزاءات والغرامات</w:t>
            </w:r>
          </w:p>
        </w:tc>
        <w:tc>
          <w:tcPr>
            <w:tcW w:type="dxa" w:w="1062"/>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الثالث</w:t>
            </w:r>
          </w:p>
        </w:tc>
        <w:tc>
          <w:tcPr>
            <w:tcW w:type="dxa" w:w="530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هدفها </w:t>
            </w:r>
            <w:r>
              <w:rPr>
                <w:rFonts w:ascii="Arial" w:cs="Arial" w:eastAsia="Arial" w:hAnsi="Arial"/>
                <w:b/>
                <w:bCs/>
                <w:color w:val="1F2A37"/>
                <w:sz w:val="19"/>
                <w:szCs w:val="19"/>
                <w:rtl/>
              </w:rPr>
              <w:t xml:space="preserve">الالتزام لا الإيراد</w:t>
            </w:r>
            <w:r>
              <w:rPr>
                <w:rFonts w:ascii="Arial" w:cs="Arial" w:eastAsia="Arial" w:hAnsi="Arial"/>
                <w:b w:val="false"/>
                <w:color w:val="1F2A37"/>
                <w:sz w:val="19"/>
                <w:szCs w:val="19"/>
                <w:rtl/>
              </w:rPr>
              <w:t xml:space="preserve">؛ لا يوضع مستهدف لزيادتها، ويُقاس بدلاً منه </w:t>
            </w:r>
            <w:r>
              <w:rPr>
                <w:rFonts w:ascii="Arial" w:cs="Arial" w:eastAsia="Arial" w:hAnsi="Arial"/>
                <w:b/>
                <w:bCs/>
                <w:color w:val="1F2A37"/>
                <w:sz w:val="19"/>
                <w:szCs w:val="19"/>
                <w:rtl/>
              </w:rPr>
              <w:t xml:space="preserve">نسبة تحصيل المستحق منها</w:t>
            </w:r>
            <w:r>
              <w:rPr>
                <w:rFonts w:ascii="Arial" w:cs="Arial" w:eastAsia="Arial" w:hAnsi="Arial"/>
                <w:b w:val="false"/>
                <w:color w:val="1F2A37"/>
                <w:sz w:val="19"/>
                <w:szCs w:val="19"/>
                <w:rtl/>
              </w:rPr>
              <w:t xml:space="preserve">.</w:t>
            </w:r>
          </w:p>
        </w:tc>
      </w:tr>
      <w:tr>
        <w:tc>
          <w:tcPr>
            <w:tcW w:type="dxa" w:w="2655"/>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التبغ والإيواء</w:t>
            </w:r>
          </w:p>
        </w:tc>
        <w:tc>
          <w:tcPr>
            <w:tcW w:type="dxa" w:w="1062"/>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الرابع</w:t>
            </w:r>
          </w:p>
        </w:tc>
        <w:tc>
          <w:tcPr>
            <w:tcW w:type="dxa" w:w="530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الإيواء فرصة نمو كبيرة مع إكسبو 2030 وكأس العالم 2034؛ والتبغ متوقع تراجعه مع السياسات الصحية.</w:t>
            </w:r>
          </w:p>
        </w:tc>
      </w:tr>
    </w:tbl>
    <w:p>
      <w:pPr>
        <w:spacing w:after="120"/>
      </w:pPr>
    </w:p>
    <w:p>
      <w:pPr>
        <w:pStyle w:val="Heading2"/>
        <w:bidi/>
      </w:pPr>
      <w:r>
        <w:rPr>
          <w:rFonts w:ascii="Arial" w:cs="Arial" w:eastAsia="Arial" w:hAnsi="Arial"/>
          <w:b w:val="false"/>
          <w:color w:val="1F2A37"/>
          <w:sz w:val="22"/>
          <w:szCs w:val="22"/>
          <w:rtl/>
        </w:rPr>
        <w:t xml:space="preserve">الأقسام</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القسم</w:t>
            </w:r>
          </w:p>
        </w:tc>
        <w:tc>
          <w:tcPr>
            <w:tcW w:type="dxa" w:w="631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المسؤوليات الرئيسية</w:t>
            </w:r>
          </w:p>
        </w:tc>
      </w:tr>
      <w:tr>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قسم تخطيط الإيرادات والتنبؤ بها</w:t>
            </w:r>
          </w:p>
        </w:tc>
        <w:tc>
          <w:tcPr>
            <w:tcW w:type="dxa" w:w="631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التنبؤ بالإيرادات لكل مصدر، ووضع المستهدفات وتوزيعها على الجهات الـ54، والخطة متوسطة المدى.</w:t>
            </w:r>
          </w:p>
        </w:tc>
      </w:tr>
      <w:tr>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قسم مراقبة الإيرادات والتحصيل</w:t>
            </w:r>
          </w:p>
        </w:tc>
        <w:tc>
          <w:tcPr>
            <w:tcW w:type="dxa" w:w="631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اللوحة الموحدة، وقياس أداء جهات التحصيل ومقارنتها، والإنذار المبكر، والتقارير الدورية.</w:t>
            </w:r>
          </w:p>
        </w:tc>
      </w:tr>
      <w:tr>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قسم تنمية الإيرادات وتنويعها</w:t>
            </w:r>
          </w:p>
        </w:tc>
        <w:tc>
          <w:tcPr>
            <w:tcW w:type="dxa" w:w="631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اكتشاف الفاقد، ودراسة المصادر الجديدة، ومراجعة التسعير بالتنسيق مع الجهات المختصة.</w:t>
            </w:r>
          </w:p>
        </w:tc>
      </w:tr>
    </w:tbl>
    <w:p>
      <w:pPr>
        <w:spacing w:after="120"/>
      </w:pPr>
    </w:p>
    <w:p>
      <w:pPr>
        <w:pStyle w:val="Heading2"/>
        <w:bidi/>
      </w:pPr>
      <w:r>
        <w:rPr>
          <w:rFonts w:ascii="Arial" w:cs="Arial" w:eastAsia="Arial" w:hAnsi="Arial"/>
          <w:b w:val="false"/>
          <w:color w:val="1F2A37"/>
          <w:sz w:val="22"/>
          <w:szCs w:val="22"/>
          <w:rtl/>
        </w:rPr>
        <w:t xml:space="preserve">الأهداف ومؤشرات الأداء</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3610"/>
        <w:gridCol w:w="4874"/>
      </w:tblGrid>
      <w:tr>
        <w:trPr>
          <w:tblHeader/>
        </w:trPr>
        <w:tc>
          <w:tcPr>
            <w:tcW w:type="dxa" w:w="542"/>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w:t>
            </w:r>
          </w:p>
        </w:tc>
        <w:tc>
          <w:tcPr>
            <w:tcW w:type="dxa" w:w="3610"/>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الهدف</w:t>
            </w:r>
          </w:p>
        </w:tc>
        <w:tc>
          <w:tcPr>
            <w:tcW w:type="dxa" w:w="4874"/>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مؤشرات الأداء</w:t>
            </w:r>
          </w:p>
        </w:tc>
      </w:tr>
      <w:tr>
        <w:tc>
          <w:tcPr>
            <w:tcW w:type="dxa" w:w="542"/>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1</w:t>
            </w:r>
          </w:p>
        </w:tc>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تخطيط دقيق للإيرادات بمستهدفات واضحة لكل جهة</w:t>
            </w:r>
          </w:p>
        </w:tc>
        <w:tc>
          <w:tcPr>
            <w:tcW w:type="dxa" w:w="487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دقة التنبؤ (نسبة الانحراف بين المتوقع والفعلي)</w:t>
            </w:r>
          </w:p>
          <w:p>
            <w:pPr>
              <w:bidi/>
              <w:spacing w:after="20"/>
            </w:pPr>
            <w:r>
              <w:rPr>
                <w:rFonts w:ascii="Arial" w:cs="Arial" w:eastAsia="Arial" w:hAnsi="Arial"/>
                <w:b w:val="false"/>
                <w:color w:val="1F2A37"/>
                <w:sz w:val="19"/>
                <w:szCs w:val="19"/>
                <w:rtl/>
              </w:rPr>
              <w:t xml:space="preserve">نسبة الجهات التي لها مستهدف معتمد (54 جهة)</w:t>
            </w:r>
          </w:p>
        </w:tc>
      </w:tr>
      <w:tr>
        <w:tc>
          <w:tcPr>
            <w:tcW w:type="dxa" w:w="542"/>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w:t>
            </w:r>
          </w:p>
        </w:tc>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رقابة فعّالة وموحّدة على أداء التحصيل</w:t>
            </w:r>
          </w:p>
        </w:tc>
        <w:tc>
          <w:tcPr>
            <w:tcW w:type="dxa" w:w="487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عدد الجهات المرتبطة باللوحة الموحدة من 54</w:t>
            </w:r>
          </w:p>
          <w:p>
            <w:pPr>
              <w:bidi/>
              <w:spacing w:after="20"/>
            </w:pPr>
            <w:r>
              <w:rPr>
                <w:rFonts w:ascii="Arial" w:cs="Arial" w:eastAsia="Arial" w:hAnsi="Arial"/>
                <w:b w:val="false"/>
                <w:color w:val="1F2A37"/>
                <w:sz w:val="19"/>
                <w:szCs w:val="19"/>
                <w:rtl/>
              </w:rPr>
              <w:t xml:space="preserve">نسبة التحصيل الإجمالية (مؤشر مشترك)</w:t>
            </w:r>
          </w:p>
          <w:p>
            <w:pPr>
              <w:bidi/>
              <w:spacing w:after="20"/>
            </w:pPr>
            <w:r>
              <w:rPr>
                <w:rFonts w:ascii="Arial" w:cs="Arial" w:eastAsia="Arial" w:hAnsi="Arial"/>
                <w:b w:val="false"/>
                <w:color w:val="1F2A37"/>
                <w:sz w:val="19"/>
                <w:szCs w:val="19"/>
                <w:rtl/>
              </w:rPr>
              <w:t xml:space="preserve">عمر المتأخرات وقيمتها (مؤشر مشترك)</w:t>
            </w:r>
          </w:p>
          <w:p>
            <w:pPr>
              <w:bidi/>
              <w:spacing w:after="20"/>
            </w:pPr>
            <w:r>
              <w:rPr>
                <w:rFonts w:ascii="Arial" w:cs="Arial" w:eastAsia="Arial" w:hAnsi="Arial"/>
                <w:b w:val="false"/>
                <w:color w:val="1F2A37"/>
                <w:sz w:val="19"/>
                <w:szCs w:val="19"/>
                <w:rtl/>
              </w:rPr>
              <w:t xml:space="preserve">الالتزام بمواعيد التقارير</w:t>
            </w:r>
          </w:p>
          <w:p>
            <w:pPr>
              <w:bidi/>
              <w:spacing w:after="20"/>
            </w:pPr>
            <w:r>
              <w:rPr>
                <w:rFonts w:ascii="Arial" w:cs="Arial" w:eastAsia="Arial" w:hAnsi="Arial"/>
                <w:b w:val="false"/>
                <w:color w:val="1F2A37"/>
                <w:sz w:val="19"/>
                <w:szCs w:val="19"/>
                <w:rtl/>
              </w:rPr>
              <w:t xml:space="preserve">نسبة التوصيات المنفذة لدى جهات التحصيل</w:t>
            </w:r>
          </w:p>
        </w:tc>
      </w:tr>
      <w:tr>
        <w:tc>
          <w:tcPr>
            <w:tcW w:type="dxa" w:w="542"/>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3</w:t>
            </w:r>
          </w:p>
        </w:tc>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تنمية الإيرادات واكتشاف الفاقد</w:t>
            </w:r>
          </w:p>
        </w:tc>
        <w:tc>
          <w:tcPr>
            <w:tcW w:type="dxa" w:w="487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قيمة الفاقد المكتشف</w:t>
            </w:r>
          </w:p>
          <w:p>
            <w:pPr>
              <w:bidi/>
              <w:spacing w:after="20"/>
            </w:pPr>
            <w:r>
              <w:rPr>
                <w:rFonts w:ascii="Arial" w:cs="Arial" w:eastAsia="Arial" w:hAnsi="Arial"/>
                <w:b w:val="false"/>
                <w:color w:val="1F2A37"/>
                <w:sz w:val="19"/>
                <w:szCs w:val="19"/>
                <w:rtl/>
              </w:rPr>
              <w:t xml:space="preserve">قيمة الفاقد المحصّل فعلياً</w:t>
            </w:r>
          </w:p>
          <w:p>
            <w:pPr>
              <w:bidi/>
              <w:spacing w:after="20"/>
            </w:pPr>
            <w:r>
              <w:rPr>
                <w:rFonts w:ascii="Arial" w:cs="Arial" w:eastAsia="Arial" w:hAnsi="Arial"/>
                <w:b w:val="false"/>
                <w:color w:val="1F2A37"/>
                <w:sz w:val="19"/>
                <w:szCs w:val="19"/>
                <w:rtl/>
              </w:rPr>
              <w:t xml:space="preserve">نسبة تجاوز المستهدف السنوي</w:t>
            </w:r>
          </w:p>
        </w:tc>
      </w:tr>
      <w:tr>
        <w:tc>
          <w:tcPr>
            <w:tcW w:type="dxa" w:w="542"/>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4</w:t>
            </w:r>
          </w:p>
        </w:tc>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تنويع مصادر الإيرادات</w:t>
            </w:r>
          </w:p>
        </w:tc>
        <w:tc>
          <w:tcPr>
            <w:tcW w:type="dxa" w:w="487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نسبة الإيرادات من غير التأجير</w:t>
            </w:r>
          </w:p>
          <w:p>
            <w:pPr>
              <w:bidi/>
              <w:spacing w:after="20"/>
            </w:pPr>
            <w:r>
              <w:rPr>
                <w:rFonts w:ascii="Arial" w:cs="Arial" w:eastAsia="Arial" w:hAnsi="Arial"/>
                <w:b w:val="false"/>
                <w:color w:val="1F2A37"/>
                <w:sz w:val="19"/>
                <w:szCs w:val="19"/>
                <w:rtl/>
              </w:rPr>
              <w:t xml:space="preserve">نمو إيرادات الإيواء</w:t>
            </w:r>
          </w:p>
          <w:p>
            <w:pPr>
              <w:bidi/>
              <w:spacing w:after="20"/>
            </w:pPr>
            <w:r>
              <w:rPr>
                <w:rFonts w:ascii="Arial" w:cs="Arial" w:eastAsia="Arial" w:hAnsi="Arial"/>
                <w:b w:val="false"/>
                <w:color w:val="1F2A37"/>
                <w:sz w:val="19"/>
                <w:szCs w:val="19"/>
                <w:rtl/>
              </w:rPr>
              <w:t xml:space="preserve">عدد المصادر الجديدة المعتمدة</w:t>
            </w:r>
          </w:p>
        </w:tc>
      </w:tr>
    </w:tbl>
    <w:p>
      <w:pPr>
        <w:spacing w:after="120"/>
      </w:pPr>
    </w:p>
    <w:p>
      <w:pPr>
        <w:pBdr>
          <w:right w:val="single" w:color="B7801A" w:sz="24" w:space="8"/>
        </w:pBdr>
        <w:shd w:fill="FBF6EC" w:color="auto" w:val="clear"/>
        <w:bidi/>
        <w:spacing w:after="160" w:before="0" w:line="300"/>
        <w:ind w:start="120" w:end="120"/>
        <w:jc w:val="both"/>
      </w:pPr>
      <w:r>
        <w:rPr>
          <w:rFonts w:ascii="Arial" w:cs="Arial" w:eastAsia="Arial" w:hAnsi="Arial"/>
          <w:b/>
          <w:bCs/>
          <w:color w:val="1F2A37"/>
          <w:sz w:val="22"/>
          <w:szCs w:val="22"/>
          <w:rtl/>
        </w:rPr>
        <w:t xml:space="preserve">ملاحظة على المؤشرات المشتركة:</w:t>
      </w:r>
      <w:r>
        <w:rPr>
          <w:rFonts w:ascii="Arial" w:cs="Arial" w:eastAsia="Arial" w:hAnsi="Arial"/>
          <w:b w:val="false"/>
          <w:color w:val="1F2A37"/>
          <w:sz w:val="22"/>
          <w:szCs w:val="22"/>
          <w:rtl/>
        </w:rPr>
        <w:t xml:space="preserve"> الإدارة لا تتحكم بنتيجة التحصيل كاملة، لذا تُقاس على </w:t>
      </w:r>
      <w:r>
        <w:rPr>
          <w:rFonts w:ascii="Arial" w:cs="Arial" w:eastAsia="Arial" w:hAnsi="Arial"/>
          <w:b/>
          <w:bCs/>
          <w:color w:val="1F2A37"/>
          <w:sz w:val="22"/>
          <w:szCs w:val="22"/>
          <w:rtl/>
        </w:rPr>
        <w:t xml:space="preserve">جودة الرقابة والتوصيات</w:t>
      </w:r>
      <w:r>
        <w:rPr>
          <w:rFonts w:ascii="Arial" w:cs="Arial" w:eastAsia="Arial" w:hAnsi="Arial"/>
          <w:b w:val="false"/>
          <w:color w:val="1F2A37"/>
          <w:sz w:val="22"/>
          <w:szCs w:val="22"/>
          <w:rtl/>
        </w:rPr>
        <w:t xml:space="preserve">، وتبقى نسبة التحصيل والمتأخرات مؤشرات مشتركة مع جهات التحصيل.</w:t>
      </w:r>
    </w:p>
    <w:p>
      <w:pPr>
        <w:pStyle w:val="Heading2"/>
        <w:bidi/>
      </w:pPr>
      <w:r>
        <w:rPr>
          <w:rFonts w:ascii="Arial" w:cs="Arial" w:eastAsia="Arial" w:hAnsi="Arial"/>
          <w:b w:val="false"/>
          <w:color w:val="1F2A37"/>
          <w:sz w:val="22"/>
          <w:szCs w:val="22"/>
          <w:rtl/>
        </w:rPr>
        <w:t xml:space="preserve">المبادرات (2026–2030)</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المرحلة</w:t>
            </w:r>
          </w:p>
        </w:tc>
        <w:tc>
          <w:tcPr>
            <w:tcW w:type="dxa" w:w="6860"/>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المبادرات</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2026 — التأسيس</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حصر وتوحيد بيانات الإيرادات من النظام الموحد للجهات الـ54</w:t>
            </w:r>
          </w:p>
          <w:p>
            <w:pPr>
              <w:bidi/>
              <w:spacing w:after="20"/>
            </w:pPr>
            <w:r>
              <w:rPr>
                <w:rFonts w:ascii="Arial" w:cs="Arial" w:eastAsia="Arial" w:hAnsi="Arial"/>
                <w:b w:val="false"/>
                <w:color w:val="1F2A37"/>
                <w:sz w:val="19"/>
                <w:szCs w:val="19"/>
                <w:rtl/>
              </w:rPr>
              <w:t xml:space="preserve">دليل موحد لتصنيف الإيرادات والتقارير (بالتنسيق مع الإدارة المالية)</w:t>
            </w:r>
          </w:p>
          <w:p>
            <w:pPr>
              <w:bidi/>
              <w:spacing w:after="20"/>
            </w:pPr>
            <w:r>
              <w:rPr>
                <w:rFonts w:ascii="Arial" w:cs="Arial" w:eastAsia="Arial" w:hAnsi="Arial"/>
                <w:b w:val="false"/>
                <w:color w:val="1F2A37"/>
                <w:sz w:val="19"/>
                <w:szCs w:val="19"/>
                <w:rtl/>
              </w:rPr>
              <w:t xml:space="preserve">خط الأساس: تحليل إيرادات آخر 3–5 سنوات لكل مصدر وقطاع وبلدية</w:t>
            </w:r>
          </w:p>
          <w:p>
            <w:pPr>
              <w:bidi/>
              <w:spacing w:after="20"/>
            </w:pPr>
            <w:r>
              <w:rPr>
                <w:rFonts w:ascii="Arial" w:cs="Arial" w:eastAsia="Arial" w:hAnsi="Arial"/>
                <w:b w:val="false"/>
                <w:color w:val="1F2A37"/>
                <w:sz w:val="19"/>
                <w:szCs w:val="19"/>
                <w:rtl/>
              </w:rPr>
              <w:t xml:space="preserve">لوحة الإيرادات الموحدة (شهرية ثم لحظية)</w:t>
            </w:r>
          </w:p>
        </w:tc>
      </w:tr>
      <w:tr>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2027 — التخطيط والرقابة</w:t>
            </w:r>
          </w:p>
        </w:tc>
        <w:tc>
          <w:tcPr>
            <w:tcW w:type="dxa" w:w="686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نموذج التنبؤ بالإيرادات لكل مصدر (الرسوم الإنشائية مع رخص البناء، والإيواء مع مؤشرات السياحة) يُحدَّث ربع سنوياً</w:t>
            </w:r>
          </w:p>
          <w:p>
            <w:pPr>
              <w:bidi/>
              <w:spacing w:after="20"/>
            </w:pPr>
            <w:r>
              <w:rPr>
                <w:rFonts w:ascii="Arial" w:cs="Arial" w:eastAsia="Arial" w:hAnsi="Arial"/>
                <w:b w:val="false"/>
                <w:color w:val="1F2A37"/>
                <w:sz w:val="19"/>
                <w:szCs w:val="19"/>
                <w:rtl/>
              </w:rPr>
              <w:t xml:space="preserve">توزيع المستهدفات على القطاعات الخمسة والبلديات الـ47 وجهتي التحصيل وفق معايير معلنة</w:t>
            </w:r>
          </w:p>
          <w:p>
            <w:pPr>
              <w:bidi/>
              <w:spacing w:after="20"/>
            </w:pPr>
            <w:r>
              <w:rPr>
                <w:rFonts w:ascii="Arial" w:cs="Arial" w:eastAsia="Arial" w:hAnsi="Arial"/>
                <w:b w:val="false"/>
                <w:color w:val="1F2A37"/>
                <w:sz w:val="19"/>
                <w:szCs w:val="19"/>
                <w:rtl/>
              </w:rPr>
              <w:t xml:space="preserve">مؤشر أداء التحصيل وترتيب البلديات والقطاعات شهرياً مع تكريم الأفضل</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2028 — التحسين والنمو</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اجتماع مراجعة الإيرادات الشهري (على نموذج CitiStat)</w:t>
            </w:r>
          </w:p>
          <w:p>
            <w:pPr>
              <w:bidi/>
              <w:spacing w:after="20"/>
            </w:pPr>
            <w:r>
              <w:rPr>
                <w:rFonts w:ascii="Arial" w:cs="Arial" w:eastAsia="Arial" w:hAnsi="Arial"/>
                <w:b w:val="false"/>
                <w:color w:val="1F2A37"/>
                <w:sz w:val="19"/>
                <w:szCs w:val="19"/>
                <w:rtl/>
              </w:rPr>
              <w:t xml:space="preserve">برنامج كشف الفاقد بمطابقة البيانات ونظم المعلومات الجغرافية والمسح الميداني (منشآت بلا رخص، لوحات غير مرخصة، مرافق إيواء غير مسجلة، رخص منتهية)</w:t>
            </w:r>
          </w:p>
          <w:p>
            <w:pPr>
              <w:bidi/>
              <w:spacing w:after="20"/>
            </w:pPr>
            <w:r>
              <w:rPr>
                <w:rFonts w:ascii="Arial" w:cs="Arial" w:eastAsia="Arial" w:hAnsi="Arial"/>
                <w:b w:val="false"/>
                <w:color w:val="1F2A37"/>
                <w:sz w:val="19"/>
                <w:szCs w:val="19"/>
                <w:rtl/>
              </w:rPr>
              <w:t xml:space="preserve">مراجعة دورية لتسعير الإيجارات مع وكالة الاستثمار والتخصيص</w:t>
            </w:r>
          </w:p>
        </w:tc>
      </w:tr>
      <w:tr>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2029–2030 — التنويع والاستدامة</w:t>
            </w:r>
          </w:p>
        </w:tc>
        <w:tc>
          <w:tcPr>
            <w:tcW w:type="dxa" w:w="686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دراسة مصادر إيراد جديدة واقتراحها (المواقف الذكية، الإعلانات الرقمية، حقوق التسمية، الجلسات الخارجية)</w:t>
            </w:r>
          </w:p>
          <w:p>
            <w:pPr>
              <w:bidi/>
              <w:spacing w:after="20"/>
            </w:pPr>
            <w:r>
              <w:rPr>
                <w:rFonts w:ascii="Arial" w:cs="Arial" w:eastAsia="Arial" w:hAnsi="Arial"/>
                <w:b w:val="false"/>
                <w:color w:val="1F2A37"/>
                <w:sz w:val="19"/>
                <w:szCs w:val="19"/>
                <w:rtl/>
              </w:rPr>
              <w:t xml:space="preserve">خطة إيرادات خاصة بإكسبو 2030 وكأس العالم 2034</w:t>
            </w:r>
          </w:p>
        </w:tc>
      </w:tr>
    </w:tbl>
    <w:p>
      <w:pPr>
        <w:spacing w:after="120"/>
      </w:pPr>
    </w:p>
    <w:p>
      <w:pPr>
        <w:pStyle w:val="Heading2"/>
        <w:bidi/>
      </w:pPr>
      <w:r>
        <w:rPr>
          <w:rFonts w:ascii="Arial" w:cs="Arial" w:eastAsia="Arial" w:hAnsi="Arial"/>
          <w:b w:val="false"/>
          <w:color w:val="1F2A37"/>
          <w:sz w:val="22"/>
          <w:szCs w:val="22"/>
          <w:rtl/>
        </w:rPr>
        <w:t xml:space="preserve">المهام والاختصاصات</w:t>
      </w:r>
    </w:p>
    <w:p>
      <w:pPr>
        <w:pStyle w:val="Heading3"/>
        <w:bidi/>
      </w:pPr>
      <w:r>
        <w:rPr>
          <w:rFonts w:ascii="Arial" w:cs="Arial" w:eastAsia="Arial" w:hAnsi="Arial"/>
          <w:b w:val="false"/>
          <w:color w:val="1F2A37"/>
          <w:sz w:val="22"/>
          <w:szCs w:val="22"/>
          <w:rtl/>
        </w:rPr>
        <w:t xml:space="preserve">في التخطيط</w:t>
      </w:r>
    </w:p>
    <w:p>
      <w:pPr>
        <w:pStyle w:val="ListParagraph"/>
        <w:numPr>
          <w:ilvl w:val="0"/>
          <w:numId w:val="4"/>
        </w:numPr>
        <w:bidi/>
        <w:spacing w:after="60" w:line="290"/>
        <w:jc w:val="both"/>
      </w:pPr>
      <w:r>
        <w:rPr>
          <w:rFonts w:ascii="Arial" w:cs="Arial" w:eastAsia="Arial" w:hAnsi="Arial"/>
          <w:b w:val="false"/>
          <w:color w:val="1F2A37"/>
          <w:sz w:val="22"/>
          <w:szCs w:val="22"/>
          <w:rtl/>
        </w:rPr>
        <w:t xml:space="preserve">إعداد تقديرات الإيرادات السنوية ومتوسطة المدى لكل مصدر.</w:t>
      </w:r>
    </w:p>
    <w:p>
      <w:pPr>
        <w:pStyle w:val="ListParagraph"/>
        <w:numPr>
          <w:ilvl w:val="0"/>
          <w:numId w:val="4"/>
        </w:numPr>
        <w:bidi/>
        <w:spacing w:after="60" w:line="290"/>
        <w:jc w:val="both"/>
      </w:pPr>
      <w:r>
        <w:rPr>
          <w:rFonts w:ascii="Arial" w:cs="Arial" w:eastAsia="Arial" w:hAnsi="Arial"/>
          <w:b w:val="false"/>
          <w:color w:val="1F2A37"/>
          <w:sz w:val="22"/>
          <w:szCs w:val="22"/>
          <w:rtl/>
        </w:rPr>
        <w:t xml:space="preserve">اقتراح مستهدفات الإيرادات ورفعها للاعتماد، وتوزيعها على القطاعات والبلديات وجهات التحصيل.</w:t>
      </w:r>
    </w:p>
    <w:p>
      <w:pPr>
        <w:pStyle w:val="ListParagraph"/>
        <w:numPr>
          <w:ilvl w:val="0"/>
          <w:numId w:val="4"/>
        </w:numPr>
        <w:bidi/>
        <w:spacing w:after="60" w:line="290"/>
        <w:jc w:val="both"/>
      </w:pPr>
      <w:r>
        <w:rPr>
          <w:rFonts w:ascii="Arial" w:cs="Arial" w:eastAsia="Arial" w:hAnsi="Arial"/>
          <w:b w:val="false"/>
          <w:color w:val="1F2A37"/>
          <w:sz w:val="22"/>
          <w:szCs w:val="22"/>
          <w:rtl/>
        </w:rPr>
        <w:t xml:space="preserve">تحديث التنبؤات ربع سنوياً وفق الأداء الفعلي والمتغيرات.</w:t>
      </w:r>
    </w:p>
    <w:p>
      <w:pPr>
        <w:pStyle w:val="ListParagraph"/>
        <w:numPr>
          <w:ilvl w:val="0"/>
          <w:numId w:val="4"/>
        </w:numPr>
        <w:bidi/>
        <w:spacing w:after="60" w:line="290"/>
        <w:jc w:val="both"/>
      </w:pPr>
      <w:r>
        <w:rPr>
          <w:rFonts w:ascii="Arial" w:cs="Arial" w:eastAsia="Arial" w:hAnsi="Arial"/>
          <w:b w:val="false"/>
          <w:color w:val="1F2A37"/>
          <w:sz w:val="22"/>
          <w:szCs w:val="22"/>
          <w:rtl/>
        </w:rPr>
        <w:t xml:space="preserve">المشاركة في إعداد تقديرات الإيرادات ضمن مشروع ميزانية الأمانة.</w:t>
      </w:r>
    </w:p>
    <w:p>
      <w:pPr>
        <w:pStyle w:val="Heading3"/>
        <w:bidi/>
      </w:pPr>
      <w:r>
        <w:rPr>
          <w:rFonts w:ascii="Arial" w:cs="Arial" w:eastAsia="Arial" w:hAnsi="Arial"/>
          <w:b w:val="false"/>
          <w:color w:val="1F2A37"/>
          <w:sz w:val="22"/>
          <w:szCs w:val="22"/>
          <w:rtl/>
        </w:rPr>
        <w:t xml:space="preserve">في المراقبة</w:t>
      </w:r>
    </w:p>
    <w:p>
      <w:pPr>
        <w:pStyle w:val="ListParagraph"/>
        <w:numPr>
          <w:ilvl w:val="0"/>
          <w:numId w:val="4"/>
        </w:numPr>
        <w:bidi/>
        <w:spacing w:after="60" w:line="290"/>
        <w:jc w:val="both"/>
      </w:pPr>
      <w:r>
        <w:rPr>
          <w:rFonts w:ascii="Arial" w:cs="Arial" w:eastAsia="Arial" w:hAnsi="Arial"/>
          <w:b w:val="false"/>
          <w:color w:val="1F2A37"/>
          <w:sz w:val="22"/>
          <w:szCs w:val="22"/>
          <w:rtl/>
        </w:rPr>
        <w:t xml:space="preserve">جمع بيانات الإيرادات من جميع جهات التحصيل وتوحيدها.</w:t>
      </w:r>
    </w:p>
    <w:p>
      <w:pPr>
        <w:pStyle w:val="ListParagraph"/>
        <w:numPr>
          <w:ilvl w:val="0"/>
          <w:numId w:val="4"/>
        </w:numPr>
        <w:bidi/>
        <w:spacing w:after="60" w:line="290"/>
        <w:jc w:val="both"/>
      </w:pPr>
      <w:r>
        <w:rPr>
          <w:rFonts w:ascii="Arial" w:cs="Arial" w:eastAsia="Arial" w:hAnsi="Arial"/>
          <w:b w:val="false"/>
          <w:color w:val="1F2A37"/>
          <w:sz w:val="22"/>
          <w:szCs w:val="22"/>
          <w:rtl/>
        </w:rPr>
        <w:t xml:space="preserve">إدارة لوحة الإيرادات الموحدة وتحديثها.</w:t>
      </w:r>
    </w:p>
    <w:p>
      <w:pPr>
        <w:pStyle w:val="ListParagraph"/>
        <w:numPr>
          <w:ilvl w:val="0"/>
          <w:numId w:val="4"/>
        </w:numPr>
        <w:bidi/>
        <w:spacing w:after="60" w:line="290"/>
        <w:jc w:val="both"/>
      </w:pPr>
      <w:r>
        <w:rPr>
          <w:rFonts w:ascii="Arial" w:cs="Arial" w:eastAsia="Arial" w:hAnsi="Arial"/>
          <w:b w:val="false"/>
          <w:color w:val="1F2A37"/>
          <w:sz w:val="22"/>
          <w:szCs w:val="22"/>
          <w:rtl/>
        </w:rPr>
        <w:t xml:space="preserve">قياس أداء جهات التحصيل ومقارنتها وترتيبها.</w:t>
      </w:r>
    </w:p>
    <w:p>
      <w:pPr>
        <w:pStyle w:val="ListParagraph"/>
        <w:numPr>
          <w:ilvl w:val="0"/>
          <w:numId w:val="4"/>
        </w:numPr>
        <w:bidi/>
        <w:spacing w:after="60" w:line="290"/>
        <w:jc w:val="both"/>
      </w:pPr>
      <w:r>
        <w:rPr>
          <w:rFonts w:ascii="Arial" w:cs="Arial" w:eastAsia="Arial" w:hAnsi="Arial"/>
          <w:b w:val="false"/>
          <w:color w:val="1F2A37"/>
          <w:sz w:val="22"/>
          <w:szCs w:val="22"/>
          <w:rtl/>
        </w:rPr>
        <w:t xml:space="preserve">تحليل الانحرافات والمتأخرات وإصدار تنبيهات الإنذار المبكر.</w:t>
      </w:r>
    </w:p>
    <w:p>
      <w:pPr>
        <w:pStyle w:val="ListParagraph"/>
        <w:numPr>
          <w:ilvl w:val="0"/>
          <w:numId w:val="4"/>
        </w:numPr>
        <w:bidi/>
        <w:spacing w:after="60" w:line="290"/>
        <w:jc w:val="both"/>
      </w:pPr>
      <w:r>
        <w:rPr>
          <w:rFonts w:ascii="Arial" w:cs="Arial" w:eastAsia="Arial" w:hAnsi="Arial"/>
          <w:b w:val="false"/>
          <w:color w:val="1F2A37"/>
          <w:sz w:val="22"/>
          <w:szCs w:val="22"/>
          <w:rtl/>
        </w:rPr>
        <w:t xml:space="preserve">إعداد التقارير الشهرية والربع سنوية والسنوية للقيادة.</w:t>
      </w:r>
    </w:p>
    <w:p>
      <w:pPr>
        <w:pStyle w:val="ListParagraph"/>
        <w:numPr>
          <w:ilvl w:val="0"/>
          <w:numId w:val="4"/>
        </w:numPr>
        <w:bidi/>
        <w:spacing w:after="60" w:line="290"/>
        <w:jc w:val="both"/>
      </w:pPr>
      <w:r>
        <w:rPr>
          <w:rFonts w:ascii="Arial" w:cs="Arial" w:eastAsia="Arial" w:hAnsi="Arial"/>
          <w:b w:val="false"/>
          <w:color w:val="1F2A37"/>
          <w:sz w:val="22"/>
          <w:szCs w:val="22"/>
          <w:rtl/>
        </w:rPr>
        <w:t xml:space="preserve">متابعة تنفيذ التوصيات لدى جهات التحصيل.</w:t>
      </w:r>
    </w:p>
    <w:p>
      <w:pPr>
        <w:pStyle w:val="Heading3"/>
        <w:bidi/>
      </w:pPr>
      <w:r>
        <w:rPr>
          <w:rFonts w:ascii="Arial" w:cs="Arial" w:eastAsia="Arial" w:hAnsi="Arial"/>
          <w:b w:val="false"/>
          <w:color w:val="1F2A37"/>
          <w:sz w:val="22"/>
          <w:szCs w:val="22"/>
          <w:rtl/>
        </w:rPr>
        <w:t xml:space="preserve">في التنمية والتنويع</w:t>
      </w:r>
    </w:p>
    <w:p>
      <w:pPr>
        <w:pStyle w:val="ListParagraph"/>
        <w:numPr>
          <w:ilvl w:val="0"/>
          <w:numId w:val="4"/>
        </w:numPr>
        <w:bidi/>
        <w:spacing w:after="60" w:line="290"/>
        <w:jc w:val="both"/>
      </w:pPr>
      <w:r>
        <w:rPr>
          <w:rFonts w:ascii="Arial" w:cs="Arial" w:eastAsia="Arial" w:hAnsi="Arial"/>
          <w:b w:val="false"/>
          <w:color w:val="1F2A37"/>
          <w:sz w:val="22"/>
          <w:szCs w:val="22"/>
          <w:rtl/>
        </w:rPr>
        <w:t xml:space="preserve">اكتشاف الفاقد في الإيرادات وتحديد أسبابه واقتراح المعالجة.</w:t>
      </w:r>
    </w:p>
    <w:p>
      <w:pPr>
        <w:pStyle w:val="ListParagraph"/>
        <w:numPr>
          <w:ilvl w:val="0"/>
          <w:numId w:val="4"/>
        </w:numPr>
        <w:bidi/>
        <w:spacing w:after="60" w:line="290"/>
        <w:jc w:val="both"/>
      </w:pPr>
      <w:r>
        <w:rPr>
          <w:rFonts w:ascii="Arial" w:cs="Arial" w:eastAsia="Arial" w:hAnsi="Arial"/>
          <w:b w:val="false"/>
          <w:color w:val="1F2A37"/>
          <w:sz w:val="22"/>
          <w:szCs w:val="22"/>
          <w:rtl/>
        </w:rPr>
        <w:t xml:space="preserve">دراسة مصادر الإيراد الجديدة وتقديرها مالياً.</w:t>
      </w:r>
    </w:p>
    <w:p>
      <w:pPr>
        <w:pStyle w:val="ListParagraph"/>
        <w:numPr>
          <w:ilvl w:val="0"/>
          <w:numId w:val="4"/>
        </w:numPr>
        <w:bidi/>
        <w:spacing w:after="60" w:line="290"/>
        <w:jc w:val="both"/>
      </w:pPr>
      <w:r>
        <w:rPr>
          <w:rFonts w:ascii="Arial" w:cs="Arial" w:eastAsia="Arial" w:hAnsi="Arial"/>
          <w:b w:val="false"/>
          <w:color w:val="1F2A37"/>
          <w:sz w:val="22"/>
          <w:szCs w:val="22"/>
          <w:rtl/>
        </w:rPr>
        <w:t xml:space="preserve">مراجعة تسعير الأصول والخدمات بالتنسيق مع الجهات المختصة.</w:t>
      </w:r>
    </w:p>
    <w:p>
      <w:pPr>
        <w:pStyle w:val="ListParagraph"/>
        <w:numPr>
          <w:ilvl w:val="0"/>
          <w:numId w:val="4"/>
        </w:numPr>
        <w:bidi/>
        <w:spacing w:after="60" w:line="290"/>
        <w:jc w:val="both"/>
      </w:pPr>
      <w:r>
        <w:rPr>
          <w:rFonts w:ascii="Arial" w:cs="Arial" w:eastAsia="Arial" w:hAnsi="Arial"/>
          <w:b w:val="false"/>
          <w:color w:val="1F2A37"/>
          <w:sz w:val="22"/>
          <w:szCs w:val="22"/>
          <w:rtl/>
        </w:rPr>
        <w:t xml:space="preserve">رصد التجارب المحلية والدولية في تنمية الإيرادات البلدية.</w:t>
      </w:r>
    </w:p>
    <w:p>
      <w:pPr>
        <w:pStyle w:val="Heading3"/>
        <w:bidi/>
      </w:pPr>
      <w:r>
        <w:rPr>
          <w:rFonts w:ascii="Arial" w:cs="Arial" w:eastAsia="Arial" w:hAnsi="Arial"/>
          <w:b w:val="false"/>
          <w:color w:val="1F2A37"/>
          <w:sz w:val="22"/>
          <w:szCs w:val="22"/>
          <w:rtl/>
        </w:rPr>
        <w:t xml:space="preserve">في الحوكمة</w:t>
      </w:r>
    </w:p>
    <w:p>
      <w:pPr>
        <w:pStyle w:val="ListParagraph"/>
        <w:numPr>
          <w:ilvl w:val="0"/>
          <w:numId w:val="4"/>
        </w:numPr>
        <w:bidi/>
        <w:spacing w:after="60" w:line="290"/>
        <w:jc w:val="both"/>
      </w:pPr>
      <w:r>
        <w:rPr>
          <w:rFonts w:ascii="Arial" w:cs="Arial" w:eastAsia="Arial" w:hAnsi="Arial"/>
          <w:b w:val="false"/>
          <w:color w:val="1F2A37"/>
          <w:sz w:val="22"/>
          <w:szCs w:val="22"/>
          <w:rtl/>
        </w:rPr>
        <w:t xml:space="preserve">إعداد الأدلة والإجراءات الموحدة لتصنيف الإيرادات وتقاريرها.</w:t>
      </w:r>
    </w:p>
    <w:p>
      <w:pPr>
        <w:pStyle w:val="ListParagraph"/>
        <w:numPr>
          <w:ilvl w:val="0"/>
          <w:numId w:val="4"/>
        </w:numPr>
        <w:bidi/>
        <w:spacing w:after="60" w:line="290"/>
        <w:jc w:val="both"/>
      </w:pPr>
      <w:r>
        <w:rPr>
          <w:rFonts w:ascii="Arial" w:cs="Arial" w:eastAsia="Arial" w:hAnsi="Arial"/>
          <w:b w:val="false"/>
          <w:color w:val="1F2A37"/>
          <w:sz w:val="22"/>
          <w:szCs w:val="22"/>
          <w:rtl/>
        </w:rPr>
        <w:t xml:space="preserve">التنسيق مع الإدارة المالية ووكالة الاستثمار والتخصيص والقطاعات والبلديات والتقنية.</w:t>
      </w:r>
    </w:p>
    <w:p>
      <w:pPr>
        <w:pBdr>
          <w:right w:val="single" w:color="B7801A" w:sz="24" w:space="8"/>
        </w:pBdr>
        <w:shd w:fill="FBF6EC" w:color="auto" w:val="clear"/>
        <w:bidi/>
        <w:spacing w:after="160" w:before="0" w:line="300"/>
        <w:ind w:start="120" w:end="120"/>
        <w:jc w:val="both"/>
      </w:pPr>
      <w:r>
        <w:rPr>
          <w:rFonts w:ascii="Arial" w:cs="Arial" w:eastAsia="Arial" w:hAnsi="Arial"/>
          <w:b/>
          <w:bCs/>
          <w:color w:val="1F2A37"/>
          <w:sz w:val="22"/>
          <w:szCs w:val="22"/>
          <w:rtl/>
        </w:rPr>
        <w:t xml:space="preserve">ملاحظة نظامية:</w:t>
      </w:r>
      <w:r>
        <w:rPr>
          <w:rFonts w:ascii="Arial" w:cs="Arial" w:eastAsia="Arial" w:hAnsi="Arial"/>
          <w:b w:val="false"/>
          <w:color w:val="1F2A37"/>
          <w:sz w:val="22"/>
          <w:szCs w:val="22"/>
          <w:rtl/>
        </w:rPr>
        <w:t xml:space="preserve"> الرسوم البلدية تصدر وفق لائحة رسوم الخدمات البلدية المعتمدة، ولا تفرض الأمانة رسماً جديداً بنفسها. لذا يأتي نمو الإيرادات أساساً من </w:t>
      </w:r>
      <w:r>
        <w:rPr>
          <w:rFonts w:ascii="Arial" w:cs="Arial" w:eastAsia="Arial" w:hAnsi="Arial"/>
          <w:b/>
          <w:bCs/>
          <w:color w:val="1F2A37"/>
          <w:sz w:val="22"/>
          <w:szCs w:val="22"/>
          <w:rtl/>
        </w:rPr>
        <w:t xml:space="preserve">رفع التغطية والتحصيل واستغلال الأصول</w:t>
      </w:r>
      <w:r>
        <w:rPr>
          <w:rFonts w:ascii="Arial" w:cs="Arial" w:eastAsia="Arial" w:hAnsi="Arial"/>
          <w:b w:val="false"/>
          <w:color w:val="1F2A37"/>
          <w:sz w:val="22"/>
          <w:szCs w:val="22"/>
          <w:rtl/>
        </w:rPr>
        <w:t xml:space="preserve">، وتُرفع مقترحات الرسوم الجديدة إلى وزارة البلديات والإسكان.</w:t>
      </w:r>
    </w:p>
    <w:p>
      <w:pPr>
        <w:pStyle w:val="Heading2"/>
        <w:bidi/>
      </w:pPr>
      <w:r>
        <w:rPr>
          <w:rFonts w:ascii="Arial" w:cs="Arial" w:eastAsia="Arial" w:hAnsi="Arial"/>
          <w:b w:val="false"/>
          <w:color w:val="1F2A37"/>
          <w:sz w:val="22"/>
          <w:szCs w:val="22"/>
          <w:rtl/>
        </w:rPr>
        <w:t xml:space="preserve">تجارب ملهمة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971"/>
        <w:gridCol w:w="3611"/>
      </w:tblGrid>
      <w:tr>
        <w:trPr>
          <w:tblHeader/>
        </w:trPr>
        <w:tc>
          <w:tcPr>
            <w:tcW w:type="dxa" w:w="1444"/>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النطاق</w:t>
            </w:r>
          </w:p>
        </w:tc>
        <w:tc>
          <w:tcPr>
            <w:tcW w:type="dxa" w:w="3971"/>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التجربة</w:t>
            </w:r>
          </w:p>
        </w:tc>
        <w:tc>
          <w:tcPr>
            <w:tcW w:type="dxa" w:w="3611"/>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الدرس المستفاد</w:t>
            </w:r>
          </w:p>
        </w:tc>
      </w:tr>
      <w:tr>
        <w:tc>
          <w:tcPr>
            <w:tcW w:type="dxa" w:w="144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السعودية</w:t>
            </w:r>
          </w:p>
        </w:tc>
        <w:tc>
          <w:tcPr>
            <w:tcW w:type="dxa" w:w="397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هيئة الزكاة والضريبة والجمارك: تحليل البيانات ومطابقتها لاكتشاف غير الملتزمين</w:t>
            </w:r>
          </w:p>
        </w:tc>
        <w:tc>
          <w:tcPr>
            <w:tcW w:type="dxa" w:w="361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نفس الأسلوب يصلح لكشف الفاقد البلدي</w:t>
            </w:r>
          </w:p>
        </w:tc>
      </w:tr>
      <w:tr>
        <w:tc>
          <w:tcPr>
            <w:tcW w:type="dxa" w:w="144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دبي</w:t>
            </w:r>
          </w:p>
        </w:tc>
        <w:tc>
          <w:tcPr>
            <w:tcW w:type="dxa" w:w="397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توحيد قنوات التحصيل الحكومي إلكترونياً</w:t>
            </w:r>
          </w:p>
        </w:tc>
        <w:tc>
          <w:tcPr>
            <w:tcW w:type="dxa" w:w="361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توحيد القنوات يقلل الفاقد ويوحد البيانات</w:t>
            </w:r>
          </w:p>
        </w:tc>
      </w:tr>
      <w:tr>
        <w:tc>
          <w:tcPr>
            <w:tcW w:type="dxa" w:w="144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بالتيمور (CitiStat)</w:t>
            </w:r>
          </w:p>
        </w:tc>
        <w:tc>
          <w:tcPr>
            <w:tcW w:type="dxa" w:w="397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اجتماعات دورية تعرض بيانات أداء كل إدارة أمام القيادة</w:t>
            </w:r>
          </w:p>
        </w:tc>
        <w:tc>
          <w:tcPr>
            <w:tcW w:type="dxa" w:w="361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الشفافية والمساءلة الدورية ترفع الأداء</w:t>
            </w:r>
          </w:p>
        </w:tc>
      </w:tr>
      <w:tr>
        <w:tc>
          <w:tcPr>
            <w:tcW w:type="dxa" w:w="144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بريطانيا (HMRC)</w:t>
            </w:r>
          </w:p>
        </w:tc>
        <w:tc>
          <w:tcPr>
            <w:tcW w:type="dxa" w:w="397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نظام Connect يربط مصادر بيانات متعددة لاكتشاف الإيرادات غير المصرّح بها</w:t>
            </w:r>
          </w:p>
        </w:tc>
        <w:tc>
          <w:tcPr>
            <w:tcW w:type="dxa" w:w="361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قوة مطابقة البيانات في كشف الفاقد</w:t>
            </w:r>
          </w:p>
        </w:tc>
      </w:tr>
      <w:tr>
        <w:tc>
          <w:tcPr>
            <w:tcW w:type="dxa" w:w="144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سنغافورة</w:t>
            </w:r>
          </w:p>
        </w:tc>
        <w:tc>
          <w:tcPr>
            <w:tcW w:type="dxa" w:w="397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تنبؤ متحفظ بالإيرادات</w:t>
            </w:r>
          </w:p>
        </w:tc>
        <w:tc>
          <w:tcPr>
            <w:tcW w:type="dxa" w:w="361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التحفظ يقلل المفاجآت ويبني الثقة في المستهدفات</w:t>
            </w:r>
          </w:p>
        </w:tc>
      </w:tr>
    </w:tbl>
    <w:p>
      <w:pPr>
        <w:spacing w:after="120"/>
      </w:pPr>
    </w:p>
    <w:p>
      <w:r>
        <w:br w:type="page"/>
      </w:r>
    </w:p>
    <w:p>
      <w:pPr>
        <w:pStyle w:val="Heading1"/>
        <w:bidi/>
      </w:pPr>
      <w:r>
        <w:rPr>
          <w:rFonts w:ascii="Arial" w:cs="Arial" w:eastAsia="Arial" w:hAnsi="Arial"/>
          <w:b w:val="false"/>
          <w:color w:val="1F2A37"/>
          <w:sz w:val="22"/>
          <w:szCs w:val="22"/>
          <w:rtl/>
        </w:rPr>
        <w:t xml:space="preserve">5. إدارة الائتمان والتمويل</w:t>
      </w:r>
    </w:p>
    <w:p>
      <w:pPr>
        <w:pStyle w:val="Heading2"/>
        <w:bidi/>
      </w:pPr>
      <w:r>
        <w:rPr>
          <w:rFonts w:ascii="Arial" w:cs="Arial" w:eastAsia="Arial" w:hAnsi="Arial"/>
          <w:b w:val="false"/>
          <w:color w:val="1F2A37"/>
          <w:sz w:val="22"/>
          <w:szCs w:val="22"/>
          <w:rtl/>
        </w:rPr>
        <w:t xml:space="preserve">التعريف</w:t>
      </w:r>
    </w:p>
    <w:p>
      <w:pPr>
        <w:bidi/>
        <w:spacing w:after="120" w:before="0" w:line="300"/>
        <w:jc w:val="both"/>
      </w:pPr>
      <w:r>
        <w:rPr>
          <w:rFonts w:ascii="Arial" w:cs="Arial" w:eastAsia="Arial" w:hAnsi="Arial"/>
          <w:b w:val="false"/>
          <w:color w:val="1F2A37"/>
          <w:sz w:val="22"/>
          <w:szCs w:val="22"/>
          <w:rtl/>
        </w:rPr>
        <w:t xml:space="preserve">الإدارة المسؤولة عن </w:t>
      </w:r>
      <w:r>
        <w:rPr>
          <w:rFonts w:ascii="Arial" w:cs="Arial" w:eastAsia="Arial" w:hAnsi="Arial"/>
          <w:b/>
          <w:bCs/>
          <w:color w:val="1F2A37"/>
          <w:sz w:val="22"/>
          <w:szCs w:val="22"/>
          <w:rtl/>
        </w:rPr>
        <w:t xml:space="preserve">تأمين التمويل لمشاريع الأمانة من خارج الميزانية عبر أربعة مسارات</w:t>
      </w:r>
      <w:r>
        <w:rPr>
          <w:rFonts w:ascii="Arial" w:cs="Arial" w:eastAsia="Arial" w:hAnsi="Arial"/>
          <w:b w:val="false"/>
          <w:color w:val="1F2A37"/>
          <w:sz w:val="22"/>
          <w:szCs w:val="22"/>
          <w:rtl/>
        </w:rPr>
        <w:t xml:space="preserve">: المستثمر، والجهات الحكومية الأخرى، والتمويل البنكي، والسندات والصكوك. تحصر المشاريع غير الممولة وتدرسها، و</w:t>
      </w:r>
      <w:r>
        <w:rPr>
          <w:rFonts w:ascii="Arial" w:cs="Arial" w:eastAsia="Arial" w:hAnsi="Arial"/>
          <w:b/>
          <w:bCs/>
          <w:color w:val="1F2A37"/>
          <w:sz w:val="22"/>
          <w:szCs w:val="22"/>
          <w:rtl/>
        </w:rPr>
        <w:t xml:space="preserve">توصي بالمسار الأنسب</w:t>
      </w:r>
      <w:r>
        <w:rPr>
          <w:rFonts w:ascii="Arial" w:cs="Arial" w:eastAsia="Arial" w:hAnsi="Arial"/>
          <w:b w:val="false"/>
          <w:color w:val="1F2A37"/>
          <w:sz w:val="22"/>
          <w:szCs w:val="22"/>
          <w:rtl/>
        </w:rPr>
        <w:t xml:space="preserve"> لكل مشروع وتهيكله مالياً، وتعمل </w:t>
      </w:r>
      <w:r>
        <w:rPr>
          <w:rFonts w:ascii="Arial" w:cs="Arial" w:eastAsia="Arial" w:hAnsi="Arial"/>
          <w:b/>
          <w:bCs/>
          <w:color w:val="1F2A37"/>
          <w:sz w:val="22"/>
          <w:szCs w:val="22"/>
          <w:rtl/>
        </w:rPr>
        <w:t xml:space="preserve">أميناً للّجنة العليا للتمويل</w:t>
      </w:r>
      <w:r>
        <w:rPr>
          <w:rFonts w:ascii="Arial" w:cs="Arial" w:eastAsia="Arial" w:hAnsi="Arial"/>
          <w:b w:val="false"/>
          <w:color w:val="1F2A37"/>
          <w:sz w:val="22"/>
          <w:szCs w:val="22"/>
          <w:rtl/>
        </w:rPr>
        <w:t xml:space="preserve"> برئاسة مساعد الأمين لإدارة المدينة </w:t>
      </w:r>
      <w:r>
        <w:rPr>
          <w:rFonts w:ascii="Arial" w:cs="Arial" w:eastAsia="Arial" w:hAnsi="Arial"/>
          <w:b/>
          <w:bCs/>
          <w:color w:val="1F2A37"/>
          <w:sz w:val="22"/>
          <w:szCs w:val="22"/>
          <w:rtl/>
        </w:rPr>
        <w:t xml:space="preserve">وذراعاً تمكينياً لها</w:t>
      </w:r>
      <w:r>
        <w:rPr>
          <w:rFonts w:ascii="Arial" w:cs="Arial" w:eastAsia="Arial" w:hAnsi="Arial"/>
          <w:b w:val="false"/>
          <w:color w:val="1F2A37"/>
          <w:sz w:val="22"/>
          <w:szCs w:val="22"/>
          <w:rtl/>
        </w:rPr>
        <w:t xml:space="preserve">.</w:t>
      </w:r>
    </w:p>
    <w:p>
      <w:pPr>
        <w:pStyle w:val="Heading2"/>
        <w:bidi/>
      </w:pPr>
      <w:r>
        <w:rPr>
          <w:rFonts w:ascii="Arial" w:cs="Arial" w:eastAsia="Arial" w:hAnsi="Arial"/>
          <w:b w:val="false"/>
          <w:color w:val="1F2A37"/>
          <w:sz w:val="22"/>
          <w:szCs w:val="22"/>
          <w:rtl/>
        </w:rPr>
        <w:t xml:space="preserve">الرسالة</w:t>
      </w:r>
    </w:p>
    <w:p>
      <w:pPr>
        <w:pBdr>
          <w:right w:val="single" w:color="006A46" w:sz="24" w:space="8"/>
        </w:pBdr>
        <w:shd w:fill="F1F5F3" w:color="auto" w:val="clear"/>
        <w:bidi/>
        <w:spacing w:after="160" w:before="0" w:line="300"/>
        <w:ind w:start="120" w:end="120"/>
        <w:jc w:val="both"/>
      </w:pPr>
      <w:r>
        <w:rPr>
          <w:rFonts w:ascii="Arial" w:cs="Arial" w:eastAsia="Arial" w:hAnsi="Arial"/>
          <w:b w:val="false"/>
          <w:color w:val="1F2A37"/>
          <w:sz w:val="22"/>
          <w:szCs w:val="22"/>
          <w:rtl/>
        </w:rPr>
        <w:t xml:space="preserve">تحويل مشاريع المدينة غير الممولة إلى مشاريع قابلة للتنفيذ، عبر حلول تمويل مبتكرة تحقق أفضل قيمة للأمانة وتحمي ميزانيتها.</w:t>
      </w:r>
    </w:p>
    <w:p>
      <w:pPr>
        <w:pStyle w:val="Heading2"/>
        <w:bidi/>
      </w:pPr>
      <w:r>
        <w:rPr>
          <w:rFonts w:ascii="Arial" w:cs="Arial" w:eastAsia="Arial" w:hAnsi="Arial"/>
          <w:b w:val="false"/>
          <w:color w:val="1F2A37"/>
          <w:sz w:val="22"/>
          <w:szCs w:val="22"/>
          <w:rtl/>
        </w:rPr>
        <w:t xml:space="preserve">مسارات التمويل الأربعة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73"/>
        <w:gridCol w:w="2555"/>
        <w:gridCol w:w="2555"/>
        <w:gridCol w:w="2043"/>
      </w:tblGrid>
      <w:tr>
        <w:trPr>
          <w:tblHeader/>
        </w:trPr>
        <w:tc>
          <w:tcPr>
            <w:tcW w:type="dxa" w:w="1873"/>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المسار</w:t>
            </w:r>
          </w:p>
        </w:tc>
        <w:tc>
          <w:tcPr>
            <w:tcW w:type="dxa" w:w="2555"/>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الأدوات</w:t>
            </w:r>
          </w:p>
        </w:tc>
        <w:tc>
          <w:tcPr>
            <w:tcW w:type="dxa" w:w="2555"/>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يناسب</w:t>
            </w:r>
          </w:p>
        </w:tc>
        <w:tc>
          <w:tcPr>
            <w:tcW w:type="dxa" w:w="2043"/>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جهة التنفيذ</w:t>
            </w:r>
          </w:p>
        </w:tc>
      </w:tr>
      <w:tr>
        <w:tc>
          <w:tcPr>
            <w:tcW w:type="dxa" w:w="1873"/>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1. المستثمر (القطاع الخاص)</w:t>
            </w:r>
          </w:p>
        </w:tc>
        <w:tc>
          <w:tcPr>
            <w:tcW w:type="dxa" w:w="2555"/>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BOT، الامتياز، الخدمة مقابل الإعلان، التطوير مقابل الأرض، الرعايات وحقوق التسمية</w:t>
            </w:r>
          </w:p>
        </w:tc>
        <w:tc>
          <w:tcPr>
            <w:tcW w:type="dxa" w:w="2555"/>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المشاريع التي تولّد دخلاً يجذب المستثمر</w:t>
            </w:r>
          </w:p>
        </w:tc>
        <w:tc>
          <w:tcPr>
            <w:tcW w:type="dxa" w:w="2043"/>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وكالة الاستثمار والتخصيص (الطرح والتعاقد)</w:t>
            </w:r>
          </w:p>
        </w:tc>
      </w:tr>
      <w:tr>
        <w:tc>
          <w:tcPr>
            <w:tcW w:type="dxa" w:w="1873"/>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 الجهات الحكومية الأخرى</w:t>
            </w:r>
          </w:p>
        </w:tc>
        <w:tc>
          <w:tcPr>
            <w:tcW w:type="dxa" w:w="2555"/>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تمويل كامل أو مشترك، اتفاقيات تمويل مشترك</w:t>
            </w:r>
          </w:p>
        </w:tc>
        <w:tc>
          <w:tcPr>
            <w:tcW w:type="dxa" w:w="2555"/>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المشاريع ذات الأثر الاستراتيجي المشترك (الهيئة الملكية لمدينة الرياض، وزارة البلديات والإسكان، برامج الرؤية، الصناديق الحكومية)</w:t>
            </w:r>
          </w:p>
        </w:tc>
        <w:tc>
          <w:tcPr>
            <w:tcW w:type="dxa" w:w="2043"/>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إدارة الائتمان والتمويل مع الجهة الشريكة</w:t>
            </w:r>
          </w:p>
        </w:tc>
      </w:tr>
      <w:tr>
        <w:tc>
          <w:tcPr>
            <w:tcW w:type="dxa" w:w="1873"/>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3. التمويل البنكي</w:t>
            </w:r>
          </w:p>
        </w:tc>
        <w:tc>
          <w:tcPr>
            <w:tcW w:type="dxa" w:w="2555"/>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تمويل المشاريع عبر شركة مشروع، التمويل عبر المقاول (EPC+F)، التسهيلات البنكية</w:t>
            </w:r>
          </w:p>
        </w:tc>
        <w:tc>
          <w:tcPr>
            <w:tcW w:type="dxa" w:w="2555"/>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المشاريع الكبيرة ذات مصدر السداد الواضح</w:t>
            </w:r>
          </w:p>
        </w:tc>
        <w:tc>
          <w:tcPr>
            <w:tcW w:type="dxa" w:w="2043"/>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إدارة الائتمان والتمويل مع الإدارة المالية والشؤون القانونية</w:t>
            </w:r>
          </w:p>
        </w:tc>
      </w:tr>
      <w:tr>
        <w:tc>
          <w:tcPr>
            <w:tcW w:type="dxa" w:w="1873"/>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4. السندات والصكوك</w:t>
            </w:r>
          </w:p>
        </w:tc>
        <w:tc>
          <w:tcPr>
            <w:tcW w:type="dxa" w:w="2555"/>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صكوك مرتبطة بإيرادات مشروع، صكوك خضراء ومستدامة</w:t>
            </w:r>
          </w:p>
        </w:tc>
        <w:tc>
          <w:tcPr>
            <w:tcW w:type="dxa" w:w="2555"/>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المحافظ الكبيرة طويلة الأجل (بعد موافقات وزارة المالية والمركز الوطني لإدارة الدين وهيئة السوق المالية)</w:t>
            </w:r>
          </w:p>
        </w:tc>
        <w:tc>
          <w:tcPr>
            <w:tcW w:type="dxa" w:w="2043"/>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إدارة الائتمان والتمويل مع الإدارة المالية والشؤون القانونية</w:t>
            </w:r>
          </w:p>
        </w:tc>
      </w:tr>
    </w:tbl>
    <w:p>
      <w:pPr>
        <w:spacing w:after="120"/>
      </w:pPr>
    </w:p>
    <w:p>
      <w:pPr>
        <w:pBdr>
          <w:right w:val="single" w:color="006A46" w:sz="24" w:space="8"/>
        </w:pBdr>
        <w:shd w:fill="F1F5F3" w:color="auto" w:val="clear"/>
        <w:bidi/>
        <w:spacing w:after="160" w:before="0" w:line="300"/>
        <w:ind w:start="120" w:end="120"/>
        <w:jc w:val="both"/>
      </w:pPr>
      <w:r>
        <w:rPr>
          <w:rFonts w:ascii="Arial" w:cs="Arial" w:eastAsia="Arial" w:hAnsi="Arial"/>
          <w:b/>
          <w:bCs/>
          <w:color w:val="1F2A37"/>
          <w:sz w:val="22"/>
          <w:szCs w:val="22"/>
          <w:rtl/>
        </w:rPr>
        <w:t xml:space="preserve">قاعدة الأولوية:</w:t>
      </w:r>
      <w:r>
        <w:rPr>
          <w:rFonts w:ascii="Arial" w:cs="Arial" w:eastAsia="Arial" w:hAnsi="Arial"/>
          <w:b w:val="false"/>
          <w:color w:val="1F2A37"/>
          <w:sz w:val="22"/>
          <w:szCs w:val="22"/>
          <w:rtl/>
        </w:rPr>
        <w:t xml:space="preserve"> المستثمر ← الجهة الحكومية ← البنوك ← السندات. فالمساران الأولان </w:t>
      </w:r>
      <w:r>
        <w:rPr>
          <w:rFonts w:ascii="Arial" w:cs="Arial" w:eastAsia="Arial" w:hAnsi="Arial"/>
          <w:b/>
          <w:bCs/>
          <w:color w:val="1F2A37"/>
          <w:sz w:val="22"/>
          <w:szCs w:val="22"/>
          <w:rtl/>
        </w:rPr>
        <w:t xml:space="preserve">لا يرتّبان ديناً</w:t>
      </w:r>
      <w:r>
        <w:rPr>
          <w:rFonts w:ascii="Arial" w:cs="Arial" w:eastAsia="Arial" w:hAnsi="Arial"/>
          <w:b w:val="false"/>
          <w:color w:val="1F2A37"/>
          <w:sz w:val="22"/>
          <w:szCs w:val="22"/>
          <w:rtl/>
        </w:rPr>
        <w:t xml:space="preserve"> على الأمانة، والأخيران يرتّبانه.</w:t>
      </w:r>
    </w:p>
    <w:p>
      <w:pPr>
        <w:pStyle w:val="Heading2"/>
        <w:bidi/>
      </w:pPr>
      <w:r>
        <w:rPr>
          <w:rFonts w:ascii="Arial" w:cs="Arial" w:eastAsia="Arial" w:hAnsi="Arial"/>
          <w:b w:val="false"/>
          <w:color w:val="1F2A37"/>
          <w:sz w:val="22"/>
          <w:szCs w:val="22"/>
          <w:rtl/>
        </w:rPr>
        <w:t xml:space="preserve">معايير اختيار المسار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السؤال</w:t>
            </w:r>
          </w:p>
        </w:tc>
        <w:tc>
          <w:tcPr>
            <w:tcW w:type="dxa" w:w="4513"/>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إذا كانت الإجابة نعم</w:t>
            </w:r>
          </w:p>
        </w:tc>
      </w:tr>
      <w:tr>
        <w:tc>
          <w:tcPr>
            <w:tcW w:type="dxa" w:w="4513"/>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هل يولّد المشروع دخلاً؟</w:t>
            </w:r>
          </w:p>
        </w:tc>
        <w:tc>
          <w:tcPr>
            <w:tcW w:type="dxa" w:w="4513"/>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مسار المستثمر أولاً</w:t>
            </w:r>
          </w:p>
        </w:tc>
      </w:tr>
      <w:tr>
        <w:tc>
          <w:tcPr>
            <w:tcW w:type="dxa" w:w="4513"/>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هل لجهة حكومية مصلحة مباشرة فيه؟</w:t>
            </w:r>
          </w:p>
        </w:tc>
        <w:tc>
          <w:tcPr>
            <w:tcW w:type="dxa" w:w="4513"/>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المسار الحكومي</w:t>
            </w:r>
          </w:p>
        </w:tc>
      </w:tr>
      <w:tr>
        <w:tc>
          <w:tcPr>
            <w:tcW w:type="dxa" w:w="4513"/>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هل هو مشروع كبير بمصدر سداد واضح؟</w:t>
            </w:r>
          </w:p>
        </w:tc>
        <w:tc>
          <w:tcPr>
            <w:tcW w:type="dxa" w:w="4513"/>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التمويل البنكي</w:t>
            </w:r>
          </w:p>
        </w:tc>
      </w:tr>
      <w:tr>
        <w:tc>
          <w:tcPr>
            <w:tcW w:type="dxa" w:w="4513"/>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هل هو محفظة مشاريع كبيرة طويلة الأجل؟</w:t>
            </w:r>
          </w:p>
        </w:tc>
        <w:tc>
          <w:tcPr>
            <w:tcW w:type="dxa" w:w="4513"/>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السندات والصكوك</w:t>
            </w:r>
          </w:p>
        </w:tc>
      </w:tr>
      <w:tr>
        <w:tc>
          <w:tcPr>
            <w:tcW w:type="dxa" w:w="4513"/>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هل يجمع أكثر من خاصية؟</w:t>
            </w:r>
          </w:p>
        </w:tc>
        <w:tc>
          <w:tcPr>
            <w:tcW w:type="dxa" w:w="4513"/>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تمويل مختلط (مثل مشاركة جهة حكومية في جزء والمستثمر في الباقي)</w:t>
            </w:r>
          </w:p>
        </w:tc>
      </w:tr>
    </w:tbl>
    <w:p>
      <w:pPr>
        <w:spacing w:after="120"/>
      </w:pPr>
    </w:p>
    <w:p>
      <w:pPr>
        <w:pStyle w:val="Heading2"/>
        <w:bidi/>
      </w:pPr>
      <w:r>
        <w:rPr>
          <w:rFonts w:ascii="Arial" w:cs="Arial" w:eastAsia="Arial" w:hAnsi="Arial"/>
          <w:b w:val="false"/>
          <w:color w:val="1F2A37"/>
          <w:sz w:val="22"/>
          <w:szCs w:val="22"/>
          <w:rtl/>
        </w:rPr>
        <w:t xml:space="preserve">مصادر السداد في مساري البنوك والسندات</w:t>
      </w:r>
    </w:p>
    <w:p>
      <w:pPr>
        <w:pStyle w:val="ListParagraph"/>
        <w:numPr>
          <w:ilvl w:val="0"/>
          <w:numId w:val="5"/>
        </w:numPr>
        <w:bidi/>
        <w:spacing w:after="60" w:line="290"/>
        <w:jc w:val="both"/>
      </w:pPr>
      <w:r>
        <w:rPr>
          <w:rFonts w:ascii="Arial" w:cs="Arial" w:eastAsia="Arial" w:hAnsi="Arial"/>
          <w:b/>
          <w:bCs/>
          <w:color w:val="1F2A37"/>
          <w:sz w:val="22"/>
          <w:szCs w:val="22"/>
          <w:rtl/>
        </w:rPr>
        <w:t xml:space="preserve">إيرادات الأمانة</w:t>
      </w:r>
      <w:r>
        <w:rPr>
          <w:rFonts w:ascii="Arial" w:cs="Arial" w:eastAsia="Arial" w:hAnsi="Arial"/>
          <w:b w:val="false"/>
          <w:color w:val="1F2A37"/>
          <w:sz w:val="22"/>
          <w:szCs w:val="22"/>
          <w:rtl/>
        </w:rPr>
        <w:t xml:space="preserve"> — المصدر الرئيسي.</w:t>
      </w:r>
    </w:p>
    <w:p>
      <w:pPr>
        <w:pStyle w:val="ListParagraph"/>
        <w:numPr>
          <w:ilvl w:val="0"/>
          <w:numId w:val="5"/>
        </w:numPr>
        <w:bidi/>
        <w:spacing w:after="60" w:line="290"/>
        <w:jc w:val="both"/>
      </w:pPr>
      <w:r>
        <w:rPr>
          <w:rFonts w:ascii="Arial" w:cs="Arial" w:eastAsia="Arial" w:hAnsi="Arial"/>
          <w:b/>
          <w:bCs/>
          <w:color w:val="1F2A37"/>
          <w:sz w:val="22"/>
          <w:szCs w:val="22"/>
          <w:rtl/>
        </w:rPr>
        <w:t xml:space="preserve">إيرادات المشروع نفسه</w:t>
      </w:r>
      <w:r>
        <w:rPr>
          <w:rFonts w:ascii="Arial" w:cs="Arial" w:eastAsia="Arial" w:hAnsi="Arial"/>
          <w:b w:val="false"/>
          <w:color w:val="1F2A37"/>
          <w:sz w:val="22"/>
          <w:szCs w:val="22"/>
          <w:rtl/>
        </w:rPr>
        <w:t xml:space="preserve"> إن وُجدت، وتخفف العبء على إيرادات الأمانة.</w:t>
      </w:r>
    </w:p>
    <w:p>
      <w:pPr>
        <w:pStyle w:val="ListParagraph"/>
        <w:numPr>
          <w:ilvl w:val="0"/>
          <w:numId w:val="5"/>
        </w:numPr>
        <w:bidi/>
        <w:spacing w:after="60" w:line="290"/>
        <w:jc w:val="both"/>
      </w:pPr>
      <w:r>
        <w:rPr>
          <w:rFonts w:ascii="Arial" w:cs="Arial" w:eastAsia="Arial" w:hAnsi="Arial"/>
          <w:b/>
          <w:bCs/>
          <w:color w:val="1F2A37"/>
          <w:sz w:val="22"/>
          <w:szCs w:val="22"/>
          <w:rtl/>
        </w:rPr>
        <w:t xml:space="preserve">مخصصات الميزانية</w:t>
      </w:r>
      <w:r>
        <w:rPr>
          <w:rFonts w:ascii="Arial" w:cs="Arial" w:eastAsia="Arial" w:hAnsi="Arial"/>
          <w:b w:val="false"/>
          <w:color w:val="1F2A37"/>
          <w:sz w:val="22"/>
          <w:szCs w:val="22"/>
          <w:rtl/>
        </w:rPr>
        <w:t xml:space="preserve"> عند الحاجة.</w:t>
      </w:r>
    </w:p>
    <w:p>
      <w:pPr>
        <w:pBdr>
          <w:right w:val="single" w:color="B7801A" w:sz="24" w:space="8"/>
        </w:pBdr>
        <w:shd w:fill="FBF6EC" w:color="auto" w:val="clear"/>
        <w:bidi/>
        <w:spacing w:after="160" w:before="0" w:line="300"/>
        <w:ind w:start="120" w:end="120"/>
        <w:jc w:val="both"/>
      </w:pPr>
      <w:r>
        <w:rPr>
          <w:rFonts w:ascii="Arial" w:cs="Arial" w:eastAsia="Arial" w:hAnsi="Arial"/>
          <w:b w:val="false"/>
          <w:color w:val="1F2A37"/>
          <w:sz w:val="22"/>
          <w:szCs w:val="22"/>
          <w:rtl/>
        </w:rPr>
        <w:t xml:space="preserve">كل ريال إيراد إضافي يرفع </w:t>
      </w:r>
      <w:r>
        <w:rPr>
          <w:rFonts w:ascii="Arial" w:cs="Arial" w:eastAsia="Arial" w:hAnsi="Arial"/>
          <w:b/>
          <w:bCs/>
          <w:color w:val="1F2A37"/>
          <w:sz w:val="22"/>
          <w:szCs w:val="22"/>
          <w:rtl/>
        </w:rPr>
        <w:t xml:space="preserve">قدرة الأمانة على الاقتراض</w:t>
      </w:r>
      <w:r>
        <w:rPr>
          <w:rFonts w:ascii="Arial" w:cs="Arial" w:eastAsia="Arial" w:hAnsi="Arial"/>
          <w:b w:val="false"/>
          <w:color w:val="1F2A37"/>
          <w:sz w:val="22"/>
          <w:szCs w:val="22"/>
          <w:rtl/>
        </w:rPr>
        <w:t xml:space="preserve">؛ ولذلك تُحسب سقوف الاقتراض على </w:t>
      </w:r>
      <w:r>
        <w:rPr>
          <w:rFonts w:ascii="Arial" w:cs="Arial" w:eastAsia="Arial" w:hAnsi="Arial"/>
          <w:b/>
          <w:bCs/>
          <w:color w:val="1F2A37"/>
          <w:sz w:val="22"/>
          <w:szCs w:val="22"/>
          <w:rtl/>
        </w:rPr>
        <w:t xml:space="preserve">الإيرادات المستقرة</w:t>
      </w:r>
      <w:r>
        <w:rPr>
          <w:rFonts w:ascii="Arial" w:cs="Arial" w:eastAsia="Arial" w:hAnsi="Arial"/>
          <w:b w:val="false"/>
          <w:color w:val="1F2A37"/>
          <w:sz w:val="22"/>
          <w:szCs w:val="22"/>
          <w:rtl/>
        </w:rPr>
        <w:t xml:space="preserve"> فقط، ولا يُرفع أي تمويل بنكي أو سندات للّجنة دون مراجعة إدارة الاستدامة المالية لقدرة السداد.</w:t>
      </w:r>
    </w:p>
    <w:p>
      <w:pPr>
        <w:pStyle w:val="Heading2"/>
        <w:bidi/>
      </w:pPr>
      <w:r>
        <w:rPr>
          <w:rFonts w:ascii="Arial" w:cs="Arial" w:eastAsia="Arial" w:hAnsi="Arial"/>
          <w:b w:val="false"/>
          <w:color w:val="1F2A37"/>
          <w:sz w:val="22"/>
          <w:szCs w:val="22"/>
          <w:rtl/>
        </w:rPr>
        <w:t xml:space="preserve">مسار المشروع من الفكرة إلى التنفيذ</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694"/>
        <w:gridCol w:w="3610"/>
      </w:tblGrid>
      <w:tr>
        <w:trPr>
          <w:tblHeader/>
        </w:trPr>
        <w:tc>
          <w:tcPr>
            <w:tcW w:type="dxa" w:w="722"/>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الخطوة</w:t>
            </w:r>
          </w:p>
        </w:tc>
        <w:tc>
          <w:tcPr>
            <w:tcW w:type="dxa" w:w="4694"/>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النشاط</w:t>
            </w:r>
          </w:p>
        </w:tc>
        <w:tc>
          <w:tcPr>
            <w:tcW w:type="dxa" w:w="3610"/>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المسؤول</w:t>
            </w:r>
          </w:p>
        </w:tc>
      </w:tr>
      <w:tr>
        <w:tc>
          <w:tcPr>
            <w:tcW w:type="dxa" w:w="722"/>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1</w:t>
            </w:r>
          </w:p>
        </w:tc>
        <w:tc>
          <w:tcPr>
            <w:tcW w:type="dxa" w:w="469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تحديد الاحتياج: رفع المشاريع غير الممولة</w:t>
            </w:r>
          </w:p>
        </w:tc>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إدارات المشاريع والقطاعات والبلديات</w:t>
            </w:r>
          </w:p>
        </w:tc>
      </w:tr>
      <w:tr>
        <w:tc>
          <w:tcPr>
            <w:tcW w:type="dxa" w:w="722"/>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w:t>
            </w:r>
          </w:p>
        </w:tc>
        <w:tc>
          <w:tcPr>
            <w:tcW w:type="dxa" w:w="469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الفرز الأولي: هل يصلح للتمويل من خارج الميزانية؟</w:t>
            </w:r>
          </w:p>
        </w:tc>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إدارة الائتمان والتمويل</w:t>
            </w:r>
          </w:p>
        </w:tc>
      </w:tr>
      <w:tr>
        <w:tc>
          <w:tcPr>
            <w:tcW w:type="dxa" w:w="722"/>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3</w:t>
            </w:r>
          </w:p>
        </w:tc>
        <w:tc>
          <w:tcPr>
            <w:tcW w:type="dxa" w:w="469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الدراسة والهيكلة ومقارنة المسارات الأربعة</w:t>
            </w:r>
          </w:p>
        </w:tc>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إدارة الائتمان والتمويل</w:t>
            </w:r>
          </w:p>
        </w:tc>
      </w:tr>
      <w:tr>
        <w:tc>
          <w:tcPr>
            <w:tcW w:type="dxa" w:w="722"/>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4</w:t>
            </w:r>
          </w:p>
        </w:tc>
        <w:tc>
          <w:tcPr>
            <w:tcW w:type="dxa" w:w="469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مراجعة الاستدامة: الالتزامات المستقبلية وقدرة السداد</w:t>
            </w:r>
          </w:p>
        </w:tc>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إدارة الاستدامة المالية</w:t>
            </w:r>
          </w:p>
        </w:tc>
      </w:tr>
      <w:tr>
        <w:tc>
          <w:tcPr>
            <w:tcW w:type="dxa" w:w="722"/>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5</w:t>
            </w:r>
          </w:p>
        </w:tc>
        <w:tc>
          <w:tcPr>
            <w:tcW w:type="dxa" w:w="469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القرار: اعتماد المسار والهيكل</w:t>
            </w:r>
          </w:p>
        </w:tc>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اللجنة العليا للتمويل (والمركز الوطني للتخصيص عند انطباق نطاقه)</w:t>
            </w:r>
          </w:p>
        </w:tc>
      </w:tr>
      <w:tr>
        <w:tc>
          <w:tcPr>
            <w:tcW w:type="dxa" w:w="722"/>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6</w:t>
            </w:r>
          </w:p>
        </w:tc>
        <w:tc>
          <w:tcPr>
            <w:tcW w:type="dxa" w:w="469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التنفيذ: الطرح والتعاقد أو اتفاقية التمويل</w:t>
            </w:r>
          </w:p>
        </w:tc>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وكالة الاستثمار والتخصيص / الإدارة / الجهة الشريكة</w:t>
            </w:r>
          </w:p>
        </w:tc>
      </w:tr>
      <w:tr>
        <w:tc>
          <w:tcPr>
            <w:tcW w:type="dxa" w:w="722"/>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7</w:t>
            </w:r>
          </w:p>
        </w:tc>
        <w:tc>
          <w:tcPr>
            <w:tcW w:type="dxa" w:w="469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متابعة الأثر المالي والوفر المحقق</w:t>
            </w:r>
          </w:p>
        </w:tc>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إدارة الائتمان والتمويل</w:t>
            </w:r>
          </w:p>
        </w:tc>
      </w:tr>
    </w:tbl>
    <w:p>
      <w:pPr>
        <w:spacing w:after="120"/>
      </w:pPr>
    </w:p>
    <w:p>
      <w:pPr>
        <w:pStyle w:val="Heading2"/>
        <w:bidi/>
      </w:pPr>
      <w:r>
        <w:rPr>
          <w:rFonts w:ascii="Arial" w:cs="Arial" w:eastAsia="Arial" w:hAnsi="Arial"/>
          <w:b w:val="false"/>
          <w:color w:val="1F2A37"/>
          <w:sz w:val="22"/>
          <w:szCs w:val="22"/>
          <w:rtl/>
        </w:rPr>
        <w:t xml:space="preserve">دور الإدارة في اللجنة العليا للتمويل</w:t>
      </w:r>
    </w:p>
    <w:p>
      <w:pPr>
        <w:pStyle w:val="Heading3"/>
        <w:bidi/>
      </w:pPr>
      <w:r>
        <w:rPr>
          <w:rFonts w:ascii="Arial" w:cs="Arial" w:eastAsia="Arial" w:hAnsi="Arial"/>
          <w:b w:val="false"/>
          <w:color w:val="1F2A37"/>
          <w:sz w:val="22"/>
          <w:szCs w:val="22"/>
          <w:rtl/>
        </w:rPr>
        <w:t xml:space="preserve">أمين سر اللجنة</w:t>
      </w:r>
    </w:p>
    <w:p>
      <w:pPr>
        <w:pStyle w:val="ListParagraph"/>
        <w:numPr>
          <w:ilvl w:val="0"/>
          <w:numId w:val="3"/>
        </w:numPr>
        <w:bidi/>
        <w:spacing w:after="60" w:line="290"/>
        <w:jc w:val="both"/>
      </w:pPr>
      <w:r>
        <w:rPr>
          <w:rFonts w:ascii="Arial" w:cs="Arial" w:eastAsia="Arial" w:hAnsi="Arial"/>
          <w:b w:val="false"/>
          <w:color w:val="1F2A37"/>
          <w:sz w:val="22"/>
          <w:szCs w:val="22"/>
          <w:rtl/>
        </w:rPr>
        <w:t xml:space="preserve">قبل الاجتماع: استقبال المشاريع، والدراسة، ومقارنة المسارات، وأخذ رأي الاستدامة، وإعداد الملف والتوصية وجدول الأعمال.</w:t>
      </w:r>
    </w:p>
    <w:p>
      <w:pPr>
        <w:pStyle w:val="ListParagraph"/>
        <w:numPr>
          <w:ilvl w:val="0"/>
          <w:numId w:val="3"/>
        </w:numPr>
        <w:bidi/>
        <w:spacing w:after="60" w:line="290"/>
        <w:jc w:val="both"/>
      </w:pPr>
      <w:r>
        <w:rPr>
          <w:rFonts w:ascii="Arial" w:cs="Arial" w:eastAsia="Arial" w:hAnsi="Arial"/>
          <w:b w:val="false"/>
          <w:color w:val="1F2A37"/>
          <w:sz w:val="22"/>
          <w:szCs w:val="22"/>
          <w:rtl/>
        </w:rPr>
        <w:t xml:space="preserve">أثناء الاجتماع: عرض الملفات والتوصيات وتدوين المحضر والقرارات.</w:t>
      </w:r>
    </w:p>
    <w:p>
      <w:pPr>
        <w:pStyle w:val="ListParagraph"/>
        <w:numPr>
          <w:ilvl w:val="0"/>
          <w:numId w:val="3"/>
        </w:numPr>
        <w:bidi/>
        <w:spacing w:after="60" w:line="290"/>
        <w:jc w:val="both"/>
      </w:pPr>
      <w:r>
        <w:rPr>
          <w:rFonts w:ascii="Arial" w:cs="Arial" w:eastAsia="Arial" w:hAnsi="Arial"/>
          <w:b w:val="false"/>
          <w:color w:val="1F2A37"/>
          <w:sz w:val="22"/>
          <w:szCs w:val="22"/>
          <w:rtl/>
        </w:rPr>
        <w:t xml:space="preserve">بعد الاجتماع: إبلاغ جهات التنفيذ ومتابعة القرارات ورفع تقارير الإنجاز.</w:t>
      </w:r>
    </w:p>
    <w:p>
      <w:pPr>
        <w:pStyle w:val="Heading3"/>
        <w:bidi/>
      </w:pPr>
      <w:r>
        <w:rPr>
          <w:rFonts w:ascii="Arial" w:cs="Arial" w:eastAsia="Arial" w:hAnsi="Arial"/>
          <w:b w:val="false"/>
          <w:color w:val="1F2A37"/>
          <w:sz w:val="22"/>
          <w:szCs w:val="22"/>
          <w:rtl/>
        </w:rPr>
        <w:t xml:space="preserve">الذراع التمكيني للّجنة</w:t>
      </w:r>
    </w:p>
    <w:p>
      <w:pPr>
        <w:pStyle w:val="ListParagraph"/>
        <w:numPr>
          <w:ilvl w:val="0"/>
          <w:numId w:val="6"/>
        </w:numPr>
        <w:bidi/>
        <w:spacing w:after="60" w:line="290"/>
        <w:jc w:val="both"/>
      </w:pPr>
      <w:r>
        <w:rPr>
          <w:rFonts w:ascii="Arial" w:cs="Arial" w:eastAsia="Arial" w:hAnsi="Arial"/>
          <w:b/>
          <w:bCs/>
          <w:color w:val="1F2A37"/>
          <w:sz w:val="22"/>
          <w:szCs w:val="22"/>
          <w:rtl/>
        </w:rPr>
        <w:t xml:space="preserve">التمكين الفني:</w:t>
      </w:r>
      <w:r>
        <w:rPr>
          <w:rFonts w:ascii="Arial" w:cs="Arial" w:eastAsia="Arial" w:hAnsi="Arial"/>
          <w:b w:val="false"/>
          <w:color w:val="1F2A37"/>
          <w:sz w:val="22"/>
          <w:szCs w:val="22"/>
          <w:rtl/>
        </w:rPr>
        <w:t xml:space="preserve"> دراسات الجدوى، والنماذج المالية، ومقارنة المسارات، والتوصية لكل مشروع.</w:t>
      </w:r>
    </w:p>
    <w:p>
      <w:pPr>
        <w:pStyle w:val="ListParagraph"/>
        <w:numPr>
          <w:ilvl w:val="0"/>
          <w:numId w:val="6"/>
        </w:numPr>
        <w:bidi/>
        <w:spacing w:after="60" w:line="290"/>
        <w:jc w:val="both"/>
      </w:pPr>
      <w:r>
        <w:rPr>
          <w:rFonts w:ascii="Arial" w:cs="Arial" w:eastAsia="Arial" w:hAnsi="Arial"/>
          <w:b/>
          <w:bCs/>
          <w:color w:val="1F2A37"/>
          <w:sz w:val="22"/>
          <w:szCs w:val="22"/>
          <w:rtl/>
        </w:rPr>
        <w:t xml:space="preserve">التمكين التنظيمي:</w:t>
      </w:r>
      <w:r>
        <w:rPr>
          <w:rFonts w:ascii="Arial" w:cs="Arial" w:eastAsia="Arial" w:hAnsi="Arial"/>
          <w:b w:val="false"/>
          <w:color w:val="1F2A37"/>
          <w:sz w:val="22"/>
          <w:szCs w:val="22"/>
          <w:rtl/>
        </w:rPr>
        <w:t xml:space="preserve"> ميثاق اللجنة، ومعايير اختيار المسار، وسياسات التمويل، والأدلة والإجراءات.</w:t>
      </w:r>
    </w:p>
    <w:p>
      <w:pPr>
        <w:pStyle w:val="ListParagraph"/>
        <w:numPr>
          <w:ilvl w:val="0"/>
          <w:numId w:val="6"/>
        </w:numPr>
        <w:bidi/>
        <w:spacing w:after="60" w:line="290"/>
        <w:jc w:val="both"/>
      </w:pPr>
      <w:r>
        <w:rPr>
          <w:rFonts w:ascii="Arial" w:cs="Arial" w:eastAsia="Arial" w:hAnsi="Arial"/>
          <w:b/>
          <w:bCs/>
          <w:color w:val="1F2A37"/>
          <w:sz w:val="22"/>
          <w:szCs w:val="22"/>
          <w:rtl/>
        </w:rPr>
        <w:t xml:space="preserve">التمكين بالعلاقات:</w:t>
      </w:r>
      <w:r>
        <w:rPr>
          <w:rFonts w:ascii="Arial" w:cs="Arial" w:eastAsia="Arial" w:hAnsi="Arial"/>
          <w:b w:val="false"/>
          <w:color w:val="1F2A37"/>
          <w:sz w:val="22"/>
          <w:szCs w:val="22"/>
          <w:rtl/>
        </w:rPr>
        <w:t xml:space="preserve"> جاهزية دائمة لكل مسار عبر العلاقة مع البنوك والجهات الحكومية والمستثمرين.</w:t>
      </w:r>
    </w:p>
    <w:p>
      <w:pPr>
        <w:pStyle w:val="ListParagraph"/>
        <w:numPr>
          <w:ilvl w:val="0"/>
          <w:numId w:val="6"/>
        </w:numPr>
        <w:bidi/>
        <w:spacing w:after="60" w:line="290"/>
        <w:jc w:val="both"/>
      </w:pPr>
      <w:r>
        <w:rPr>
          <w:rFonts w:ascii="Arial" w:cs="Arial" w:eastAsia="Arial" w:hAnsi="Arial"/>
          <w:b/>
          <w:bCs/>
          <w:color w:val="1F2A37"/>
          <w:sz w:val="22"/>
          <w:szCs w:val="22"/>
          <w:rtl/>
        </w:rPr>
        <w:t xml:space="preserve">التمكين بالمعلومات:</w:t>
      </w:r>
      <w:r>
        <w:rPr>
          <w:rFonts w:ascii="Arial" w:cs="Arial" w:eastAsia="Arial" w:hAnsi="Arial"/>
          <w:b w:val="false"/>
          <w:color w:val="1F2A37"/>
          <w:sz w:val="22"/>
          <w:szCs w:val="22"/>
          <w:rtl/>
        </w:rPr>
        <w:t xml:space="preserve"> لوحة محفظة التمويل (المشاريع، الحالة، المسار، القيمة، الالتزامات) ورصد أسعار التمويل وفرص السوق.</w:t>
      </w:r>
    </w:p>
    <w:p>
      <w:pPr>
        <w:pStyle w:val="ListParagraph"/>
        <w:numPr>
          <w:ilvl w:val="0"/>
          <w:numId w:val="6"/>
        </w:numPr>
        <w:bidi/>
        <w:spacing w:after="60" w:line="290"/>
        <w:jc w:val="both"/>
      </w:pPr>
      <w:r>
        <w:rPr>
          <w:rFonts w:ascii="Arial" w:cs="Arial" w:eastAsia="Arial" w:hAnsi="Arial"/>
          <w:b/>
          <w:bCs/>
          <w:color w:val="1F2A37"/>
          <w:sz w:val="22"/>
          <w:szCs w:val="22"/>
          <w:rtl/>
        </w:rPr>
        <w:t xml:space="preserve">التمكين النظامي:</w:t>
      </w:r>
      <w:r>
        <w:rPr>
          <w:rFonts w:ascii="Arial" w:cs="Arial" w:eastAsia="Arial" w:hAnsi="Arial"/>
          <w:b w:val="false"/>
          <w:color w:val="1F2A37"/>
          <w:sz w:val="22"/>
          <w:szCs w:val="22"/>
          <w:rtl/>
        </w:rPr>
        <w:t xml:space="preserve"> تجهيز ملفات موافقات وزارة المالية والمركز الوطني لإدارة الدين وهيئة السوق المالية والمركز الوطني للتخصيص.</w:t>
      </w:r>
    </w:p>
    <w:p>
      <w:pPr>
        <w:pStyle w:val="ListParagraph"/>
        <w:numPr>
          <w:ilvl w:val="0"/>
          <w:numId w:val="6"/>
        </w:numPr>
        <w:bidi/>
        <w:spacing w:after="60" w:line="290"/>
        <w:jc w:val="both"/>
      </w:pPr>
      <w:r>
        <w:rPr>
          <w:rFonts w:ascii="Arial" w:cs="Arial" w:eastAsia="Arial" w:hAnsi="Arial"/>
          <w:b/>
          <w:bCs/>
          <w:color w:val="1F2A37"/>
          <w:sz w:val="22"/>
          <w:szCs w:val="22"/>
          <w:rtl/>
        </w:rPr>
        <w:t xml:space="preserve">تمكين القدرات:</w:t>
      </w:r>
      <w:r>
        <w:rPr>
          <w:rFonts w:ascii="Arial" w:cs="Arial" w:eastAsia="Arial" w:hAnsi="Arial"/>
          <w:b w:val="false"/>
          <w:color w:val="1F2A37"/>
          <w:sz w:val="22"/>
          <w:szCs w:val="22"/>
          <w:rtl/>
        </w:rPr>
        <w:t xml:space="preserve"> تأهيل كوادر الأمانة على أدوات التمويل والشراكات.</w:t>
      </w:r>
    </w:p>
    <w:p>
      <w:pPr>
        <w:pStyle w:val="Heading2"/>
        <w:bidi/>
      </w:pPr>
      <w:r>
        <w:rPr>
          <w:rFonts w:ascii="Arial" w:cs="Arial" w:eastAsia="Arial" w:hAnsi="Arial"/>
          <w:b w:val="false"/>
          <w:color w:val="1F2A37"/>
          <w:sz w:val="22"/>
          <w:szCs w:val="22"/>
          <w:rtl/>
        </w:rPr>
        <w:t xml:space="preserve">الأقسام</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القسم</w:t>
            </w:r>
          </w:p>
        </w:tc>
        <w:tc>
          <w:tcPr>
            <w:tcW w:type="dxa" w:w="631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المسؤوليات الرئيسية</w:t>
            </w:r>
          </w:p>
        </w:tc>
      </w:tr>
      <w:tr>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قسم أمانة اللجنة والمحفظة</w:t>
            </w:r>
          </w:p>
        </w:tc>
        <w:tc>
          <w:tcPr>
            <w:tcW w:type="dxa" w:w="631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أعمال أمانة سر اللجنة العليا، ومحفظة المشاريع غير الممولة، والفرز والتوصية بالمسار.</w:t>
            </w:r>
          </w:p>
        </w:tc>
      </w:tr>
      <w:tr>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قسم التمويل الاستثماري والحكومي</w:t>
            </w:r>
          </w:p>
        </w:tc>
        <w:tc>
          <w:tcPr>
            <w:tcW w:type="dxa" w:w="631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مسار المستثمر (الهيكلة والتسليم لوكالة الاستثمار، والرعايات وحقوق التسمية)، والمسار الحكومي (اتفاقيات التمويل المشترك).</w:t>
            </w:r>
          </w:p>
        </w:tc>
      </w:tr>
      <w:tr>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قسم التمويل البنكي وأسواق المال</w:t>
            </w:r>
          </w:p>
        </w:tc>
        <w:tc>
          <w:tcPr>
            <w:tcW w:type="dxa" w:w="631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العلاقة مع البنوك، وهيكلة التمويل البنكي وتمويل المشاريع، وملف السندات والصكوك والموافقات النظامية.</w:t>
            </w:r>
          </w:p>
        </w:tc>
      </w:tr>
    </w:tbl>
    <w:p>
      <w:pPr>
        <w:spacing w:after="120"/>
      </w:pPr>
    </w:p>
    <w:p>
      <w:pPr>
        <w:pStyle w:val="Heading2"/>
        <w:bidi/>
      </w:pPr>
      <w:r>
        <w:rPr>
          <w:rFonts w:ascii="Arial" w:cs="Arial" w:eastAsia="Arial" w:hAnsi="Arial"/>
          <w:b w:val="false"/>
          <w:color w:val="1F2A37"/>
          <w:sz w:val="22"/>
          <w:szCs w:val="22"/>
          <w:rtl/>
        </w:rPr>
        <w:t xml:space="preserve">الأهداف ومؤشرات الأداء</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3610"/>
        <w:gridCol w:w="4874"/>
      </w:tblGrid>
      <w:tr>
        <w:trPr>
          <w:tblHeader/>
        </w:trPr>
        <w:tc>
          <w:tcPr>
            <w:tcW w:type="dxa" w:w="542"/>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w:t>
            </w:r>
          </w:p>
        </w:tc>
        <w:tc>
          <w:tcPr>
            <w:tcW w:type="dxa" w:w="3610"/>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الهدف</w:t>
            </w:r>
          </w:p>
        </w:tc>
        <w:tc>
          <w:tcPr>
            <w:tcW w:type="dxa" w:w="4874"/>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مؤشرات الأداء</w:t>
            </w:r>
          </w:p>
        </w:tc>
      </w:tr>
      <w:tr>
        <w:tc>
          <w:tcPr>
            <w:tcW w:type="dxa" w:w="542"/>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1</w:t>
            </w:r>
          </w:p>
        </w:tc>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محفظة واضحة ومرتّبة لمشاريع المدينة غير الممولة</w:t>
            </w:r>
          </w:p>
        </w:tc>
        <w:tc>
          <w:tcPr>
            <w:tcW w:type="dxa" w:w="487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عدد المشاريع في المحفظة</w:t>
            </w:r>
          </w:p>
          <w:p>
            <w:pPr>
              <w:bidi/>
              <w:spacing w:after="20"/>
            </w:pPr>
            <w:r>
              <w:rPr>
                <w:rFonts w:ascii="Arial" w:cs="Arial" w:eastAsia="Arial" w:hAnsi="Arial"/>
                <w:b w:val="false"/>
                <w:color w:val="1F2A37"/>
                <w:sz w:val="19"/>
                <w:szCs w:val="19"/>
                <w:rtl/>
              </w:rPr>
              <w:t xml:space="preserve">نسبة المشاريع التي اكتمل فرزها</w:t>
            </w:r>
          </w:p>
        </w:tc>
      </w:tr>
      <w:tr>
        <w:tc>
          <w:tcPr>
            <w:tcW w:type="dxa" w:w="542"/>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w:t>
            </w:r>
          </w:p>
        </w:tc>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تمويل مشاريع المدينة من خارج الميزانية</w:t>
            </w:r>
          </w:p>
        </w:tc>
        <w:tc>
          <w:tcPr>
            <w:tcW w:type="dxa" w:w="487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القيمة الإجمالية للمشاريع الممولة من خارج الميزانية</w:t>
            </w:r>
          </w:p>
          <w:p>
            <w:pPr>
              <w:bidi/>
              <w:spacing w:after="20"/>
            </w:pPr>
            <w:r>
              <w:rPr>
                <w:rFonts w:ascii="Arial" w:cs="Arial" w:eastAsia="Arial" w:hAnsi="Arial"/>
                <w:b w:val="false"/>
                <w:color w:val="1F2A37"/>
                <w:sz w:val="19"/>
                <w:szCs w:val="19"/>
                <w:rtl/>
              </w:rPr>
              <w:t xml:space="preserve">عدد المشاريع المعتمدة من اللجنة والمنفذة</w:t>
            </w:r>
          </w:p>
          <w:p>
            <w:pPr>
              <w:bidi/>
              <w:spacing w:after="20"/>
            </w:pPr>
            <w:r>
              <w:rPr>
                <w:rFonts w:ascii="Arial" w:cs="Arial" w:eastAsia="Arial" w:hAnsi="Arial"/>
                <w:b w:val="false"/>
                <w:color w:val="1F2A37"/>
                <w:sz w:val="19"/>
                <w:szCs w:val="19"/>
                <w:rtl/>
              </w:rPr>
              <w:t xml:space="preserve">الوفر المحقق على الميزانية</w:t>
            </w:r>
          </w:p>
        </w:tc>
      </w:tr>
      <w:tr>
        <w:tc>
          <w:tcPr>
            <w:tcW w:type="dxa" w:w="542"/>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3</w:t>
            </w:r>
          </w:p>
        </w:tc>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تنويع مسارات وأدوات التمويل</w:t>
            </w:r>
          </w:p>
        </w:tc>
        <w:tc>
          <w:tcPr>
            <w:tcW w:type="dxa" w:w="487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عدد المسارات والأدوات المستخدمة فعلياً</w:t>
            </w:r>
          </w:p>
          <w:p>
            <w:pPr>
              <w:bidi/>
              <w:spacing w:after="20"/>
            </w:pPr>
            <w:r>
              <w:rPr>
                <w:rFonts w:ascii="Arial" w:cs="Arial" w:eastAsia="Arial" w:hAnsi="Arial"/>
                <w:b w:val="false"/>
                <w:color w:val="1F2A37"/>
                <w:sz w:val="19"/>
                <w:szCs w:val="19"/>
                <w:rtl/>
              </w:rPr>
              <w:t xml:space="preserve">قيمة الرعايات والمساهمات المجتمعية</w:t>
            </w:r>
          </w:p>
        </w:tc>
      </w:tr>
      <w:tr>
        <w:tc>
          <w:tcPr>
            <w:tcW w:type="dxa" w:w="542"/>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4</w:t>
            </w:r>
          </w:p>
        </w:tc>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صفقات عادلة ومتوازنة للأمانة</w:t>
            </w:r>
          </w:p>
        </w:tc>
        <w:tc>
          <w:tcPr>
            <w:tcW w:type="dxa" w:w="487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نسبة المشاريع ذات دراسة «القيمة مقابل المال» قبل الطرح</w:t>
            </w:r>
          </w:p>
          <w:p>
            <w:pPr>
              <w:bidi/>
              <w:spacing w:after="20"/>
            </w:pPr>
            <w:r>
              <w:rPr>
                <w:rFonts w:ascii="Arial" w:cs="Arial" w:eastAsia="Arial" w:hAnsi="Arial"/>
                <w:b w:val="false"/>
                <w:color w:val="1F2A37"/>
                <w:sz w:val="19"/>
                <w:szCs w:val="19"/>
                <w:rtl/>
              </w:rPr>
              <w:t xml:space="preserve">نسبة المشاريع المعتمدة من أول تقديم</w:t>
            </w:r>
          </w:p>
        </w:tc>
      </w:tr>
      <w:tr>
        <w:tc>
          <w:tcPr>
            <w:tcW w:type="dxa" w:w="542"/>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5</w:t>
            </w:r>
          </w:p>
        </w:tc>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لجنة عليا ممكّنة وفعّالة</w:t>
            </w:r>
          </w:p>
        </w:tc>
        <w:tc>
          <w:tcPr>
            <w:tcW w:type="dxa" w:w="487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اعتماد ميثاق اللجنة</w:t>
            </w:r>
          </w:p>
          <w:p>
            <w:pPr>
              <w:bidi/>
              <w:spacing w:after="20"/>
            </w:pPr>
            <w:r>
              <w:rPr>
                <w:rFonts w:ascii="Arial" w:cs="Arial" w:eastAsia="Arial" w:hAnsi="Arial"/>
                <w:b w:val="false"/>
                <w:color w:val="1F2A37"/>
                <w:sz w:val="19"/>
                <w:szCs w:val="19"/>
                <w:rtl/>
              </w:rPr>
              <w:t xml:space="preserve">متوسط مدة إعداد ملف المشروع</w:t>
            </w:r>
          </w:p>
          <w:p>
            <w:pPr>
              <w:bidi/>
              <w:spacing w:after="20"/>
            </w:pPr>
            <w:r>
              <w:rPr>
                <w:rFonts w:ascii="Arial" w:cs="Arial" w:eastAsia="Arial" w:hAnsi="Arial"/>
                <w:b w:val="false"/>
                <w:color w:val="1F2A37"/>
                <w:sz w:val="19"/>
                <w:szCs w:val="19"/>
                <w:rtl/>
              </w:rPr>
              <w:t xml:space="preserve">نسبة قرارات اللجنة المنفذة في موعدها</w:t>
            </w:r>
          </w:p>
        </w:tc>
      </w:tr>
    </w:tbl>
    <w:p>
      <w:pPr>
        <w:spacing w:after="120"/>
      </w:pPr>
    </w:p>
    <w:p>
      <w:pPr>
        <w:pStyle w:val="Heading2"/>
        <w:bidi/>
      </w:pPr>
      <w:r>
        <w:rPr>
          <w:rFonts w:ascii="Arial" w:cs="Arial" w:eastAsia="Arial" w:hAnsi="Arial"/>
          <w:b w:val="false"/>
          <w:color w:val="1F2A37"/>
          <w:sz w:val="22"/>
          <w:szCs w:val="22"/>
          <w:rtl/>
        </w:rPr>
        <w:t xml:space="preserve">أدوات مسار المستثمر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791"/>
        <w:gridCol w:w="2888"/>
      </w:tblGrid>
      <w:tr>
        <w:trPr>
          <w:tblHeader/>
        </w:trPr>
        <w:tc>
          <w:tcPr>
            <w:tcW w:type="dxa" w:w="2347"/>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الأداة</w:t>
            </w:r>
          </w:p>
        </w:tc>
        <w:tc>
          <w:tcPr>
            <w:tcW w:type="dxa" w:w="3791"/>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الفكرة</w:t>
            </w:r>
          </w:p>
        </w:tc>
        <w:tc>
          <w:tcPr>
            <w:tcW w:type="dxa" w:w="288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أمثلة</w:t>
            </w:r>
          </w:p>
        </w:tc>
      </w:tr>
      <w:tr>
        <w:tc>
          <w:tcPr>
            <w:tcW w:type="dxa" w:w="234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BOT (بناء، تشغيل، نقل)</w:t>
            </w:r>
          </w:p>
        </w:tc>
        <w:tc>
          <w:tcPr>
            <w:tcW w:type="dxa" w:w="379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المستثمر يبني ويشغّل مدة محددة ثم يسلّم الأصل</w:t>
            </w:r>
          </w:p>
        </w:tc>
        <w:tc>
          <w:tcPr>
            <w:tcW w:type="dxa" w:w="288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الحدائق، المواقف متعددة الأدوار، الأسواق</w:t>
            </w:r>
          </w:p>
        </w:tc>
      </w:tr>
      <w:tr>
        <w:tc>
          <w:tcPr>
            <w:tcW w:type="dxa" w:w="234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الامتياز</w:t>
            </w:r>
          </w:p>
        </w:tc>
        <w:tc>
          <w:tcPr>
            <w:tcW w:type="dxa" w:w="379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المستثمر يشغّل خدمة قائمة ويطوّرها مقابل إيراداتها</w:t>
            </w:r>
          </w:p>
        </w:tc>
        <w:tc>
          <w:tcPr>
            <w:tcW w:type="dxa" w:w="288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المرافق الترفيهية والخدمية</w:t>
            </w:r>
          </w:p>
        </w:tc>
      </w:tr>
      <w:tr>
        <w:tc>
          <w:tcPr>
            <w:tcW w:type="dxa" w:w="234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الخدمة مقابل الإعلان</w:t>
            </w:r>
          </w:p>
        </w:tc>
        <w:tc>
          <w:tcPr>
            <w:tcW w:type="dxa" w:w="379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المعلِن يوفر خدمة عامة مقابل حق الإعلان</w:t>
            </w:r>
          </w:p>
        </w:tc>
        <w:tc>
          <w:tcPr>
            <w:tcW w:type="dxa" w:w="288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مظلات النقل، المقاعد، دورات المياه العامة</w:t>
            </w:r>
          </w:p>
        </w:tc>
      </w:tr>
      <w:tr>
        <w:tc>
          <w:tcPr>
            <w:tcW w:type="dxa" w:w="234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التطوير مقابل الأرض</w:t>
            </w:r>
          </w:p>
        </w:tc>
        <w:tc>
          <w:tcPr>
            <w:tcW w:type="dxa" w:w="379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المطوّر يبني مرفقاً عاماً مقابل حقوق تطوير</w:t>
            </w:r>
          </w:p>
        </w:tc>
        <w:tc>
          <w:tcPr>
            <w:tcW w:type="dxa" w:w="288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حديقة أو طريق أو مبنى خدمات</w:t>
            </w:r>
          </w:p>
        </w:tc>
      </w:tr>
      <w:tr>
        <w:tc>
          <w:tcPr>
            <w:tcW w:type="dxa" w:w="234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مساهمات المطورين</w:t>
            </w:r>
          </w:p>
        </w:tc>
        <w:tc>
          <w:tcPr>
            <w:tcW w:type="dxa" w:w="379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إلزام المطورين بتنفيذ البنية التحتية المرتبطة بمشاريعهم</w:t>
            </w:r>
          </w:p>
        </w:tc>
        <w:tc>
          <w:tcPr>
            <w:tcW w:type="dxa" w:w="288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المخططات والمشاريع الكبرى</w:t>
            </w:r>
          </w:p>
        </w:tc>
      </w:tr>
      <w:tr>
        <w:tc>
          <w:tcPr>
            <w:tcW w:type="dxa" w:w="234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استرداد القيمة</w:t>
            </w:r>
          </w:p>
        </w:tc>
        <w:tc>
          <w:tcPr>
            <w:tcW w:type="dxa" w:w="379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الاستفادة من ارتفاع قيمة الأراضي حول المشاريع الكبرى</w:t>
            </w:r>
          </w:p>
        </w:tc>
        <w:tc>
          <w:tcPr>
            <w:tcW w:type="dxa" w:w="288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محيط محطات مترو الرياض</w:t>
            </w:r>
          </w:p>
        </w:tc>
      </w:tr>
      <w:tr>
        <w:tc>
          <w:tcPr>
            <w:tcW w:type="dxa" w:w="234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الرعايات وحقوق التسمية</w:t>
            </w:r>
          </w:p>
        </w:tc>
        <w:tc>
          <w:tcPr>
            <w:tcW w:type="dxa" w:w="379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رعاية أصل أو فعالية مقابل الاسم أو الظهور</w:t>
            </w:r>
          </w:p>
        </w:tc>
        <w:tc>
          <w:tcPr>
            <w:tcW w:type="dxa" w:w="288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الحدائق، الممشى، الجسور، الفعاليات</w:t>
            </w:r>
          </w:p>
        </w:tc>
      </w:tr>
      <w:tr>
        <w:tc>
          <w:tcPr>
            <w:tcW w:type="dxa" w:w="234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المسؤولية المجتمعية والقطاع غير الربحي</w:t>
            </w:r>
          </w:p>
        </w:tc>
        <w:tc>
          <w:tcPr>
            <w:tcW w:type="dxa" w:w="379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تمويل الشركات والأوقاف لمرافق ومبادرات</w:t>
            </w:r>
          </w:p>
        </w:tc>
        <w:tc>
          <w:tcPr>
            <w:tcW w:type="dxa" w:w="288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الحدائق ومرافق الأحياء</w:t>
            </w:r>
          </w:p>
        </w:tc>
      </w:tr>
      <w:tr>
        <w:tc>
          <w:tcPr>
            <w:tcW w:type="dxa" w:w="234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DBFOM مع دفعات الإتاحة</w:t>
            </w:r>
          </w:p>
        </w:tc>
        <w:tc>
          <w:tcPr>
            <w:tcW w:type="dxa" w:w="379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المستثمر يصمم ويموّل ويبني ويشغّل والأمانة تدفع مبلغاً سنوياً</w:t>
            </w:r>
          </w:p>
        </w:tc>
        <w:tc>
          <w:tcPr>
            <w:tcW w:type="dxa" w:w="288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تحذير: التزام على الميزانية المستقبلية — بموافقة الاستدامة فقط</w:t>
            </w:r>
          </w:p>
        </w:tc>
      </w:tr>
    </w:tbl>
    <w:p>
      <w:pPr>
        <w:spacing w:after="120"/>
      </w:pPr>
    </w:p>
    <w:p>
      <w:pPr>
        <w:pStyle w:val="Heading2"/>
        <w:bidi/>
      </w:pPr>
      <w:r>
        <w:rPr>
          <w:rFonts w:ascii="Arial" w:cs="Arial" w:eastAsia="Arial" w:hAnsi="Arial"/>
          <w:b w:val="false"/>
          <w:color w:val="1F2A37"/>
          <w:sz w:val="22"/>
          <w:szCs w:val="22"/>
          <w:rtl/>
        </w:rPr>
        <w:t xml:space="preserve">نموذج تطبيقي: الحديقة</w:t>
      </w:r>
    </w:p>
    <w:p>
      <w:pPr>
        <w:bidi/>
        <w:spacing w:after="120" w:before="0" w:line="300"/>
        <w:jc w:val="both"/>
      </w:pPr>
      <w:r>
        <w:rPr>
          <w:rFonts w:ascii="Arial" w:cs="Arial" w:eastAsia="Arial" w:hAnsi="Arial"/>
          <w:b w:val="false"/>
          <w:color w:val="1F2A37"/>
          <w:sz w:val="22"/>
          <w:szCs w:val="22"/>
          <w:rtl/>
        </w:rPr>
        <w:t xml:space="preserve">الأمانة تحتاج حديقة ولا تتوفر لها ميزانية؛ فتُسند لمستثمر </w:t>
      </w:r>
      <w:r>
        <w:rPr>
          <w:rFonts w:ascii="Arial" w:cs="Arial" w:eastAsia="Arial" w:hAnsi="Arial"/>
          <w:b/>
          <w:bCs/>
          <w:color w:val="1F2A37"/>
          <w:sz w:val="22"/>
          <w:szCs w:val="22"/>
          <w:rtl/>
        </w:rPr>
        <w:t xml:space="preserve">ينشئها ويصونها ويشغّلها ويستثمر فيها لمدة 15 سنة</w:t>
      </w:r>
      <w:r>
        <w:rPr>
          <w:rFonts w:ascii="Arial" w:cs="Arial" w:eastAsia="Arial" w:hAnsi="Arial"/>
          <w:b w:val="false"/>
          <w:color w:val="1F2A37"/>
          <w:sz w:val="22"/>
          <w:szCs w:val="22"/>
          <w:rtl/>
        </w:rPr>
        <w:t xml:space="preserve"> يسترد خلالها عائده، ثم تعود للأمانة. ويمكن بيع </w:t>
      </w:r>
      <w:r>
        <w:rPr>
          <w:rFonts w:ascii="Arial" w:cs="Arial" w:eastAsia="Arial" w:hAnsi="Arial"/>
          <w:b/>
          <w:bCs/>
          <w:color w:val="1F2A37"/>
          <w:sz w:val="22"/>
          <w:szCs w:val="22"/>
          <w:rtl/>
        </w:rPr>
        <w:t xml:space="preserve">حق تسمية</w:t>
      </w:r>
      <w:r>
        <w:rPr>
          <w:rFonts w:ascii="Arial" w:cs="Arial" w:eastAsia="Arial" w:hAnsi="Arial"/>
          <w:b w:val="false"/>
          <w:color w:val="1F2A37"/>
          <w:sz w:val="22"/>
          <w:szCs w:val="22"/>
          <w:rtl/>
        </w:rPr>
        <w:t xml:space="preserve"> الحديقة كذلك.</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الطرف</w:t>
            </w:r>
          </w:p>
        </w:tc>
        <w:tc>
          <w:tcPr>
            <w:tcW w:type="dxa" w:w="7221"/>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ما يحصل عليه</w:t>
            </w:r>
          </w:p>
        </w:tc>
      </w:tr>
      <w:tr>
        <w:tc>
          <w:tcPr>
            <w:tcW w:type="dxa" w:w="1805"/>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الأمانة</w:t>
            </w:r>
          </w:p>
        </w:tc>
        <w:tc>
          <w:tcPr>
            <w:tcW w:type="dxa" w:w="722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حديقة بلا تكلفة إنشاء، وصيانة وتشغيل 15 سنة، وأصل يعود إليها، وعائد إضافي محتمل (إيجار أو نسبة من الدخل، وإيراد التسمية)</w:t>
            </w:r>
          </w:p>
        </w:tc>
      </w:tr>
      <w:tr>
        <w:tc>
          <w:tcPr>
            <w:tcW w:type="dxa" w:w="1805"/>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المستثمر</w:t>
            </w:r>
          </w:p>
        </w:tc>
        <w:tc>
          <w:tcPr>
            <w:tcW w:type="dxa" w:w="722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دخل من مطاعم ومقاهٍ وأكشاك في جزء محدد، وأنشطة وألعاب مدفوعة، وفعاليات، وإعلانات، ومواقف</w:t>
            </w:r>
          </w:p>
        </w:tc>
      </w:tr>
    </w:tbl>
    <w:p>
      <w:pPr>
        <w:spacing w:after="120"/>
      </w:pPr>
    </w:p>
    <w:p>
      <w:pPr>
        <w:bidi/>
        <w:spacing w:after="120" w:before="0" w:line="300"/>
        <w:jc w:val="both"/>
      </w:pPr>
      <w:r>
        <w:rPr>
          <w:rFonts w:ascii="Arial" w:cs="Arial" w:eastAsia="Arial" w:hAnsi="Arial"/>
          <w:b/>
          <w:bCs/>
          <w:color w:val="1F2A37"/>
          <w:sz w:val="22"/>
          <w:szCs w:val="22"/>
          <w:rtl/>
        </w:rPr>
        <w:t xml:space="preserve">مثال توضيحي بأرقام افتراضية:</w:t>
      </w:r>
      <w:r>
        <w:rPr>
          <w:rFonts w:ascii="Arial" w:cs="Arial" w:eastAsia="Arial" w:hAnsi="Arial"/>
          <w:b w:val="false"/>
          <w:color w:val="1F2A37"/>
          <w:sz w:val="22"/>
          <w:szCs w:val="22"/>
          <w:rtl/>
        </w:rPr>
        <w:t xml:space="preserve"> تكلفة إنشاء 20 مليون ريال وصيانة مليونا ريال سنوياً تعني وفراً يقارب </w:t>
      </w:r>
      <w:r>
        <w:rPr>
          <w:rFonts w:ascii="Arial" w:cs="Arial" w:eastAsia="Arial" w:hAnsi="Arial"/>
          <w:b/>
          <w:bCs/>
          <w:color w:val="1F2A37"/>
          <w:sz w:val="22"/>
          <w:szCs w:val="22"/>
          <w:rtl/>
        </w:rPr>
        <w:t xml:space="preserve">50 مليون ريال</w:t>
      </w:r>
      <w:r>
        <w:rPr>
          <w:rFonts w:ascii="Arial" w:cs="Arial" w:eastAsia="Arial" w:hAnsi="Arial"/>
          <w:b w:val="false"/>
          <w:color w:val="1F2A37"/>
          <w:sz w:val="22"/>
          <w:szCs w:val="22"/>
          <w:rtl/>
        </w:rPr>
        <w:t xml:space="preserve"> خلال 15 سنة.</w:t>
      </w:r>
    </w:p>
    <w:p>
      <w:pPr>
        <w:pStyle w:val="Heading3"/>
        <w:bidi/>
      </w:pPr>
      <w:r>
        <w:rPr>
          <w:rFonts w:ascii="Arial" w:cs="Arial" w:eastAsia="Arial" w:hAnsi="Arial"/>
          <w:b w:val="false"/>
          <w:color w:val="1F2A37"/>
          <w:sz w:val="22"/>
          <w:szCs w:val="22"/>
          <w:rtl/>
        </w:rPr>
        <w:t xml:space="preserve">لمن يذهب إيراد التسمية؟</w:t>
      </w:r>
    </w:p>
    <w:p>
      <w:pPr>
        <w:pStyle w:val="ListParagraph"/>
        <w:numPr>
          <w:ilvl w:val="0"/>
          <w:numId w:val="3"/>
        </w:numPr>
        <w:bidi/>
        <w:spacing w:after="60" w:line="290"/>
        <w:jc w:val="both"/>
      </w:pPr>
      <w:r>
        <w:rPr>
          <w:rFonts w:ascii="Arial" w:cs="Arial" w:eastAsia="Arial" w:hAnsi="Arial"/>
          <w:b/>
          <w:bCs/>
          <w:color w:val="1F2A37"/>
          <w:sz w:val="22"/>
          <w:szCs w:val="22"/>
          <w:rtl/>
        </w:rPr>
        <w:t xml:space="preserve">للمستثمر</w:t>
      </w:r>
      <w:r>
        <w:rPr>
          <w:rFonts w:ascii="Arial" w:cs="Arial" w:eastAsia="Arial" w:hAnsi="Arial"/>
          <w:b w:val="false"/>
          <w:color w:val="1F2A37"/>
          <w:sz w:val="22"/>
          <w:szCs w:val="22"/>
          <w:rtl/>
        </w:rPr>
        <w:t xml:space="preserve"> إذا كانت الحديقة ضعيفة الجاذبية: يرفع ربحيته ويضمن التنفيذ، وقد يسمح بمدة أقصر أو إيجار أعلى.</w:t>
      </w:r>
    </w:p>
    <w:p>
      <w:pPr>
        <w:pStyle w:val="ListParagraph"/>
        <w:numPr>
          <w:ilvl w:val="0"/>
          <w:numId w:val="3"/>
        </w:numPr>
        <w:bidi/>
        <w:spacing w:after="60" w:line="290"/>
        <w:jc w:val="both"/>
      </w:pPr>
      <w:r>
        <w:rPr>
          <w:rFonts w:ascii="Arial" w:cs="Arial" w:eastAsia="Arial" w:hAnsi="Arial"/>
          <w:b/>
          <w:bCs/>
          <w:color w:val="1F2A37"/>
          <w:sz w:val="22"/>
          <w:szCs w:val="22"/>
          <w:rtl/>
        </w:rPr>
        <w:t xml:space="preserve">للأمانة</w:t>
      </w:r>
      <w:r>
        <w:rPr>
          <w:rFonts w:ascii="Arial" w:cs="Arial" w:eastAsia="Arial" w:hAnsi="Arial"/>
          <w:b w:val="false"/>
          <w:color w:val="1F2A37"/>
          <w:sz w:val="22"/>
          <w:szCs w:val="22"/>
          <w:rtl/>
        </w:rPr>
        <w:t xml:space="preserve"> إذا كانت الحديقة جاذبة: إيراد مباشر يدخل إيرادات الأمانة، ويعود الفائض فوق المستهدف لميزانيتها.</w:t>
      </w:r>
    </w:p>
    <w:p>
      <w:pPr>
        <w:pStyle w:val="Heading3"/>
        <w:bidi/>
      </w:pPr>
      <w:r>
        <w:rPr>
          <w:rFonts w:ascii="Arial" w:cs="Arial" w:eastAsia="Arial" w:hAnsi="Arial"/>
          <w:b w:val="false"/>
          <w:color w:val="1F2A37"/>
          <w:sz w:val="22"/>
          <w:szCs w:val="22"/>
          <w:rtl/>
        </w:rPr>
        <w:t xml:space="preserve">اشتراطات حماية المصلحة العامة</w:t>
      </w:r>
    </w:p>
    <w:p>
      <w:pPr>
        <w:pStyle w:val="ListParagraph"/>
        <w:numPr>
          <w:ilvl w:val="0"/>
          <w:numId w:val="7"/>
        </w:numPr>
        <w:bidi/>
        <w:spacing w:after="60" w:line="290"/>
        <w:jc w:val="both"/>
      </w:pPr>
      <w:r>
        <w:rPr>
          <w:rFonts w:ascii="Arial" w:cs="Arial" w:eastAsia="Arial" w:hAnsi="Arial"/>
          <w:b w:val="false"/>
          <w:color w:val="1F2A37"/>
          <w:sz w:val="22"/>
          <w:szCs w:val="22"/>
          <w:rtl/>
        </w:rPr>
        <w:t xml:space="preserve">الدخول مجاني أو برسوم رمزية تحددها الأمانة.</w:t>
      </w:r>
    </w:p>
    <w:p>
      <w:pPr>
        <w:pStyle w:val="ListParagraph"/>
        <w:numPr>
          <w:ilvl w:val="0"/>
          <w:numId w:val="7"/>
        </w:numPr>
        <w:bidi/>
        <w:spacing w:after="60" w:line="290"/>
        <w:jc w:val="both"/>
      </w:pPr>
      <w:r>
        <w:rPr>
          <w:rFonts w:ascii="Arial" w:cs="Arial" w:eastAsia="Arial" w:hAnsi="Arial"/>
          <w:b w:val="false"/>
          <w:color w:val="1F2A37"/>
          <w:sz w:val="22"/>
          <w:szCs w:val="22"/>
          <w:rtl/>
        </w:rPr>
        <w:t xml:space="preserve">سقف لنسبة المساحة التجارية من إجمالي الحديقة.</w:t>
      </w:r>
    </w:p>
    <w:p>
      <w:pPr>
        <w:pStyle w:val="ListParagraph"/>
        <w:numPr>
          <w:ilvl w:val="0"/>
          <w:numId w:val="7"/>
        </w:numPr>
        <w:bidi/>
        <w:spacing w:after="60" w:line="290"/>
        <w:jc w:val="both"/>
      </w:pPr>
      <w:r>
        <w:rPr>
          <w:rFonts w:ascii="Arial" w:cs="Arial" w:eastAsia="Arial" w:hAnsi="Arial"/>
          <w:b w:val="false"/>
          <w:color w:val="1F2A37"/>
          <w:sz w:val="22"/>
          <w:szCs w:val="22"/>
          <w:rtl/>
        </w:rPr>
        <w:t xml:space="preserve">مؤشرات أداء للصيانة (النظافة، الإنارة، التشجير، المرافق) مع غرامات عند التقصير.</w:t>
      </w:r>
    </w:p>
    <w:p>
      <w:pPr>
        <w:pStyle w:val="ListParagraph"/>
        <w:numPr>
          <w:ilvl w:val="0"/>
          <w:numId w:val="7"/>
        </w:numPr>
        <w:bidi/>
        <w:spacing w:after="60" w:line="290"/>
        <w:jc w:val="both"/>
      </w:pPr>
      <w:r>
        <w:rPr>
          <w:rFonts w:ascii="Arial" w:cs="Arial" w:eastAsia="Arial" w:hAnsi="Arial"/>
          <w:b w:val="false"/>
          <w:color w:val="1F2A37"/>
          <w:sz w:val="22"/>
          <w:szCs w:val="22"/>
          <w:rtl/>
        </w:rPr>
        <w:t xml:space="preserve">ساعات عمل تخدم الجمهور.</w:t>
      </w:r>
    </w:p>
    <w:p>
      <w:pPr>
        <w:pStyle w:val="ListParagraph"/>
        <w:numPr>
          <w:ilvl w:val="0"/>
          <w:numId w:val="7"/>
        </w:numPr>
        <w:bidi/>
        <w:spacing w:after="60" w:line="290"/>
        <w:jc w:val="both"/>
      </w:pPr>
      <w:r>
        <w:rPr>
          <w:rFonts w:ascii="Arial" w:cs="Arial" w:eastAsia="Arial" w:hAnsi="Arial"/>
          <w:b w:val="false"/>
          <w:color w:val="1F2A37"/>
          <w:sz w:val="22"/>
          <w:szCs w:val="22"/>
          <w:rtl/>
        </w:rPr>
        <w:t xml:space="preserve">تسليم الحديقة في نهاية المدة بحالة تشغيلية جيدة.</w:t>
      </w:r>
    </w:p>
    <w:p>
      <w:pPr>
        <w:pStyle w:val="ListParagraph"/>
        <w:numPr>
          <w:ilvl w:val="0"/>
          <w:numId w:val="7"/>
        </w:numPr>
        <w:bidi/>
        <w:spacing w:after="60" w:line="290"/>
        <w:jc w:val="both"/>
      </w:pPr>
      <w:r>
        <w:rPr>
          <w:rFonts w:ascii="Arial" w:cs="Arial" w:eastAsia="Arial" w:hAnsi="Arial"/>
          <w:b w:val="false"/>
          <w:color w:val="1F2A37"/>
          <w:sz w:val="22"/>
          <w:szCs w:val="22"/>
          <w:rtl/>
        </w:rPr>
        <w:t xml:space="preserve">ضمان بنكي للأداء من المستثمر.</w:t>
      </w:r>
    </w:p>
    <w:p>
      <w:pPr>
        <w:pStyle w:val="ListParagraph"/>
        <w:numPr>
          <w:ilvl w:val="0"/>
          <w:numId w:val="7"/>
        </w:numPr>
        <w:bidi/>
        <w:spacing w:after="60" w:line="290"/>
        <w:jc w:val="both"/>
      </w:pPr>
      <w:r>
        <w:rPr>
          <w:rFonts w:ascii="Arial" w:cs="Arial" w:eastAsia="Arial" w:hAnsi="Arial"/>
          <w:b w:val="false"/>
          <w:color w:val="1F2A37"/>
          <w:sz w:val="22"/>
          <w:szCs w:val="22"/>
          <w:rtl/>
        </w:rPr>
        <w:t xml:space="preserve">حق الأمانة في التدخل واستلام الحديقة أو إسنادها لمستثمر آخر عند التعثر.</w:t>
      </w:r>
    </w:p>
    <w:p>
      <w:pPr>
        <w:pStyle w:val="ListParagraph"/>
        <w:numPr>
          <w:ilvl w:val="0"/>
          <w:numId w:val="7"/>
        </w:numPr>
        <w:bidi/>
        <w:spacing w:after="60" w:line="290"/>
        <w:jc w:val="both"/>
      </w:pPr>
      <w:r>
        <w:rPr>
          <w:rFonts w:ascii="Arial" w:cs="Arial" w:eastAsia="Arial" w:hAnsi="Arial"/>
          <w:b w:val="false"/>
          <w:color w:val="1F2A37"/>
          <w:sz w:val="22"/>
          <w:szCs w:val="22"/>
          <w:rtl/>
        </w:rPr>
        <w:t xml:space="preserve">موافقة الأمانة على اسم الراعي.</w:t>
      </w:r>
    </w:p>
    <w:p>
      <w:pPr>
        <w:pBdr>
          <w:right w:val="single" w:color="006A46" w:sz="24" w:space="8"/>
        </w:pBdr>
        <w:shd w:fill="F1F5F3" w:color="auto" w:val="clear"/>
        <w:bidi/>
        <w:spacing w:after="160" w:before="0" w:line="300"/>
        <w:ind w:start="120" w:end="120"/>
        <w:jc w:val="both"/>
      </w:pPr>
      <w:r>
        <w:rPr>
          <w:rFonts w:ascii="Arial" w:cs="Arial" w:eastAsia="Arial" w:hAnsi="Arial"/>
          <w:b/>
          <w:bCs/>
          <w:color w:val="1F2A37"/>
          <w:sz w:val="22"/>
          <w:szCs w:val="22"/>
          <w:rtl/>
        </w:rPr>
        <w:t xml:space="preserve">حل الحدائق الصغيرة — التجميع:</w:t>
      </w:r>
      <w:r>
        <w:rPr>
          <w:rFonts w:ascii="Arial" w:cs="Arial" w:eastAsia="Arial" w:hAnsi="Arial"/>
          <w:b w:val="false"/>
          <w:color w:val="1F2A37"/>
          <w:sz w:val="22"/>
          <w:szCs w:val="22"/>
          <w:rtl/>
        </w:rPr>
        <w:t xml:space="preserve"> طرح حديقة كبيرة مربحة مع 5–10 حدائق أحياء صغيرة في المنطقة نفسها ضمن عقد واحد؛ يربح المستثمر من الكبيرة ويصون الصغيرة ضمن التزامه.</w:t>
      </w:r>
    </w:p>
    <w:p>
      <w:pPr>
        <w:pStyle w:val="Heading2"/>
        <w:bidi/>
      </w:pPr>
      <w:r>
        <w:rPr>
          <w:rFonts w:ascii="Arial" w:cs="Arial" w:eastAsia="Arial" w:hAnsi="Arial"/>
          <w:b w:val="false"/>
          <w:color w:val="1F2A37"/>
          <w:sz w:val="22"/>
          <w:szCs w:val="22"/>
          <w:rtl/>
        </w:rPr>
        <w:t xml:space="preserve">المبادرات (2026–2030)</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المرحلة</w:t>
            </w:r>
          </w:p>
        </w:tc>
        <w:tc>
          <w:tcPr>
            <w:tcW w:type="dxa" w:w="6860"/>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المبادرات</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2026 — التأسيس</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حصر المشاريع غير الممولة وبناء محفظة الفرص الأولى</w:t>
            </w:r>
          </w:p>
          <w:p>
            <w:pPr>
              <w:bidi/>
              <w:spacing w:after="20"/>
            </w:pPr>
            <w:r>
              <w:rPr>
                <w:rFonts w:ascii="Arial" w:cs="Arial" w:eastAsia="Arial" w:hAnsi="Arial"/>
                <w:b w:val="false"/>
                <w:color w:val="1F2A37"/>
                <w:sz w:val="19"/>
                <w:szCs w:val="19"/>
                <w:rtl/>
              </w:rPr>
              <w:t xml:space="preserve">مسودة ميثاق اللجنة العليا للتمويل ومعايير اختيار المسار</w:t>
            </w:r>
          </w:p>
          <w:p>
            <w:pPr>
              <w:bidi/>
              <w:spacing w:after="20"/>
            </w:pPr>
            <w:r>
              <w:rPr>
                <w:rFonts w:ascii="Arial" w:cs="Arial" w:eastAsia="Arial" w:hAnsi="Arial"/>
                <w:b w:val="false"/>
                <w:color w:val="1F2A37"/>
                <w:sz w:val="19"/>
                <w:szCs w:val="19"/>
                <w:rtl/>
              </w:rPr>
              <w:t xml:space="preserve">دليل أدوات التمويل وإجراءات العمل</w:t>
            </w:r>
          </w:p>
          <w:p>
            <w:pPr>
              <w:bidi/>
              <w:spacing w:after="20"/>
            </w:pPr>
            <w:r>
              <w:rPr>
                <w:rFonts w:ascii="Arial" w:cs="Arial" w:eastAsia="Arial" w:hAnsi="Arial"/>
                <w:b w:val="false"/>
                <w:color w:val="1F2A37"/>
                <w:sz w:val="19"/>
                <w:szCs w:val="19"/>
                <w:rtl/>
              </w:rPr>
              <w:t xml:space="preserve">اتفاقية مستوى خدمة مع وكالة الاستثمار والتخصيص</w:t>
            </w:r>
          </w:p>
          <w:p>
            <w:pPr>
              <w:bidi/>
              <w:spacing w:after="20"/>
            </w:pPr>
            <w:r>
              <w:rPr>
                <w:rFonts w:ascii="Arial" w:cs="Arial" w:eastAsia="Arial" w:hAnsi="Arial"/>
                <w:b w:val="false"/>
                <w:color w:val="1F2A37"/>
                <w:sz w:val="19"/>
                <w:szCs w:val="19"/>
                <w:rtl/>
              </w:rPr>
              <w:t xml:space="preserve">تأهيل الفريق (مثل شهادة CP3P في الشراكات)</w:t>
            </w:r>
          </w:p>
        </w:tc>
      </w:tr>
      <w:tr>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2027 — المكاسب السريعة</w:t>
            </w:r>
          </w:p>
        </w:tc>
        <w:tc>
          <w:tcPr>
            <w:tcW w:type="dxa" w:w="686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نموذج مالي معياري وأداة «القيمة مقابل المال»</w:t>
            </w:r>
          </w:p>
          <w:p>
            <w:pPr>
              <w:bidi/>
              <w:spacing w:after="20"/>
            </w:pPr>
            <w:r>
              <w:rPr>
                <w:rFonts w:ascii="Arial" w:cs="Arial" w:eastAsia="Arial" w:hAnsi="Arial"/>
                <w:b w:val="false"/>
                <w:color w:val="1F2A37"/>
                <w:sz w:val="19"/>
                <w:szCs w:val="19"/>
                <w:rtl/>
              </w:rPr>
              <w:t xml:space="preserve">أول دفعة من 3–5 مشاريع تجريبية (الحدائق، المواقف، الخدمة مقابل الإعلان، الأسواق)</w:t>
            </w:r>
          </w:p>
          <w:p>
            <w:pPr>
              <w:bidi/>
              <w:spacing w:after="20"/>
            </w:pPr>
            <w:r>
              <w:rPr>
                <w:rFonts w:ascii="Arial" w:cs="Arial" w:eastAsia="Arial" w:hAnsi="Arial"/>
                <w:b w:val="false"/>
                <w:color w:val="1F2A37"/>
                <w:sz w:val="19"/>
                <w:szCs w:val="19"/>
                <w:rtl/>
              </w:rPr>
              <w:t xml:space="preserve">برنامج الرعايات وحقوق التسمية والمسؤولية المجتمعية</w:t>
            </w:r>
          </w:p>
          <w:p>
            <w:pPr>
              <w:bidi/>
              <w:spacing w:after="20"/>
            </w:pPr>
            <w:r>
              <w:rPr>
                <w:rFonts w:ascii="Arial" w:cs="Arial" w:eastAsia="Arial" w:hAnsi="Arial"/>
                <w:b w:val="false"/>
                <w:color w:val="1F2A37"/>
                <w:sz w:val="19"/>
                <w:szCs w:val="19"/>
                <w:rtl/>
              </w:rPr>
              <w:t xml:space="preserve">أول اتفاقية تمويل مشترك مع جهة حكومية</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2028 — المشاريع الكبرى</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مشاريع أكبر بالتعاون مع المركز الوطني للتخصيص وصندوق البنية التحتية الوطني</w:t>
            </w:r>
          </w:p>
          <w:p>
            <w:pPr>
              <w:bidi/>
              <w:spacing w:after="20"/>
            </w:pPr>
            <w:r>
              <w:rPr>
                <w:rFonts w:ascii="Arial" w:cs="Arial" w:eastAsia="Arial" w:hAnsi="Arial"/>
                <w:b w:val="false"/>
                <w:color w:val="1F2A37"/>
                <w:sz w:val="19"/>
                <w:szCs w:val="19"/>
                <w:rtl/>
              </w:rPr>
              <w:t xml:space="preserve">أول تمويل بنكي لمشروع ذي مصدر سداد واضح</w:t>
            </w:r>
          </w:p>
          <w:p>
            <w:pPr>
              <w:bidi/>
              <w:spacing w:after="20"/>
            </w:pPr>
            <w:r>
              <w:rPr>
                <w:rFonts w:ascii="Arial" w:cs="Arial" w:eastAsia="Arial" w:hAnsi="Arial"/>
                <w:b w:val="false"/>
                <w:color w:val="1F2A37"/>
                <w:sz w:val="19"/>
                <w:szCs w:val="19"/>
                <w:rtl/>
              </w:rPr>
              <w:t xml:space="preserve">برنامج استرداد القيمة حول محطات المترو بالتنسيق مع الهيئة الملكية لمدينة الرياض</w:t>
            </w:r>
          </w:p>
        </w:tc>
      </w:tr>
      <w:tr>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2029–2030 — التوسع</w:t>
            </w:r>
          </w:p>
        </w:tc>
        <w:tc>
          <w:tcPr>
            <w:tcW w:type="dxa" w:w="686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محفظة مشاريع إكسبو 2030 وكأس العالم 2034</w:t>
            </w:r>
          </w:p>
          <w:p>
            <w:pPr>
              <w:bidi/>
              <w:spacing w:after="20"/>
            </w:pPr>
            <w:r>
              <w:rPr>
                <w:rFonts w:ascii="Arial" w:cs="Arial" w:eastAsia="Arial" w:hAnsi="Arial"/>
                <w:b w:val="false"/>
                <w:color w:val="1F2A37"/>
                <w:sz w:val="19"/>
                <w:szCs w:val="19"/>
                <w:rtl/>
              </w:rPr>
              <w:t xml:space="preserve">دراسة إصدار الصكوك (بعد الجاهزية للتصنيف الائتماني)</w:t>
            </w:r>
          </w:p>
          <w:p>
            <w:pPr>
              <w:bidi/>
              <w:spacing w:after="20"/>
            </w:pPr>
            <w:r>
              <w:rPr>
                <w:rFonts w:ascii="Arial" w:cs="Arial" w:eastAsia="Arial" w:hAnsi="Arial"/>
                <w:b w:val="false"/>
                <w:color w:val="1F2A37"/>
                <w:sz w:val="19"/>
                <w:szCs w:val="19"/>
                <w:rtl/>
              </w:rPr>
              <w:t xml:space="preserve">دراسة جدوى شركة تطوير مملوكة للأمانة</w:t>
            </w:r>
          </w:p>
        </w:tc>
      </w:tr>
    </w:tbl>
    <w:p>
      <w:pPr>
        <w:spacing w:after="120"/>
      </w:pPr>
    </w:p>
    <w:p>
      <w:pPr>
        <w:pStyle w:val="Heading2"/>
        <w:bidi/>
      </w:pPr>
      <w:r>
        <w:rPr>
          <w:rFonts w:ascii="Arial" w:cs="Arial" w:eastAsia="Arial" w:hAnsi="Arial"/>
          <w:b w:val="false"/>
          <w:color w:val="1F2A37"/>
          <w:sz w:val="22"/>
          <w:szCs w:val="22"/>
          <w:rtl/>
        </w:rPr>
        <w:t xml:space="preserve">المهام والاختصاصات</w:t>
      </w:r>
    </w:p>
    <w:p>
      <w:pPr>
        <w:pStyle w:val="Heading3"/>
        <w:bidi/>
      </w:pPr>
      <w:r>
        <w:rPr>
          <w:rFonts w:ascii="Arial" w:cs="Arial" w:eastAsia="Arial" w:hAnsi="Arial"/>
          <w:b w:val="false"/>
          <w:color w:val="1F2A37"/>
          <w:sz w:val="22"/>
          <w:szCs w:val="22"/>
          <w:rtl/>
        </w:rPr>
        <w:t xml:space="preserve">في المحفظة والتخطيط</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حصر المشاريع غير الممولة بالتنسيق مع إدارات المشاريع والقطاعات والبلديات.</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الفرز الأولي للمشاريع وتحديد ما يصلح للتمويل من خارج الميزانية.</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ترتيب أولويات المشاريع وإدارة محفظة الفرص وتحديثها.</w:t>
      </w:r>
    </w:p>
    <w:p>
      <w:pPr>
        <w:pStyle w:val="Heading3"/>
        <w:bidi/>
      </w:pPr>
      <w:r>
        <w:rPr>
          <w:rFonts w:ascii="Arial" w:cs="Arial" w:eastAsia="Arial" w:hAnsi="Arial"/>
          <w:b w:val="false"/>
          <w:color w:val="1F2A37"/>
          <w:sz w:val="22"/>
          <w:szCs w:val="22"/>
          <w:rtl/>
        </w:rPr>
        <w:t xml:space="preserve">في الهيكلة والدراسة</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إعداد دراسات الجدوى والنماذج المالية للمشاريع.</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إعداد دراسات «القيمة مقابل المال» ومقارنة المسارات الأربعة.</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التوصية بالمسار والهيكل المناسب وتوزيع المخاطر.</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استطلاع اهتمام السوق قبل الطرح.</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إعداد الملف المالي للمشروع وتسليمه لجهة التنفيذ.</w:t>
      </w:r>
    </w:p>
    <w:p>
      <w:pPr>
        <w:pStyle w:val="Heading3"/>
        <w:bidi/>
      </w:pPr>
      <w:r>
        <w:rPr>
          <w:rFonts w:ascii="Arial" w:cs="Arial" w:eastAsia="Arial" w:hAnsi="Arial"/>
          <w:b w:val="false"/>
          <w:color w:val="1F2A37"/>
          <w:sz w:val="22"/>
          <w:szCs w:val="22"/>
          <w:rtl/>
        </w:rPr>
        <w:t xml:space="preserve">في أمانة اللجنة العليا وتمكينها</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إعداد جدول الأعمال والملفات والتوصيات.</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تدوين المحاضر وإبلاغ القرارات ومتابعة تنفيذها.</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إعداد ميثاق اللجنة وأدلتها وسياساتها وتحديثها.</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إدارة لوحة محفظة التمويل ورفع التقارير للّجنة.</w:t>
      </w:r>
    </w:p>
    <w:p>
      <w:pPr>
        <w:pStyle w:val="Heading3"/>
        <w:bidi/>
      </w:pPr>
      <w:r>
        <w:rPr>
          <w:rFonts w:ascii="Arial" w:cs="Arial" w:eastAsia="Arial" w:hAnsi="Arial"/>
          <w:b w:val="false"/>
          <w:color w:val="1F2A37"/>
          <w:sz w:val="22"/>
          <w:szCs w:val="22"/>
          <w:rtl/>
        </w:rPr>
        <w:t xml:space="preserve">في مصادر التمويل والشراكات</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بناء العلاقة مع البنوك وصندوق البنية التحتية الوطني والمركز الوطني للتخصيص والجهات الحكومية والمطورين.</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إدارة برنامج الرعايات وحقوق التسمية والمسؤولية المجتمعية.</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تجهيز ملفات الموافقات النظامية للتمويل البنكي والصكوك.</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التنسيق مع الهيئة الملكية لمدينة الرياض في فرص استرداد القيمة.</w:t>
      </w:r>
    </w:p>
    <w:p>
      <w:pPr>
        <w:pStyle w:val="Heading3"/>
        <w:bidi/>
      </w:pPr>
      <w:r>
        <w:rPr>
          <w:rFonts w:ascii="Arial" w:cs="Arial" w:eastAsia="Arial" w:hAnsi="Arial"/>
          <w:b w:val="false"/>
          <w:color w:val="1F2A37"/>
          <w:sz w:val="22"/>
          <w:szCs w:val="22"/>
          <w:rtl/>
        </w:rPr>
        <w:t xml:space="preserve">في المتابعة</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متابعة الأثر المالي للمشاريع بعد التنفيذ وقياس الوفر المحقق.</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توثيق الدروس المستفادة من كل صفقة.</w:t>
      </w:r>
    </w:p>
    <w:p>
      <w:pPr>
        <w:pStyle w:val="ListParagraph"/>
        <w:numPr>
          <w:ilvl w:val="0"/>
          <w:numId w:val="8"/>
        </w:numPr>
        <w:bidi/>
        <w:spacing w:after="60" w:line="290"/>
        <w:jc w:val="both"/>
      </w:pPr>
      <w:r>
        <w:rPr>
          <w:rFonts w:ascii="Arial" w:cs="Arial" w:eastAsia="Arial" w:hAnsi="Arial"/>
          <w:b w:val="false"/>
          <w:color w:val="1F2A37"/>
          <w:sz w:val="22"/>
          <w:szCs w:val="22"/>
          <w:rtl/>
        </w:rPr>
        <w:t xml:space="preserve">رصد التجارب المحلية والدولية في التمويل البلدي.</w:t>
      </w:r>
    </w:p>
    <w:p>
      <w:pPr>
        <w:pStyle w:val="Heading2"/>
        <w:bidi/>
      </w:pPr>
      <w:r>
        <w:rPr>
          <w:rFonts w:ascii="Arial" w:cs="Arial" w:eastAsia="Arial" w:hAnsi="Arial"/>
          <w:b w:val="false"/>
          <w:color w:val="1F2A37"/>
          <w:sz w:val="22"/>
          <w:szCs w:val="22"/>
          <w:rtl/>
        </w:rPr>
        <w:t xml:space="preserve">تجارب ملهمة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971"/>
        <w:gridCol w:w="3611"/>
      </w:tblGrid>
      <w:tr>
        <w:trPr>
          <w:tblHeader/>
        </w:trPr>
        <w:tc>
          <w:tcPr>
            <w:tcW w:type="dxa" w:w="1444"/>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النطاق</w:t>
            </w:r>
          </w:p>
        </w:tc>
        <w:tc>
          <w:tcPr>
            <w:tcW w:type="dxa" w:w="3971"/>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التجربة</w:t>
            </w:r>
          </w:p>
        </w:tc>
        <w:tc>
          <w:tcPr>
            <w:tcW w:type="dxa" w:w="3611"/>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الدرس المستفاد</w:t>
            </w:r>
          </w:p>
        </w:tc>
      </w:tr>
      <w:tr>
        <w:tc>
          <w:tcPr>
            <w:tcW w:type="dxa" w:w="144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السعودية</w:t>
            </w:r>
          </w:p>
        </w:tc>
        <w:tc>
          <w:tcPr>
            <w:tcW w:type="dxa" w:w="397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المركز الوطني للتخصيص ونظام التخصيص؛ مشاريع المدارس بالشراكة مع القطاع الخاص</w:t>
            </w:r>
          </w:p>
        </w:tc>
        <w:tc>
          <w:tcPr>
            <w:tcW w:type="dxa" w:w="361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إطار نظامي جاهز تستفيد منه الأمانة</w:t>
            </w:r>
          </w:p>
        </w:tc>
      </w:tr>
      <w:tr>
        <w:tc>
          <w:tcPr>
            <w:tcW w:type="dxa" w:w="144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السعودية</w:t>
            </w:r>
          </w:p>
        </w:tc>
        <w:tc>
          <w:tcPr>
            <w:tcW w:type="dxa" w:w="397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المركز الوطني لإدارة الدين؛ صندوق البنية التحتية الوطني</w:t>
            </w:r>
          </w:p>
        </w:tc>
        <w:tc>
          <w:tcPr>
            <w:tcW w:type="dxa" w:w="361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جهات مرجعية لمساري البنوك والسندات</w:t>
            </w:r>
          </w:p>
        </w:tc>
      </w:tr>
      <w:tr>
        <w:tc>
          <w:tcPr>
            <w:tcW w:type="dxa" w:w="144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دبي</w:t>
            </w:r>
          </w:p>
        </w:tc>
        <w:tc>
          <w:tcPr>
            <w:tcW w:type="dxa" w:w="397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قانون الشراكة بين القطاعين العام والخاص (2015)</w:t>
            </w:r>
          </w:p>
        </w:tc>
        <w:tc>
          <w:tcPr>
            <w:tcW w:type="dxa" w:w="361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إطار محلي للشراكات</w:t>
            </w:r>
          </w:p>
        </w:tc>
      </w:tr>
      <w:tr>
        <w:tc>
          <w:tcPr>
            <w:tcW w:type="dxa" w:w="144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مصر</w:t>
            </w:r>
          </w:p>
        </w:tc>
        <w:tc>
          <w:tcPr>
            <w:tcW w:type="dxa" w:w="397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الوحدة المركزية للمشاركة مع القطاع الخاص؛ أول مشروع لمعالجة الصرف في القاهرة الجديدة</w:t>
            </w:r>
          </w:p>
        </w:tc>
        <w:tc>
          <w:tcPr>
            <w:tcW w:type="dxa" w:w="361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وحدة متخصصة تراكم الخبرة</w:t>
            </w:r>
          </w:p>
        </w:tc>
      </w:tr>
      <w:tr>
        <w:tc>
          <w:tcPr>
            <w:tcW w:type="dxa" w:w="144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باريس</w:t>
            </w:r>
          </w:p>
        </w:tc>
        <w:tc>
          <w:tcPr>
            <w:tcW w:type="dxa" w:w="397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دراجات Vélib' مقابل حقوق الإعلانات</w:t>
            </w:r>
          </w:p>
        </w:tc>
        <w:tc>
          <w:tcPr>
            <w:tcW w:type="dxa" w:w="361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خدمة عامة بلا تكلفة مباشرة على الميزانية</w:t>
            </w:r>
          </w:p>
        </w:tc>
      </w:tr>
      <w:tr>
        <w:tc>
          <w:tcPr>
            <w:tcW w:type="dxa" w:w="144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هونغ كونغ</w:t>
            </w:r>
          </w:p>
        </w:tc>
        <w:tc>
          <w:tcPr>
            <w:tcW w:type="dxa" w:w="397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نموذج «السكك والعقار» لشركة MTR</w:t>
            </w:r>
          </w:p>
        </w:tc>
        <w:tc>
          <w:tcPr>
            <w:tcW w:type="dxa" w:w="361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تمويل النقل من التطوير حول المحطات</w:t>
            </w:r>
          </w:p>
        </w:tc>
      </w:tr>
      <w:tr>
        <w:tc>
          <w:tcPr>
            <w:tcW w:type="dxa" w:w="144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كوبنهاغن</w:t>
            </w:r>
          </w:p>
        </w:tc>
        <w:tc>
          <w:tcPr>
            <w:tcW w:type="dxa" w:w="397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شركة تطوير مملوكة للبلدية والدولة موّلت المترو</w:t>
            </w:r>
          </w:p>
        </w:tc>
        <w:tc>
          <w:tcPr>
            <w:tcW w:type="dxa" w:w="361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الأراضي العامة أداة تمويل</w:t>
            </w:r>
          </w:p>
        </w:tc>
      </w:tr>
      <w:tr>
        <w:tc>
          <w:tcPr>
            <w:tcW w:type="dxa" w:w="144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نيويورك وشيكاغو</w:t>
            </w:r>
          </w:p>
        </w:tc>
        <w:tc>
          <w:tcPr>
            <w:tcW w:type="dxa" w:w="397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Bryant Park تمول تشغيلها من المطاعم والفعاليات والرعايات؛ Millennium Park ومعالمها المسماة بأسماء مموليها</w:t>
            </w:r>
          </w:p>
        </w:tc>
        <w:tc>
          <w:tcPr>
            <w:tcW w:type="dxa" w:w="361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نموذج الحديقة وحقوق التسمية</w:t>
            </w:r>
          </w:p>
        </w:tc>
      </w:tr>
      <w:tr>
        <w:tc>
          <w:tcPr>
            <w:tcW w:type="dxa" w:w="144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الولايات المتحدة</w:t>
            </w:r>
          </w:p>
        </w:tc>
        <w:tc>
          <w:tcPr>
            <w:tcW w:type="dxa" w:w="397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سوق السندات البلدية: سندات الالتزام العام وسندات الإيراد</w:t>
            </w:r>
          </w:p>
        </w:tc>
        <w:tc>
          <w:tcPr>
            <w:tcW w:type="dxa" w:w="361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سندات الإيراد الأنسب لربط السداد بالمشروع</w:t>
            </w:r>
          </w:p>
        </w:tc>
      </w:tr>
      <w:tr>
        <w:tc>
          <w:tcPr>
            <w:tcW w:type="dxa" w:w="144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جوهانسبرغ ومكسيكو سيتي</w:t>
            </w:r>
          </w:p>
        </w:tc>
        <w:tc>
          <w:tcPr>
            <w:tcW w:type="dxa" w:w="397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سندات بلدية خضراء (2014 و2016)</w:t>
            </w:r>
          </w:p>
        </w:tc>
        <w:tc>
          <w:tcPr>
            <w:tcW w:type="dxa" w:w="361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التمويل الأخضر متاح للمدن</w:t>
            </w:r>
          </w:p>
        </w:tc>
      </w:tr>
      <w:tr>
        <w:tc>
          <w:tcPr>
            <w:tcW w:type="dxa" w:w="144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تحذير: بريطانيا</w:t>
            </w:r>
          </w:p>
        </w:tc>
        <w:tc>
          <w:tcPr>
            <w:tcW w:type="dxa" w:w="397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إلغاء نموذج PFI في 2018 لارتفاع تكلفته طويلة الأجل</w:t>
            </w:r>
          </w:p>
        </w:tc>
        <w:tc>
          <w:tcPr>
            <w:tcW w:type="dxa" w:w="361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«خارج الميزانية» لا يعني «أرخص»</w:t>
            </w:r>
          </w:p>
        </w:tc>
      </w:tr>
      <w:tr>
        <w:tc>
          <w:tcPr>
            <w:tcW w:type="dxa" w:w="144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تحذير: شيكاغو</w:t>
            </w:r>
          </w:p>
        </w:tc>
        <w:tc>
          <w:tcPr>
            <w:tcW w:type="dxa" w:w="397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تأجير عدادات المواقف 75 سنة بأقل من قيمتها</w:t>
            </w:r>
          </w:p>
        </w:tc>
        <w:tc>
          <w:tcPr>
            <w:tcW w:type="dxa" w:w="361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التقييم المستقل قبل أي صفقة طويلة</w:t>
            </w:r>
          </w:p>
        </w:tc>
      </w:tr>
    </w:tbl>
    <w:p>
      <w:pPr>
        <w:spacing w:after="120"/>
      </w:pPr>
    </w:p>
    <w:p>
      <w:r>
        <w:br w:type="page"/>
      </w:r>
    </w:p>
    <w:p>
      <w:pPr>
        <w:pStyle w:val="Heading1"/>
        <w:bidi/>
      </w:pPr>
      <w:r>
        <w:rPr>
          <w:rFonts w:ascii="Arial" w:cs="Arial" w:eastAsia="Arial" w:hAnsi="Arial"/>
          <w:b w:val="false"/>
          <w:color w:val="1F2A37"/>
          <w:sz w:val="22"/>
          <w:szCs w:val="22"/>
          <w:rtl/>
        </w:rPr>
        <w:t xml:space="preserve">6. إدارة الاستدامة المالية</w:t>
      </w:r>
    </w:p>
    <w:p>
      <w:pPr>
        <w:pStyle w:val="Heading2"/>
        <w:bidi/>
      </w:pPr>
      <w:r>
        <w:rPr>
          <w:rFonts w:ascii="Arial" w:cs="Arial" w:eastAsia="Arial" w:hAnsi="Arial"/>
          <w:b w:val="false"/>
          <w:color w:val="1F2A37"/>
          <w:sz w:val="22"/>
          <w:szCs w:val="22"/>
          <w:rtl/>
        </w:rPr>
        <w:t xml:space="preserve">التعريف</w:t>
      </w:r>
    </w:p>
    <w:p>
      <w:pPr>
        <w:bidi/>
        <w:spacing w:after="120" w:before="0" w:line="300"/>
        <w:jc w:val="both"/>
      </w:pPr>
      <w:r>
        <w:rPr>
          <w:rFonts w:ascii="Arial" w:cs="Arial" w:eastAsia="Arial" w:hAnsi="Arial"/>
          <w:b w:val="false"/>
          <w:color w:val="1F2A37"/>
          <w:sz w:val="22"/>
          <w:szCs w:val="22"/>
          <w:rtl/>
        </w:rPr>
        <w:t xml:space="preserve">الإدارة المسؤولة عن </w:t>
      </w:r>
      <w:r>
        <w:rPr>
          <w:rFonts w:ascii="Arial" w:cs="Arial" w:eastAsia="Arial" w:hAnsi="Arial"/>
          <w:b/>
          <w:bCs/>
          <w:color w:val="1F2A37"/>
          <w:sz w:val="22"/>
          <w:szCs w:val="22"/>
          <w:rtl/>
        </w:rPr>
        <w:t xml:space="preserve">ضمان ألا تصنع قرارات الإيرادات والتمويل اليوم عبئاً على الأمانة غداً</w:t>
      </w:r>
      <w:r>
        <w:rPr>
          <w:rFonts w:ascii="Arial" w:cs="Arial" w:eastAsia="Arial" w:hAnsi="Arial"/>
          <w:b w:val="false"/>
          <w:color w:val="1F2A37"/>
          <w:sz w:val="22"/>
          <w:szCs w:val="22"/>
          <w:rtl/>
        </w:rPr>
        <w:t xml:space="preserve">. تحدد </w:t>
      </w:r>
      <w:r>
        <w:rPr>
          <w:rFonts w:ascii="Arial" w:cs="Arial" w:eastAsia="Arial" w:hAnsi="Arial"/>
          <w:b/>
          <w:bCs/>
          <w:color w:val="1F2A37"/>
          <w:sz w:val="22"/>
          <w:szCs w:val="22"/>
          <w:rtl/>
        </w:rPr>
        <w:t xml:space="preserve">سقف قدرة الأمانة على الاقتراض والالتزام</w:t>
      </w:r>
      <w:r>
        <w:rPr>
          <w:rFonts w:ascii="Arial" w:cs="Arial" w:eastAsia="Arial" w:hAnsi="Arial"/>
          <w:b w:val="false"/>
          <w:color w:val="1F2A37"/>
          <w:sz w:val="22"/>
          <w:szCs w:val="22"/>
          <w:rtl/>
        </w:rPr>
        <w:t xml:space="preserve">، وتراجع مالياً كل صفقة تمويل قبل اعتمادها، وتحصر الالتزامات طويلة الأجل وتديرها، وتعدّ الإسقاطات المالية واختبارات الضغط، و</w:t>
      </w:r>
      <w:r>
        <w:rPr>
          <w:rFonts w:ascii="Arial" w:cs="Arial" w:eastAsia="Arial" w:hAnsi="Arial"/>
          <w:b/>
          <w:bCs/>
          <w:color w:val="1F2A37"/>
          <w:sz w:val="22"/>
          <w:szCs w:val="22"/>
          <w:rtl/>
        </w:rPr>
        <w:t xml:space="preserve">تقود برنامج كفاءة الإنفاق في الأمانة</w:t>
      </w:r>
      <w:r>
        <w:rPr>
          <w:rFonts w:ascii="Arial" w:cs="Arial" w:eastAsia="Arial" w:hAnsi="Arial"/>
          <w:b w:val="false"/>
          <w:color w:val="1F2A37"/>
          <w:sz w:val="22"/>
          <w:szCs w:val="22"/>
          <w:rtl/>
        </w:rPr>
        <w:t xml:space="preserve">، وتقيس </w:t>
      </w:r>
      <w:r>
        <w:rPr>
          <w:rFonts w:ascii="Arial" w:cs="Arial" w:eastAsia="Arial" w:hAnsi="Arial"/>
          <w:b/>
          <w:bCs/>
          <w:color w:val="1F2A37"/>
          <w:sz w:val="22"/>
          <w:szCs w:val="22"/>
          <w:rtl/>
        </w:rPr>
        <w:t xml:space="preserve">الصحة المالية</w:t>
      </w:r>
      <w:r>
        <w:rPr>
          <w:rFonts w:ascii="Arial" w:cs="Arial" w:eastAsia="Arial" w:hAnsi="Arial"/>
          <w:b w:val="false"/>
          <w:color w:val="1F2A37"/>
          <w:sz w:val="22"/>
          <w:szCs w:val="22"/>
          <w:rtl/>
        </w:rPr>
        <w:t xml:space="preserve"> للأمانة.</w:t>
      </w:r>
    </w:p>
    <w:p>
      <w:pPr>
        <w:pStyle w:val="Heading2"/>
        <w:bidi/>
      </w:pPr>
      <w:r>
        <w:rPr>
          <w:rFonts w:ascii="Arial" w:cs="Arial" w:eastAsia="Arial" w:hAnsi="Arial"/>
          <w:b w:val="false"/>
          <w:color w:val="1F2A37"/>
          <w:sz w:val="22"/>
          <w:szCs w:val="22"/>
          <w:rtl/>
        </w:rPr>
        <w:t xml:space="preserve">الرسالة</w:t>
      </w:r>
    </w:p>
    <w:p>
      <w:pPr>
        <w:pBdr>
          <w:right w:val="single" w:color="006A46" w:sz="24" w:space="8"/>
        </w:pBdr>
        <w:shd w:fill="F1F5F3" w:color="auto" w:val="clear"/>
        <w:bidi/>
        <w:spacing w:after="160" w:before="0" w:line="300"/>
        <w:ind w:start="120" w:end="120"/>
        <w:jc w:val="both"/>
      </w:pPr>
      <w:r>
        <w:rPr>
          <w:rFonts w:ascii="Arial" w:cs="Arial" w:eastAsia="Arial" w:hAnsi="Arial"/>
          <w:b w:val="false"/>
          <w:color w:val="1F2A37"/>
          <w:sz w:val="22"/>
          <w:szCs w:val="22"/>
          <w:rtl/>
        </w:rPr>
        <w:t xml:space="preserve">حماية الملاءة المالية للأمانة على المدى الطويل، عبر قواعد مالية واضحة، وتقييم مستقل للمخاطر، وإنفاق كفء، ورؤية مالية تتجاوز السنة الحالية.</w:t>
      </w:r>
    </w:p>
    <w:p>
      <w:pPr>
        <w:pBdr>
          <w:right w:val="single" w:color="006A46" w:sz="24" w:space="8"/>
        </w:pBdr>
        <w:shd w:fill="F1F5F3" w:color="auto" w:val="clear"/>
        <w:bidi/>
        <w:spacing w:after="160" w:before="0" w:line="300"/>
        <w:ind w:start="120" w:end="120"/>
        <w:jc w:val="both"/>
      </w:pPr>
      <w:r>
        <w:rPr>
          <w:rFonts w:ascii="Arial" w:cs="Arial" w:eastAsia="Arial" w:hAnsi="Arial"/>
          <w:b/>
          <w:bCs/>
          <w:color w:val="1F2A37"/>
          <w:sz w:val="22"/>
          <w:szCs w:val="22"/>
          <w:rtl/>
        </w:rPr>
        <w:t xml:space="preserve">الإيرادات</w:t>
      </w:r>
      <w:r>
        <w:rPr>
          <w:rFonts w:ascii="Arial" w:cs="Arial" w:eastAsia="Arial" w:hAnsi="Arial"/>
          <w:b w:val="false"/>
          <w:color w:val="1F2A37"/>
          <w:sz w:val="22"/>
          <w:szCs w:val="22"/>
          <w:rtl/>
        </w:rPr>
        <w:t xml:space="preserve"> تقول: هذا ما سنحصّله. </w:t>
      </w:r>
      <w:r>
        <w:rPr>
          <w:rFonts w:ascii="Arial" w:cs="Arial" w:eastAsia="Arial" w:hAnsi="Arial"/>
          <w:b/>
          <w:bCs/>
          <w:color w:val="1F2A37"/>
          <w:sz w:val="22"/>
          <w:szCs w:val="22"/>
          <w:rtl/>
        </w:rPr>
        <w:t xml:space="preserve">التمويل</w:t>
      </w:r>
      <w:r>
        <w:rPr>
          <w:rFonts w:ascii="Arial" w:cs="Arial" w:eastAsia="Arial" w:hAnsi="Arial"/>
          <w:b w:val="false"/>
          <w:color w:val="1F2A37"/>
          <w:sz w:val="22"/>
          <w:szCs w:val="22"/>
          <w:rtl/>
        </w:rPr>
        <w:t xml:space="preserve"> يقول: هذا ما نحتاج تمويله. </w:t>
      </w:r>
      <w:r>
        <w:rPr>
          <w:rFonts w:ascii="Arial" w:cs="Arial" w:eastAsia="Arial" w:hAnsi="Arial"/>
          <w:b/>
          <w:bCs/>
          <w:color w:val="1F2A37"/>
          <w:sz w:val="22"/>
          <w:szCs w:val="22"/>
          <w:rtl/>
        </w:rPr>
        <w:t xml:space="preserve">الاستدامة</w:t>
      </w:r>
      <w:r>
        <w:rPr>
          <w:rFonts w:ascii="Arial" w:cs="Arial" w:eastAsia="Arial" w:hAnsi="Arial"/>
          <w:b w:val="false"/>
          <w:color w:val="1F2A37"/>
          <w:sz w:val="22"/>
          <w:szCs w:val="22"/>
          <w:rtl/>
        </w:rPr>
        <w:t xml:space="preserve"> تقول: </w:t>
      </w:r>
      <w:r>
        <w:rPr>
          <w:rFonts w:ascii="Arial" w:cs="Arial" w:eastAsia="Arial" w:hAnsi="Arial"/>
          <w:b/>
          <w:bCs/>
          <w:color w:val="1F2A37"/>
          <w:sz w:val="22"/>
          <w:szCs w:val="22"/>
          <w:rtl/>
        </w:rPr>
        <w:t xml:space="preserve">هذا ما نتحمله بأمان.</w:t>
      </w:r>
    </w:p>
    <w:p>
      <w:pPr>
        <w:pStyle w:val="Heading2"/>
        <w:bidi/>
      </w:pPr>
      <w:r>
        <w:rPr>
          <w:rFonts w:ascii="Arial" w:cs="Arial" w:eastAsia="Arial" w:hAnsi="Arial"/>
          <w:b w:val="false"/>
          <w:color w:val="1F2A37"/>
          <w:sz w:val="22"/>
          <w:szCs w:val="22"/>
          <w:rtl/>
        </w:rPr>
        <w:t xml:space="preserve">القواعد المالية المقترحة</w:t>
      </w:r>
    </w:p>
    <w:p>
      <w:pPr>
        <w:bidi/>
        <w:spacing w:after="120" w:before="0" w:line="300"/>
        <w:jc w:val="both"/>
      </w:pPr>
      <w:r>
        <w:rPr>
          <w:rFonts w:ascii="Arial" w:cs="Arial" w:eastAsia="Arial" w:hAnsi="Arial"/>
          <w:b w:val="false"/>
          <w:color w:val="1F2A37"/>
          <w:sz w:val="22"/>
          <w:szCs w:val="22"/>
          <w:rtl/>
        </w:rPr>
        <w:t xml:space="preserve">تعدّها الإدارة وتعتمدها </w:t>
      </w:r>
      <w:r>
        <w:rPr>
          <w:rFonts w:ascii="Arial" w:cs="Arial" w:eastAsia="Arial" w:hAnsi="Arial"/>
          <w:b/>
          <w:bCs/>
          <w:color w:val="1F2A37"/>
          <w:sz w:val="22"/>
          <w:szCs w:val="22"/>
          <w:rtl/>
        </w:rPr>
        <w:t xml:space="preserve">اللجنة العليا للتمويل ثم سمو الأمين</w:t>
      </w:r>
      <w:r>
        <w:rPr>
          <w:rFonts w:ascii="Arial" w:cs="Arial" w:eastAsia="Arial" w:hAnsi="Arial"/>
          <w:b w:val="false"/>
          <w:color w:val="1F2A37"/>
          <w:sz w:val="22"/>
          <w:szCs w:val="22"/>
          <w:rtl/>
        </w:rPr>
        <w:t xml:space="preserve">، وتُحدَّد النسب بعد بناء خط الأساس:</w:t>
      </w:r>
    </w:p>
    <w:p>
      <w:pPr>
        <w:pStyle w:val="ListParagraph"/>
        <w:numPr>
          <w:ilvl w:val="0"/>
          <w:numId w:val="9"/>
        </w:numPr>
        <w:bidi/>
        <w:spacing w:after="60" w:line="290"/>
        <w:jc w:val="both"/>
      </w:pPr>
      <w:r>
        <w:rPr>
          <w:rFonts w:ascii="Arial" w:cs="Arial" w:eastAsia="Arial" w:hAnsi="Arial"/>
          <w:b/>
          <w:bCs/>
          <w:color w:val="1F2A37"/>
          <w:sz w:val="22"/>
          <w:szCs w:val="22"/>
          <w:rtl/>
        </w:rPr>
        <w:t xml:space="preserve">سقف خدمة الدين:</w:t>
      </w:r>
      <w:r>
        <w:rPr>
          <w:rFonts w:ascii="Arial" w:cs="Arial" w:eastAsia="Arial" w:hAnsi="Arial"/>
          <w:b w:val="false"/>
          <w:color w:val="1F2A37"/>
          <w:sz w:val="22"/>
          <w:szCs w:val="22"/>
          <w:rtl/>
        </w:rPr>
        <w:t xml:space="preserve"> لا تتجاوز الأقساط السنوية للبنوك والصكوك (X%) من </w:t>
      </w:r>
      <w:r>
        <w:rPr>
          <w:rFonts w:ascii="Arial" w:cs="Arial" w:eastAsia="Arial" w:hAnsi="Arial"/>
          <w:b/>
          <w:bCs/>
          <w:color w:val="1F2A37"/>
          <w:sz w:val="22"/>
          <w:szCs w:val="22"/>
          <w:rtl/>
        </w:rPr>
        <w:t xml:space="preserve">الإيرادات المستقرة</w:t>
      </w:r>
      <w:r>
        <w:rPr>
          <w:rFonts w:ascii="Arial" w:cs="Arial" w:eastAsia="Arial" w:hAnsi="Arial"/>
          <w:b w:val="false"/>
          <w:color w:val="1F2A37"/>
          <w:sz w:val="22"/>
          <w:szCs w:val="22"/>
          <w:rtl/>
        </w:rPr>
        <w:t xml:space="preserve">.</w:t>
      </w:r>
    </w:p>
    <w:p>
      <w:pPr>
        <w:pStyle w:val="ListParagraph"/>
        <w:numPr>
          <w:ilvl w:val="0"/>
          <w:numId w:val="9"/>
        </w:numPr>
        <w:bidi/>
        <w:spacing w:after="60" w:line="290"/>
        <w:jc w:val="both"/>
      </w:pPr>
      <w:r>
        <w:rPr>
          <w:rFonts w:ascii="Arial" w:cs="Arial" w:eastAsia="Arial" w:hAnsi="Arial"/>
          <w:b/>
          <w:bCs/>
          <w:color w:val="1F2A37"/>
          <w:sz w:val="22"/>
          <w:szCs w:val="22"/>
          <w:rtl/>
        </w:rPr>
        <w:t xml:space="preserve">سقف الالتزامات طويلة الأجل:</w:t>
      </w:r>
      <w:r>
        <w:rPr>
          <w:rFonts w:ascii="Arial" w:cs="Arial" w:eastAsia="Arial" w:hAnsi="Arial"/>
          <w:b w:val="false"/>
          <w:color w:val="1F2A37"/>
          <w:sz w:val="22"/>
          <w:szCs w:val="22"/>
          <w:rtl/>
        </w:rPr>
        <w:t xml:space="preserve"> دفعات الإتاحة وضمانات الحد الأدنى للإيراد لا تتجاوز (Y%) من الإيرادات.</w:t>
      </w:r>
    </w:p>
    <w:p>
      <w:pPr>
        <w:pStyle w:val="ListParagraph"/>
        <w:numPr>
          <w:ilvl w:val="0"/>
          <w:numId w:val="9"/>
        </w:numPr>
        <w:bidi/>
        <w:spacing w:after="60" w:line="290"/>
        <w:jc w:val="both"/>
      </w:pPr>
      <w:r>
        <w:rPr>
          <w:rFonts w:ascii="Arial" w:cs="Arial" w:eastAsia="Arial" w:hAnsi="Arial"/>
          <w:b/>
          <w:bCs/>
          <w:color w:val="1F2A37"/>
          <w:sz w:val="22"/>
          <w:szCs w:val="22"/>
          <w:rtl/>
        </w:rPr>
        <w:t xml:space="preserve">لا تمويل بلا مصدر سداد:</w:t>
      </w:r>
      <w:r>
        <w:rPr>
          <w:rFonts w:ascii="Arial" w:cs="Arial" w:eastAsia="Arial" w:hAnsi="Arial"/>
          <w:b w:val="false"/>
          <w:color w:val="1F2A37"/>
          <w:sz w:val="22"/>
          <w:szCs w:val="22"/>
          <w:rtl/>
        </w:rPr>
        <w:t xml:space="preserve"> أي تمويل يُرفع للّجنة يحدد مصدر سداده بالأرقام.</w:t>
      </w:r>
    </w:p>
    <w:p>
      <w:pPr>
        <w:pStyle w:val="ListParagraph"/>
        <w:numPr>
          <w:ilvl w:val="0"/>
          <w:numId w:val="9"/>
        </w:numPr>
        <w:bidi/>
        <w:spacing w:after="60" w:line="290"/>
        <w:jc w:val="both"/>
      </w:pPr>
      <w:r>
        <w:rPr>
          <w:rFonts w:ascii="Arial" w:cs="Arial" w:eastAsia="Arial" w:hAnsi="Arial"/>
          <w:b/>
          <w:bCs/>
          <w:color w:val="1F2A37"/>
          <w:sz w:val="22"/>
          <w:szCs w:val="22"/>
          <w:rtl/>
        </w:rPr>
        <w:t xml:space="preserve">القاعدة الذهبية:</w:t>
      </w:r>
      <w:r>
        <w:rPr>
          <w:rFonts w:ascii="Arial" w:cs="Arial" w:eastAsia="Arial" w:hAnsi="Arial"/>
          <w:b w:val="false"/>
          <w:color w:val="1F2A37"/>
          <w:sz w:val="22"/>
          <w:szCs w:val="22"/>
          <w:rtl/>
        </w:rPr>
        <w:t xml:space="preserve"> الاقتراض للمشاريع الرأسمالية فقط، لا للمصروفات التشغيلية.</w:t>
      </w:r>
    </w:p>
    <w:p>
      <w:pPr>
        <w:pStyle w:val="ListParagraph"/>
        <w:numPr>
          <w:ilvl w:val="0"/>
          <w:numId w:val="9"/>
        </w:numPr>
        <w:bidi/>
        <w:spacing w:after="60" w:line="290"/>
        <w:jc w:val="both"/>
      </w:pPr>
      <w:r>
        <w:rPr>
          <w:rFonts w:ascii="Arial" w:cs="Arial" w:eastAsia="Arial" w:hAnsi="Arial"/>
          <w:b/>
          <w:bCs/>
          <w:color w:val="1F2A37"/>
          <w:sz w:val="22"/>
          <w:szCs w:val="22"/>
          <w:rtl/>
        </w:rPr>
        <w:t xml:space="preserve">تنويع آجال الاستحقاق:</w:t>
      </w:r>
      <w:r>
        <w:rPr>
          <w:rFonts w:ascii="Arial" w:cs="Arial" w:eastAsia="Arial" w:hAnsi="Arial"/>
          <w:b w:val="false"/>
          <w:color w:val="1F2A37"/>
          <w:sz w:val="22"/>
          <w:szCs w:val="22"/>
          <w:rtl/>
        </w:rPr>
        <w:t xml:space="preserve"> لا تتركز الأقساط الكبيرة في سنة واحدة.</w:t>
      </w:r>
    </w:p>
    <w:p>
      <w:pPr>
        <w:pStyle w:val="ListParagraph"/>
        <w:numPr>
          <w:ilvl w:val="0"/>
          <w:numId w:val="9"/>
        </w:numPr>
        <w:bidi/>
        <w:spacing w:after="60" w:line="290"/>
        <w:jc w:val="both"/>
      </w:pPr>
      <w:r>
        <w:rPr>
          <w:rFonts w:ascii="Arial" w:cs="Arial" w:eastAsia="Arial" w:hAnsi="Arial"/>
          <w:b/>
          <w:bCs/>
          <w:color w:val="1F2A37"/>
          <w:sz w:val="22"/>
          <w:szCs w:val="22"/>
          <w:rtl/>
        </w:rPr>
        <w:t xml:space="preserve">هامش أمان:</w:t>
      </w:r>
      <w:r>
        <w:rPr>
          <w:rFonts w:ascii="Arial" w:cs="Arial" w:eastAsia="Arial" w:hAnsi="Arial"/>
          <w:b w:val="false"/>
          <w:color w:val="1F2A37"/>
          <w:sz w:val="22"/>
          <w:szCs w:val="22"/>
          <w:rtl/>
        </w:rPr>
        <w:t xml:space="preserve"> جزء من قدرة الاقتراض يبقى غير مستخدم للطوارئ.</w:t>
      </w:r>
    </w:p>
    <w:p>
      <w:pPr>
        <w:pStyle w:val="ListParagraph"/>
        <w:numPr>
          <w:ilvl w:val="0"/>
          <w:numId w:val="9"/>
        </w:numPr>
        <w:bidi/>
        <w:spacing w:after="60" w:line="290"/>
        <w:jc w:val="both"/>
      </w:pPr>
      <w:r>
        <w:rPr>
          <w:rFonts w:ascii="Arial" w:cs="Arial" w:eastAsia="Arial" w:hAnsi="Arial"/>
          <w:b/>
          <w:bCs/>
          <w:color w:val="1F2A37"/>
          <w:sz w:val="22"/>
          <w:szCs w:val="22"/>
          <w:rtl/>
        </w:rPr>
        <w:t xml:space="preserve">المراجعة الإلزامية:</w:t>
      </w:r>
      <w:r>
        <w:rPr>
          <w:rFonts w:ascii="Arial" w:cs="Arial" w:eastAsia="Arial" w:hAnsi="Arial"/>
          <w:b w:val="false"/>
          <w:color w:val="1F2A37"/>
          <w:sz w:val="22"/>
          <w:szCs w:val="22"/>
          <w:rtl/>
        </w:rPr>
        <w:t xml:space="preserve"> كل صفقة تتجاوز حداً معيناً للمدة أو القيمة تمر على الإدارة قبل رفعها للّجنة.</w:t>
      </w:r>
    </w:p>
    <w:p>
      <w:pPr>
        <w:pStyle w:val="ListParagraph"/>
        <w:numPr>
          <w:ilvl w:val="0"/>
          <w:numId w:val="9"/>
        </w:numPr>
        <w:bidi/>
        <w:spacing w:after="60" w:line="290"/>
        <w:jc w:val="both"/>
      </w:pPr>
      <w:r>
        <w:rPr>
          <w:rFonts w:ascii="Arial" w:cs="Arial" w:eastAsia="Arial" w:hAnsi="Arial"/>
          <w:b/>
          <w:bCs/>
          <w:color w:val="1F2A37"/>
          <w:sz w:val="22"/>
          <w:szCs w:val="22"/>
          <w:rtl/>
        </w:rPr>
        <w:t xml:space="preserve">تكلفة دورة الحياة:</w:t>
      </w:r>
      <w:r>
        <w:rPr>
          <w:rFonts w:ascii="Arial" w:cs="Arial" w:eastAsia="Arial" w:hAnsi="Arial"/>
          <w:b w:val="false"/>
          <w:color w:val="1F2A37"/>
          <w:sz w:val="22"/>
          <w:szCs w:val="22"/>
          <w:rtl/>
        </w:rPr>
        <w:t xml:space="preserve"> يُحسب لكل مشروع جديد تكلفة تشغيله وصيانته طوال عمره، لا تكلفة إنشائه فقط.</w:t>
      </w:r>
    </w:p>
    <w:p>
      <w:pPr>
        <w:pStyle w:val="Heading2"/>
        <w:bidi/>
      </w:pPr>
      <w:r>
        <w:rPr>
          <w:rFonts w:ascii="Arial" w:cs="Arial" w:eastAsia="Arial" w:hAnsi="Arial"/>
          <w:b w:val="false"/>
          <w:color w:val="1F2A37"/>
          <w:sz w:val="22"/>
          <w:szCs w:val="22"/>
          <w:rtl/>
        </w:rPr>
        <w:t xml:space="preserve">صلاحية مصادر الإيرادات لضمان السداد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1805"/>
        <w:gridCol w:w="4062"/>
      </w:tblGrid>
      <w:tr>
        <w:trPr>
          <w:tblHeader/>
        </w:trPr>
        <w:tc>
          <w:tcPr>
            <w:tcW w:type="dxa" w:w="3159"/>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المصدر</w:t>
            </w:r>
          </w:p>
        </w:tc>
        <w:tc>
          <w:tcPr>
            <w:tcW w:type="dxa" w:w="1805"/>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الصلاحية</w:t>
            </w:r>
          </w:p>
        </w:tc>
        <w:tc>
          <w:tcPr>
            <w:tcW w:type="dxa" w:w="4062"/>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السبب</w:t>
            </w:r>
          </w:p>
        </w:tc>
      </w:tr>
      <w:tr>
        <w:tc>
          <w:tcPr>
            <w:tcW w:type="dxa" w:w="315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الإيرادات الاستثمارية (الإيجارات)</w:t>
            </w:r>
          </w:p>
        </w:tc>
        <w:tc>
          <w:tcPr>
            <w:tcW w:type="dxa" w:w="1805"/>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مناسبة جداً</w:t>
            </w:r>
          </w:p>
        </w:tc>
        <w:tc>
          <w:tcPr>
            <w:tcW w:type="dxa" w:w="4062"/>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مستقرة وتعاقدية</w:t>
            </w:r>
          </w:p>
        </w:tc>
      </w:tr>
      <w:tr>
        <w:tc>
          <w:tcPr>
            <w:tcW w:type="dxa" w:w="315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الرسوم والتراخيص</w:t>
            </w:r>
          </w:p>
        </w:tc>
        <w:tc>
          <w:tcPr>
            <w:tcW w:type="dxa" w:w="1805"/>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مناسبة بحذر</w:t>
            </w:r>
          </w:p>
        </w:tc>
        <w:tc>
          <w:tcPr>
            <w:tcW w:type="dxa" w:w="4062"/>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الإنشائية منها تتذبذب مع سوق البناء</w:t>
            </w:r>
          </w:p>
        </w:tc>
      </w:tr>
      <w:tr>
        <w:tc>
          <w:tcPr>
            <w:tcW w:type="dxa" w:w="315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الجزاءات والغرامات</w:t>
            </w:r>
          </w:p>
        </w:tc>
        <w:tc>
          <w:tcPr>
            <w:tcW w:type="dxa" w:w="1805"/>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غير مناسبة</w:t>
            </w:r>
          </w:p>
        </w:tc>
        <w:tc>
          <w:tcPr>
            <w:tcW w:type="dxa" w:w="4062"/>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هدفها الالتزام لا الإيراد</w:t>
            </w:r>
          </w:p>
        </w:tc>
      </w:tr>
      <w:tr>
        <w:tc>
          <w:tcPr>
            <w:tcW w:type="dxa" w:w="315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التبغ</w:t>
            </w:r>
          </w:p>
        </w:tc>
        <w:tc>
          <w:tcPr>
            <w:tcW w:type="dxa" w:w="1805"/>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غير مناسب</w:t>
            </w:r>
          </w:p>
        </w:tc>
        <w:tc>
          <w:tcPr>
            <w:tcW w:type="dxa" w:w="4062"/>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متوقع تراجعه</w:t>
            </w:r>
          </w:p>
        </w:tc>
      </w:tr>
      <w:tr>
        <w:tc>
          <w:tcPr>
            <w:tcW w:type="dxa" w:w="315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الإيواء</w:t>
            </w:r>
          </w:p>
        </w:tc>
        <w:tc>
          <w:tcPr>
            <w:tcW w:type="dxa" w:w="1805"/>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مناسب بحذر</w:t>
            </w:r>
          </w:p>
        </w:tc>
        <w:tc>
          <w:tcPr>
            <w:tcW w:type="dxa" w:w="4062"/>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نمو متوقع لكنه مرتبط بدورة السياحة والأحداث</w:t>
            </w:r>
          </w:p>
        </w:tc>
      </w:tr>
    </w:tbl>
    <w:p>
      <w:pPr>
        <w:spacing w:after="120"/>
      </w:pPr>
    </w:p>
    <w:p>
      <w:pPr>
        <w:pStyle w:val="Heading2"/>
        <w:bidi/>
      </w:pPr>
      <w:r>
        <w:rPr>
          <w:rFonts w:ascii="Arial" w:cs="Arial" w:eastAsia="Arial" w:hAnsi="Arial"/>
          <w:b w:val="false"/>
          <w:color w:val="1F2A37"/>
          <w:sz w:val="22"/>
          <w:szCs w:val="22"/>
          <w:rtl/>
        </w:rPr>
        <w:t xml:space="preserve">الأقسام</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القسم</w:t>
            </w:r>
          </w:p>
        </w:tc>
        <w:tc>
          <w:tcPr>
            <w:tcW w:type="dxa" w:w="631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المسؤوليات الرئيسية</w:t>
            </w:r>
          </w:p>
        </w:tc>
      </w:tr>
      <w:tr>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قسم السياسات والقواعد المالية</w:t>
            </w:r>
          </w:p>
        </w:tc>
        <w:tc>
          <w:tcPr>
            <w:tcW w:type="dxa" w:w="631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إعداد القواعد المالية ومراقبة الالتزام بها، وحساب قدرة الأمانة على الاقتراض والالتزام.</w:t>
            </w:r>
          </w:p>
        </w:tc>
      </w:tr>
      <w:tr>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قسم المخاطر والالتزامات المالية</w:t>
            </w:r>
          </w:p>
        </w:tc>
        <w:tc>
          <w:tcPr>
            <w:tcW w:type="dxa" w:w="631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سجل الالتزامات (القروض، الصكوك، عقود الشراكة، الضمانات)، وتقييم مخاطر كل صفقة قبل اعتمادها، ومتابعة جداول السداد.</w:t>
            </w:r>
          </w:p>
        </w:tc>
      </w:tr>
      <w:tr>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قسم الإسقاطات المالية وكفاءة الإنفاق</w:t>
            </w:r>
          </w:p>
        </w:tc>
        <w:tc>
          <w:tcPr>
            <w:tcW w:type="dxa" w:w="631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الإسقاطات لعشر سنوات واختبارات الضغط، وتحليل تكلفة الخدمات البلدية، وقيادة برنامج كفاءة الإنفاق في الأمانة.</w:t>
            </w:r>
          </w:p>
        </w:tc>
      </w:tr>
    </w:tbl>
    <w:p>
      <w:pPr>
        <w:spacing w:after="120"/>
      </w:pPr>
    </w:p>
    <w:p>
      <w:pPr>
        <w:pStyle w:val="Heading2"/>
        <w:bidi/>
      </w:pPr>
      <w:r>
        <w:rPr>
          <w:rFonts w:ascii="Arial" w:cs="Arial" w:eastAsia="Arial" w:hAnsi="Arial"/>
          <w:b w:val="false"/>
          <w:color w:val="1F2A37"/>
          <w:sz w:val="22"/>
          <w:szCs w:val="22"/>
          <w:rtl/>
        </w:rPr>
        <w:t xml:space="preserve">الأهداف ومؤشرات الأداء</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3610"/>
        <w:gridCol w:w="4874"/>
      </w:tblGrid>
      <w:tr>
        <w:trPr>
          <w:tblHeader/>
        </w:trPr>
        <w:tc>
          <w:tcPr>
            <w:tcW w:type="dxa" w:w="542"/>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w:t>
            </w:r>
          </w:p>
        </w:tc>
        <w:tc>
          <w:tcPr>
            <w:tcW w:type="dxa" w:w="3610"/>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الهدف</w:t>
            </w:r>
          </w:p>
        </w:tc>
        <w:tc>
          <w:tcPr>
            <w:tcW w:type="dxa" w:w="4874"/>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مؤشرات الأداء</w:t>
            </w:r>
          </w:p>
        </w:tc>
      </w:tr>
      <w:tr>
        <w:tc>
          <w:tcPr>
            <w:tcW w:type="dxa" w:w="542"/>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1</w:t>
            </w:r>
          </w:p>
        </w:tc>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قواعد مالية واضحة ومعتمدة تحكم الاقتراض والالتزامات</w:t>
            </w:r>
          </w:p>
        </w:tc>
        <w:tc>
          <w:tcPr>
            <w:tcW w:type="dxa" w:w="487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اعتماد القواعد المالية</w:t>
            </w:r>
          </w:p>
          <w:p>
            <w:pPr>
              <w:bidi/>
              <w:spacing w:after="20"/>
            </w:pPr>
            <w:r>
              <w:rPr>
                <w:rFonts w:ascii="Arial" w:cs="Arial" w:eastAsia="Arial" w:hAnsi="Arial"/>
                <w:b w:val="false"/>
                <w:color w:val="1F2A37"/>
                <w:sz w:val="19"/>
                <w:szCs w:val="19"/>
                <w:rtl/>
              </w:rPr>
              <w:t xml:space="preserve">نسبة الالتزام بها</w:t>
            </w:r>
          </w:p>
        </w:tc>
      </w:tr>
      <w:tr>
        <w:tc>
          <w:tcPr>
            <w:tcW w:type="dxa" w:w="542"/>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w:t>
            </w:r>
          </w:p>
        </w:tc>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لا صفقة بدون مراجعة استدامة</w:t>
            </w:r>
          </w:p>
        </w:tc>
        <w:tc>
          <w:tcPr>
            <w:tcW w:type="dxa" w:w="487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نسبة صفقات التمويل المراجعة قبل اعتمادها (المستهدف 100%)</w:t>
            </w:r>
          </w:p>
          <w:p>
            <w:pPr>
              <w:bidi/>
              <w:spacing w:after="20"/>
            </w:pPr>
            <w:r>
              <w:rPr>
                <w:rFonts w:ascii="Arial" w:cs="Arial" w:eastAsia="Arial" w:hAnsi="Arial"/>
                <w:b w:val="false"/>
                <w:color w:val="1F2A37"/>
                <w:sz w:val="19"/>
                <w:szCs w:val="19"/>
                <w:rtl/>
              </w:rPr>
              <w:t xml:space="preserve">متوسط مدة المراجعة</w:t>
            </w:r>
          </w:p>
        </w:tc>
      </w:tr>
      <w:tr>
        <w:tc>
          <w:tcPr>
            <w:tcW w:type="dxa" w:w="542"/>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3</w:t>
            </w:r>
          </w:p>
        </w:tc>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رؤية كاملة لالتزامات الأمانة</w:t>
            </w:r>
          </w:p>
        </w:tc>
        <w:tc>
          <w:tcPr>
            <w:tcW w:type="dxa" w:w="487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نسبة الالتزامات المسجلة في السجل</w:t>
            </w:r>
          </w:p>
          <w:p>
            <w:pPr>
              <w:bidi/>
              <w:spacing w:after="20"/>
            </w:pPr>
            <w:r>
              <w:rPr>
                <w:rFonts w:ascii="Arial" w:cs="Arial" w:eastAsia="Arial" w:hAnsi="Arial"/>
                <w:b w:val="false"/>
                <w:color w:val="1F2A37"/>
                <w:sz w:val="19"/>
                <w:szCs w:val="19"/>
                <w:rtl/>
              </w:rPr>
              <w:t xml:space="preserve">نسبة خدمة الدين إلى الإيرادات المستقرة</w:t>
            </w:r>
          </w:p>
        </w:tc>
      </w:tr>
      <w:tr>
        <w:tc>
          <w:tcPr>
            <w:tcW w:type="dxa" w:w="542"/>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4</w:t>
            </w:r>
          </w:p>
        </w:tc>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استشراف المخاطر قبل وقوعها</w:t>
            </w:r>
          </w:p>
        </w:tc>
        <w:tc>
          <w:tcPr>
            <w:tcW w:type="dxa" w:w="487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إصدار تقرير الاستدامة المالية السنوي في موعده</w:t>
            </w:r>
          </w:p>
          <w:p>
            <w:pPr>
              <w:bidi/>
              <w:spacing w:after="20"/>
            </w:pPr>
            <w:r>
              <w:rPr>
                <w:rFonts w:ascii="Arial" w:cs="Arial" w:eastAsia="Arial" w:hAnsi="Arial"/>
                <w:b w:val="false"/>
                <w:color w:val="1F2A37"/>
                <w:sz w:val="19"/>
                <w:szCs w:val="19"/>
                <w:rtl/>
              </w:rPr>
              <w:t xml:space="preserve">عدد سيناريوهات الضغط المختبرة</w:t>
            </w:r>
          </w:p>
        </w:tc>
      </w:tr>
      <w:tr>
        <w:tc>
          <w:tcPr>
            <w:tcW w:type="dxa" w:w="542"/>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5</w:t>
            </w:r>
          </w:p>
        </w:tc>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رفع كفاءة الإنفاق</w:t>
            </w:r>
          </w:p>
        </w:tc>
        <w:tc>
          <w:tcPr>
            <w:tcW w:type="dxa" w:w="487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الوفر المحقق من مبادرات الكفاءة</w:t>
            </w:r>
          </w:p>
          <w:p>
            <w:pPr>
              <w:bidi/>
              <w:spacing w:after="20"/>
            </w:pPr>
            <w:r>
              <w:rPr>
                <w:rFonts w:ascii="Arial" w:cs="Arial" w:eastAsia="Arial" w:hAnsi="Arial"/>
                <w:b w:val="false"/>
                <w:color w:val="1F2A37"/>
                <w:sz w:val="19"/>
                <w:szCs w:val="19"/>
                <w:rtl/>
              </w:rPr>
              <w:t xml:space="preserve">عدد الخدمات المحسوبة تكلفتها الفعلية</w:t>
            </w:r>
          </w:p>
          <w:p>
            <w:pPr>
              <w:bidi/>
              <w:spacing w:after="20"/>
            </w:pPr>
            <w:r>
              <w:rPr>
                <w:rFonts w:ascii="Arial" w:cs="Arial" w:eastAsia="Arial" w:hAnsi="Arial"/>
                <w:b w:val="false"/>
                <w:color w:val="1F2A37"/>
                <w:sz w:val="19"/>
                <w:szCs w:val="19"/>
                <w:rtl/>
              </w:rPr>
              <w:t xml:space="preserve">نسبة توصيات الكفاءة المنفذة</w:t>
            </w:r>
          </w:p>
        </w:tc>
      </w:tr>
    </w:tbl>
    <w:p>
      <w:pPr>
        <w:spacing w:after="120"/>
      </w:pPr>
    </w:p>
    <w:p>
      <w:pPr>
        <w:pStyle w:val="Heading2"/>
        <w:bidi/>
      </w:pPr>
      <w:r>
        <w:rPr>
          <w:rFonts w:ascii="Arial" w:cs="Arial" w:eastAsia="Arial" w:hAnsi="Arial"/>
          <w:b w:val="false"/>
          <w:color w:val="1F2A37"/>
          <w:sz w:val="22"/>
          <w:szCs w:val="22"/>
          <w:rtl/>
        </w:rPr>
        <w:t xml:space="preserve">المبادرات (2026–2030)</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المرحلة</w:t>
            </w:r>
          </w:p>
        </w:tc>
        <w:tc>
          <w:tcPr>
            <w:tcW w:type="dxa" w:w="6860"/>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المبادرات</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2026 — التأسيس</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سجل الالتزامات المالية الحالية (قروض، عقود شراكة، ضمانات، التزامات تعاقدية طويلة)</w:t>
            </w:r>
          </w:p>
          <w:p>
            <w:pPr>
              <w:bidi/>
              <w:spacing w:after="20"/>
            </w:pPr>
            <w:r>
              <w:rPr>
                <w:rFonts w:ascii="Arial" w:cs="Arial" w:eastAsia="Arial" w:hAnsi="Arial"/>
                <w:b w:val="false"/>
                <w:color w:val="1F2A37"/>
                <w:sz w:val="19"/>
                <w:szCs w:val="19"/>
                <w:rtl/>
              </w:rPr>
              <w:t xml:space="preserve">ميثاق القواعد المالية ورفعه للاعتماد</w:t>
            </w:r>
          </w:p>
          <w:p>
            <w:pPr>
              <w:bidi/>
              <w:spacing w:after="20"/>
            </w:pPr>
            <w:r>
              <w:rPr>
                <w:rFonts w:ascii="Arial" w:cs="Arial" w:eastAsia="Arial" w:hAnsi="Arial"/>
                <w:b w:val="false"/>
                <w:color w:val="1F2A37"/>
                <w:sz w:val="19"/>
                <w:szCs w:val="19"/>
                <w:rtl/>
              </w:rPr>
              <w:t xml:space="preserve">خط الأساس لمؤشرات الصحة المالية</w:t>
            </w:r>
          </w:p>
          <w:p>
            <w:pPr>
              <w:bidi/>
              <w:spacing w:after="20"/>
            </w:pPr>
            <w:r>
              <w:rPr>
                <w:rFonts w:ascii="Arial" w:cs="Arial" w:eastAsia="Arial" w:hAnsi="Arial"/>
                <w:b w:val="false"/>
                <w:color w:val="1F2A37"/>
                <w:sz w:val="19"/>
                <w:szCs w:val="19"/>
                <w:rtl/>
              </w:rPr>
              <w:t xml:space="preserve">تأسيس برنامج كفاءة الإنفاق وحوكمته</w:t>
            </w:r>
          </w:p>
        </w:tc>
      </w:tr>
      <w:tr>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2027 — الأدوات</w:t>
            </w:r>
          </w:p>
        </w:tc>
        <w:tc>
          <w:tcPr>
            <w:tcW w:type="dxa" w:w="686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نموذج الإسقاطات المالية لعشر سنوات (الإيرادات، الالتزامات، قدرة الاقتراض)</w:t>
            </w:r>
          </w:p>
          <w:p>
            <w:pPr>
              <w:bidi/>
              <w:spacing w:after="20"/>
            </w:pPr>
            <w:r>
              <w:rPr>
                <w:rFonts w:ascii="Arial" w:cs="Arial" w:eastAsia="Arial" w:hAnsi="Arial"/>
                <w:b w:val="false"/>
                <w:color w:val="1F2A37"/>
                <w:sz w:val="19"/>
                <w:szCs w:val="19"/>
                <w:rtl/>
              </w:rPr>
              <w:t xml:space="preserve">دليل موحد لتقييم مخاطر الصفقات</w:t>
            </w:r>
          </w:p>
          <w:p>
            <w:pPr>
              <w:bidi/>
              <w:spacing w:after="20"/>
            </w:pPr>
            <w:r>
              <w:rPr>
                <w:rFonts w:ascii="Arial" w:cs="Arial" w:eastAsia="Arial" w:hAnsi="Arial"/>
                <w:b w:val="false"/>
                <w:color w:val="1F2A37"/>
                <w:sz w:val="19"/>
                <w:szCs w:val="19"/>
                <w:rtl/>
              </w:rPr>
              <w:t xml:space="preserve">أول تقرير سنوي للاستدامة المالية</w:t>
            </w:r>
          </w:p>
          <w:p>
            <w:pPr>
              <w:bidi/>
              <w:spacing w:after="20"/>
            </w:pPr>
            <w:r>
              <w:rPr>
                <w:rFonts w:ascii="Arial" w:cs="Arial" w:eastAsia="Arial" w:hAnsi="Arial"/>
                <w:b w:val="false"/>
                <w:color w:val="1F2A37"/>
                <w:sz w:val="19"/>
                <w:szCs w:val="19"/>
                <w:rtl/>
              </w:rPr>
              <w:t xml:space="preserve">أول دفعة من فرص كفاءة الإنفاق</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2028 — العمق</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اختبارات الضغط: انخفاض ميزانية الدولة، تباطؤ سوق البناء، ارتفاع أسعار الفائدة (سايبور)، تعثر مستثمر كبير</w:t>
            </w:r>
          </w:p>
          <w:p>
            <w:pPr>
              <w:bidi/>
              <w:spacing w:after="20"/>
            </w:pPr>
            <w:r>
              <w:rPr>
                <w:rFonts w:ascii="Arial" w:cs="Arial" w:eastAsia="Arial" w:hAnsi="Arial"/>
                <w:b w:val="false"/>
                <w:color w:val="1F2A37"/>
                <w:sz w:val="19"/>
                <w:szCs w:val="19"/>
                <w:rtl/>
              </w:rPr>
              <w:t xml:space="preserve">تحليل تكلفة الخدمات البلدية أساساً لمقترحات التسعير</w:t>
            </w:r>
          </w:p>
          <w:p>
            <w:pPr>
              <w:bidi/>
              <w:spacing w:after="20"/>
            </w:pPr>
            <w:r>
              <w:rPr>
                <w:rFonts w:ascii="Arial" w:cs="Arial" w:eastAsia="Arial" w:hAnsi="Arial"/>
                <w:b w:val="false"/>
                <w:color w:val="1F2A37"/>
                <w:sz w:val="19"/>
                <w:szCs w:val="19"/>
                <w:rtl/>
              </w:rPr>
              <w:t xml:space="preserve">دراسات كفاءة الإنفاق بالتنسيق مع هيئة كفاءة الإنفاق والمشروعات الحكومية</w:t>
            </w:r>
          </w:p>
        </w:tc>
      </w:tr>
      <w:tr>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2029–2030 — المستقبل</w:t>
            </w:r>
          </w:p>
        </w:tc>
        <w:tc>
          <w:tcPr>
            <w:tcW w:type="dxa" w:w="686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الجاهزية للتصنيف الائتماني (تمهيداً لمسار الصكوك)</w:t>
            </w:r>
          </w:p>
          <w:p>
            <w:pPr>
              <w:bidi/>
              <w:spacing w:after="20"/>
            </w:pPr>
            <w:r>
              <w:rPr>
                <w:rFonts w:ascii="Arial" w:cs="Arial" w:eastAsia="Arial" w:hAnsi="Arial"/>
                <w:b w:val="false"/>
                <w:color w:val="1F2A37"/>
                <w:sz w:val="19"/>
                <w:szCs w:val="19"/>
                <w:rtl/>
              </w:rPr>
              <w:t xml:space="preserve">خطة «إرث الأحداث الكبرى»: تكلفة تشغيل وصيانة أصول إكسبو 2030 وكأس العالم 2034 بعد انتهائهما</w:t>
            </w:r>
          </w:p>
        </w:tc>
      </w:tr>
    </w:tbl>
    <w:p>
      <w:pPr>
        <w:spacing w:after="120"/>
      </w:pPr>
    </w:p>
    <w:p>
      <w:pPr>
        <w:pStyle w:val="Heading2"/>
        <w:bidi/>
      </w:pPr>
      <w:r>
        <w:rPr>
          <w:rFonts w:ascii="Arial" w:cs="Arial" w:eastAsia="Arial" w:hAnsi="Arial"/>
          <w:b w:val="false"/>
          <w:color w:val="1F2A37"/>
          <w:sz w:val="22"/>
          <w:szCs w:val="22"/>
          <w:rtl/>
        </w:rPr>
        <w:t xml:space="preserve">المهام والاختصاصات</w:t>
      </w:r>
    </w:p>
    <w:p>
      <w:pPr>
        <w:pStyle w:val="Heading3"/>
        <w:bidi/>
      </w:pPr>
      <w:r>
        <w:rPr>
          <w:rFonts w:ascii="Arial" w:cs="Arial" w:eastAsia="Arial" w:hAnsi="Arial"/>
          <w:b w:val="false"/>
          <w:color w:val="1F2A37"/>
          <w:sz w:val="22"/>
          <w:szCs w:val="22"/>
          <w:rtl/>
        </w:rPr>
        <w:t xml:space="preserve">في السياسات</w:t>
      </w:r>
    </w:p>
    <w:p>
      <w:pPr>
        <w:pStyle w:val="ListParagraph"/>
        <w:numPr>
          <w:ilvl w:val="0"/>
          <w:numId w:val="10"/>
        </w:numPr>
        <w:bidi/>
        <w:spacing w:after="60" w:line="290"/>
        <w:jc w:val="both"/>
      </w:pPr>
      <w:r>
        <w:rPr>
          <w:rFonts w:ascii="Arial" w:cs="Arial" w:eastAsia="Arial" w:hAnsi="Arial"/>
          <w:b w:val="false"/>
          <w:color w:val="1F2A37"/>
          <w:sz w:val="22"/>
          <w:szCs w:val="22"/>
          <w:rtl/>
        </w:rPr>
        <w:t xml:space="preserve">إعداد القواعد المالية واقتراح سقوف الاقتراض والالتزامات.</w:t>
      </w:r>
    </w:p>
    <w:p>
      <w:pPr>
        <w:pStyle w:val="ListParagraph"/>
        <w:numPr>
          <w:ilvl w:val="0"/>
          <w:numId w:val="10"/>
        </w:numPr>
        <w:bidi/>
        <w:spacing w:after="60" w:line="290"/>
        <w:jc w:val="both"/>
      </w:pPr>
      <w:r>
        <w:rPr>
          <w:rFonts w:ascii="Arial" w:cs="Arial" w:eastAsia="Arial" w:hAnsi="Arial"/>
          <w:b w:val="false"/>
          <w:color w:val="1F2A37"/>
          <w:sz w:val="22"/>
          <w:szCs w:val="22"/>
          <w:rtl/>
        </w:rPr>
        <w:t xml:space="preserve">حساب قدرة الأمانة على الاقتراض وتحديثها دورياً.</w:t>
      </w:r>
    </w:p>
    <w:p>
      <w:pPr>
        <w:pStyle w:val="ListParagraph"/>
        <w:numPr>
          <w:ilvl w:val="0"/>
          <w:numId w:val="10"/>
        </w:numPr>
        <w:bidi/>
        <w:spacing w:after="60" w:line="290"/>
        <w:jc w:val="both"/>
      </w:pPr>
      <w:r>
        <w:rPr>
          <w:rFonts w:ascii="Arial" w:cs="Arial" w:eastAsia="Arial" w:hAnsi="Arial"/>
          <w:b w:val="false"/>
          <w:color w:val="1F2A37"/>
          <w:sz w:val="22"/>
          <w:szCs w:val="22"/>
          <w:rtl/>
        </w:rPr>
        <w:t xml:space="preserve">مراقبة الالتزام بالقواعد والتنبيه عند الاقتراب من السقوف.</w:t>
      </w:r>
    </w:p>
    <w:p>
      <w:pPr>
        <w:pStyle w:val="Heading3"/>
        <w:bidi/>
      </w:pPr>
      <w:r>
        <w:rPr>
          <w:rFonts w:ascii="Arial" w:cs="Arial" w:eastAsia="Arial" w:hAnsi="Arial"/>
          <w:b w:val="false"/>
          <w:color w:val="1F2A37"/>
          <w:sz w:val="22"/>
          <w:szCs w:val="22"/>
          <w:rtl/>
        </w:rPr>
        <w:t xml:space="preserve">في المخاطر والالتزامات</w:t>
      </w:r>
    </w:p>
    <w:p>
      <w:pPr>
        <w:pStyle w:val="ListParagraph"/>
        <w:numPr>
          <w:ilvl w:val="0"/>
          <w:numId w:val="10"/>
        </w:numPr>
        <w:bidi/>
        <w:spacing w:after="60" w:line="290"/>
        <w:jc w:val="both"/>
      </w:pPr>
      <w:r>
        <w:rPr>
          <w:rFonts w:ascii="Arial" w:cs="Arial" w:eastAsia="Arial" w:hAnsi="Arial"/>
          <w:b w:val="false"/>
          <w:color w:val="1F2A37"/>
          <w:sz w:val="22"/>
          <w:szCs w:val="22"/>
          <w:rtl/>
        </w:rPr>
        <w:t xml:space="preserve">المراجعة المالية لصفقات التمويل قبل رفعها للّجنة العليا.</w:t>
      </w:r>
    </w:p>
    <w:p>
      <w:pPr>
        <w:pStyle w:val="ListParagraph"/>
        <w:numPr>
          <w:ilvl w:val="0"/>
          <w:numId w:val="10"/>
        </w:numPr>
        <w:bidi/>
        <w:spacing w:after="60" w:line="290"/>
        <w:jc w:val="both"/>
      </w:pPr>
      <w:r>
        <w:rPr>
          <w:rFonts w:ascii="Arial" w:cs="Arial" w:eastAsia="Arial" w:hAnsi="Arial"/>
          <w:b w:val="false"/>
          <w:color w:val="1F2A37"/>
          <w:sz w:val="22"/>
          <w:szCs w:val="22"/>
          <w:rtl/>
        </w:rPr>
        <w:t xml:space="preserve">إعداد سجل الالتزامات المالية وتحديثه.</w:t>
      </w:r>
    </w:p>
    <w:p>
      <w:pPr>
        <w:pStyle w:val="ListParagraph"/>
        <w:numPr>
          <w:ilvl w:val="0"/>
          <w:numId w:val="10"/>
        </w:numPr>
        <w:bidi/>
        <w:spacing w:after="60" w:line="290"/>
        <w:jc w:val="both"/>
      </w:pPr>
      <w:r>
        <w:rPr>
          <w:rFonts w:ascii="Arial" w:cs="Arial" w:eastAsia="Arial" w:hAnsi="Arial"/>
          <w:b w:val="false"/>
          <w:color w:val="1F2A37"/>
          <w:sz w:val="22"/>
          <w:szCs w:val="22"/>
          <w:rtl/>
        </w:rPr>
        <w:t xml:space="preserve">تقييم الالتزامات المحتملة في عقود الشراكة (الضمانات، التعويضات).</w:t>
      </w:r>
    </w:p>
    <w:p>
      <w:pPr>
        <w:pStyle w:val="ListParagraph"/>
        <w:numPr>
          <w:ilvl w:val="0"/>
          <w:numId w:val="10"/>
        </w:numPr>
        <w:bidi/>
        <w:spacing w:after="60" w:line="290"/>
        <w:jc w:val="both"/>
      </w:pPr>
      <w:r>
        <w:rPr>
          <w:rFonts w:ascii="Arial" w:cs="Arial" w:eastAsia="Arial" w:hAnsi="Arial"/>
          <w:b w:val="false"/>
          <w:color w:val="1F2A37"/>
          <w:sz w:val="22"/>
          <w:szCs w:val="22"/>
          <w:rtl/>
        </w:rPr>
        <w:t xml:space="preserve">متابعة جداول السداد والاستحقاقات.</w:t>
      </w:r>
    </w:p>
    <w:p>
      <w:pPr>
        <w:pStyle w:val="Heading3"/>
        <w:bidi/>
      </w:pPr>
      <w:r>
        <w:rPr>
          <w:rFonts w:ascii="Arial" w:cs="Arial" w:eastAsia="Arial" w:hAnsi="Arial"/>
          <w:b w:val="false"/>
          <w:color w:val="1F2A37"/>
          <w:sz w:val="22"/>
          <w:szCs w:val="22"/>
          <w:rtl/>
        </w:rPr>
        <w:t xml:space="preserve">في الإسقاطات</w:t>
      </w:r>
    </w:p>
    <w:p>
      <w:pPr>
        <w:pStyle w:val="ListParagraph"/>
        <w:numPr>
          <w:ilvl w:val="0"/>
          <w:numId w:val="10"/>
        </w:numPr>
        <w:bidi/>
        <w:spacing w:after="60" w:line="290"/>
        <w:jc w:val="both"/>
      </w:pPr>
      <w:r>
        <w:rPr>
          <w:rFonts w:ascii="Arial" w:cs="Arial" w:eastAsia="Arial" w:hAnsi="Arial"/>
          <w:b w:val="false"/>
          <w:color w:val="1F2A37"/>
          <w:sz w:val="22"/>
          <w:szCs w:val="22"/>
          <w:rtl/>
        </w:rPr>
        <w:t xml:space="preserve">إعداد الإسقاطات المالية متوسطة وطويلة المدى.</w:t>
      </w:r>
    </w:p>
    <w:p>
      <w:pPr>
        <w:pStyle w:val="ListParagraph"/>
        <w:numPr>
          <w:ilvl w:val="0"/>
          <w:numId w:val="10"/>
        </w:numPr>
        <w:bidi/>
        <w:spacing w:after="60" w:line="290"/>
        <w:jc w:val="both"/>
      </w:pPr>
      <w:r>
        <w:rPr>
          <w:rFonts w:ascii="Arial" w:cs="Arial" w:eastAsia="Arial" w:hAnsi="Arial"/>
          <w:b w:val="false"/>
          <w:color w:val="1F2A37"/>
          <w:sz w:val="22"/>
          <w:szCs w:val="22"/>
          <w:rtl/>
        </w:rPr>
        <w:t xml:space="preserve">إجراء اختبارات الضغط وتحليل السيناريوهات.</w:t>
      </w:r>
    </w:p>
    <w:p>
      <w:pPr>
        <w:pStyle w:val="ListParagraph"/>
        <w:numPr>
          <w:ilvl w:val="0"/>
          <w:numId w:val="10"/>
        </w:numPr>
        <w:bidi/>
        <w:spacing w:after="60" w:line="290"/>
        <w:jc w:val="both"/>
      </w:pPr>
      <w:r>
        <w:rPr>
          <w:rFonts w:ascii="Arial" w:cs="Arial" w:eastAsia="Arial" w:hAnsi="Arial"/>
          <w:b w:val="false"/>
          <w:color w:val="1F2A37"/>
          <w:sz w:val="22"/>
          <w:szCs w:val="22"/>
          <w:rtl/>
        </w:rPr>
        <w:t xml:space="preserve">حساب تكلفة دورة الحياة للمشاريع الجديدة.</w:t>
      </w:r>
    </w:p>
    <w:p>
      <w:pPr>
        <w:pStyle w:val="Heading3"/>
        <w:bidi/>
      </w:pPr>
      <w:r>
        <w:rPr>
          <w:rFonts w:ascii="Arial" w:cs="Arial" w:eastAsia="Arial" w:hAnsi="Arial"/>
          <w:b w:val="false"/>
          <w:color w:val="1F2A37"/>
          <w:sz w:val="22"/>
          <w:szCs w:val="22"/>
          <w:rtl/>
        </w:rPr>
        <w:t xml:space="preserve">في كفاءة الإنفاق</w:t>
      </w:r>
    </w:p>
    <w:p>
      <w:pPr>
        <w:pStyle w:val="ListParagraph"/>
        <w:numPr>
          <w:ilvl w:val="0"/>
          <w:numId w:val="10"/>
        </w:numPr>
        <w:bidi/>
        <w:spacing w:after="60" w:line="290"/>
        <w:jc w:val="both"/>
      </w:pPr>
      <w:r>
        <w:rPr>
          <w:rFonts w:ascii="Arial" w:cs="Arial" w:eastAsia="Arial" w:hAnsi="Arial"/>
          <w:b w:val="false"/>
          <w:color w:val="1F2A37"/>
          <w:sz w:val="22"/>
          <w:szCs w:val="22"/>
          <w:rtl/>
        </w:rPr>
        <w:t xml:space="preserve">قيادة برنامج كفاءة الإنفاق في الأمانة وحوكمته.</w:t>
      </w:r>
    </w:p>
    <w:p>
      <w:pPr>
        <w:pStyle w:val="ListParagraph"/>
        <w:numPr>
          <w:ilvl w:val="0"/>
          <w:numId w:val="10"/>
        </w:numPr>
        <w:bidi/>
        <w:spacing w:after="60" w:line="290"/>
        <w:jc w:val="both"/>
      </w:pPr>
      <w:r>
        <w:rPr>
          <w:rFonts w:ascii="Arial" w:cs="Arial" w:eastAsia="Arial" w:hAnsi="Arial"/>
          <w:b w:val="false"/>
          <w:color w:val="1F2A37"/>
          <w:sz w:val="22"/>
          <w:szCs w:val="22"/>
          <w:rtl/>
        </w:rPr>
        <w:t xml:space="preserve">تحليل تكلفة الخدمات البلدية.</w:t>
      </w:r>
    </w:p>
    <w:p>
      <w:pPr>
        <w:pStyle w:val="ListParagraph"/>
        <w:numPr>
          <w:ilvl w:val="0"/>
          <w:numId w:val="10"/>
        </w:numPr>
        <w:bidi/>
        <w:spacing w:after="60" w:line="290"/>
        <w:jc w:val="both"/>
      </w:pPr>
      <w:r>
        <w:rPr>
          <w:rFonts w:ascii="Arial" w:cs="Arial" w:eastAsia="Arial" w:hAnsi="Arial"/>
          <w:b w:val="false"/>
          <w:color w:val="1F2A37"/>
          <w:sz w:val="22"/>
          <w:szCs w:val="22"/>
          <w:rtl/>
        </w:rPr>
        <w:t xml:space="preserve">تحديد فرص الوفر ومتابعة تنفيذها وقياس أثرها.</w:t>
      </w:r>
    </w:p>
    <w:p>
      <w:pPr>
        <w:pStyle w:val="ListParagraph"/>
        <w:numPr>
          <w:ilvl w:val="0"/>
          <w:numId w:val="10"/>
        </w:numPr>
        <w:bidi/>
        <w:spacing w:after="60" w:line="290"/>
        <w:jc w:val="both"/>
      </w:pPr>
      <w:r>
        <w:rPr>
          <w:rFonts w:ascii="Arial" w:cs="Arial" w:eastAsia="Arial" w:hAnsi="Arial"/>
          <w:b w:val="false"/>
          <w:color w:val="1F2A37"/>
          <w:sz w:val="22"/>
          <w:szCs w:val="22"/>
          <w:rtl/>
        </w:rPr>
        <w:t xml:space="preserve">التنسيق مع هيئة كفاءة الإنفاق والمشروعات الحكومية.</w:t>
      </w:r>
    </w:p>
    <w:p>
      <w:pPr>
        <w:pStyle w:val="Heading3"/>
        <w:bidi/>
      </w:pPr>
      <w:r>
        <w:rPr>
          <w:rFonts w:ascii="Arial" w:cs="Arial" w:eastAsia="Arial" w:hAnsi="Arial"/>
          <w:b w:val="false"/>
          <w:color w:val="1F2A37"/>
          <w:sz w:val="22"/>
          <w:szCs w:val="22"/>
          <w:rtl/>
        </w:rPr>
        <w:t xml:space="preserve">في التقارير</w:t>
      </w:r>
    </w:p>
    <w:p>
      <w:pPr>
        <w:pStyle w:val="ListParagraph"/>
        <w:numPr>
          <w:ilvl w:val="0"/>
          <w:numId w:val="10"/>
        </w:numPr>
        <w:bidi/>
        <w:spacing w:after="60" w:line="290"/>
        <w:jc w:val="both"/>
      </w:pPr>
      <w:r>
        <w:rPr>
          <w:rFonts w:ascii="Arial" w:cs="Arial" w:eastAsia="Arial" w:hAnsi="Arial"/>
          <w:b w:val="false"/>
          <w:color w:val="1F2A37"/>
          <w:sz w:val="22"/>
          <w:szCs w:val="22"/>
          <w:rtl/>
        </w:rPr>
        <w:t xml:space="preserve">إعداد تقرير الاستدامة المالية السنوي.</w:t>
      </w:r>
    </w:p>
    <w:p>
      <w:pPr>
        <w:pStyle w:val="ListParagraph"/>
        <w:numPr>
          <w:ilvl w:val="0"/>
          <w:numId w:val="10"/>
        </w:numPr>
        <w:bidi/>
        <w:spacing w:after="60" w:line="290"/>
        <w:jc w:val="both"/>
      </w:pPr>
      <w:r>
        <w:rPr>
          <w:rFonts w:ascii="Arial" w:cs="Arial" w:eastAsia="Arial" w:hAnsi="Arial"/>
          <w:b w:val="false"/>
          <w:color w:val="1F2A37"/>
          <w:sz w:val="22"/>
          <w:szCs w:val="22"/>
          <w:rtl/>
        </w:rPr>
        <w:t xml:space="preserve">إعداد مؤشرات الصحة المالية الدورية للقيادة واللجنة العليا.</w:t>
      </w:r>
    </w:p>
    <w:p>
      <w:pPr>
        <w:pStyle w:val="Heading2"/>
        <w:bidi/>
      </w:pPr>
      <w:r>
        <w:rPr>
          <w:rFonts w:ascii="Arial" w:cs="Arial" w:eastAsia="Arial" w:hAnsi="Arial"/>
          <w:b w:val="false"/>
          <w:color w:val="1F2A37"/>
          <w:sz w:val="22"/>
          <w:szCs w:val="22"/>
          <w:rtl/>
        </w:rPr>
        <w:t xml:space="preserve">تجارب ملهمة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971"/>
        <w:gridCol w:w="3611"/>
      </w:tblGrid>
      <w:tr>
        <w:trPr>
          <w:tblHeader/>
        </w:trPr>
        <w:tc>
          <w:tcPr>
            <w:tcW w:type="dxa" w:w="1444"/>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النطاق</w:t>
            </w:r>
          </w:p>
        </w:tc>
        <w:tc>
          <w:tcPr>
            <w:tcW w:type="dxa" w:w="3971"/>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التجربة</w:t>
            </w:r>
          </w:p>
        </w:tc>
        <w:tc>
          <w:tcPr>
            <w:tcW w:type="dxa" w:w="3611"/>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الدرس المستفاد</w:t>
            </w:r>
          </w:p>
        </w:tc>
      </w:tr>
      <w:tr>
        <w:tc>
          <w:tcPr>
            <w:tcW w:type="dxa" w:w="144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السعودية</w:t>
            </w:r>
          </w:p>
        </w:tc>
        <w:tc>
          <w:tcPr>
            <w:tcW w:type="dxa" w:w="397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برنامج الاستدامة المالية ضمن رؤية 2030؛ هيئة كفاءة الإنفاق والمشروعات الحكومية؛ خطة الاقتراض السنوية للمركز الوطني لإدارة الدين</w:t>
            </w:r>
          </w:p>
        </w:tc>
        <w:tc>
          <w:tcPr>
            <w:tcW w:type="dxa" w:w="361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برامج تنفيذية بمؤشرات وجهات متخصصة</w:t>
            </w:r>
          </w:p>
        </w:tc>
      </w:tr>
      <w:tr>
        <w:tc>
          <w:tcPr>
            <w:tcW w:type="dxa" w:w="144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البحرين وعُمان</w:t>
            </w:r>
          </w:p>
        </w:tc>
        <w:tc>
          <w:tcPr>
            <w:tcW w:type="dxa" w:w="397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برامج التوازن المالي وما تبعها من تحسن التصنيف الائتماني لعُمان</w:t>
            </w:r>
          </w:p>
        </w:tc>
        <w:tc>
          <w:tcPr>
            <w:tcW w:type="dxa" w:w="361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الانضباط المالي يخفض تكلفة التمويل</w:t>
            </w:r>
          </w:p>
        </w:tc>
      </w:tr>
      <w:tr>
        <w:tc>
          <w:tcPr>
            <w:tcW w:type="dxa" w:w="144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بريطانيا</w:t>
            </w:r>
          </w:p>
        </w:tc>
        <w:tc>
          <w:tcPr>
            <w:tcW w:type="dxa" w:w="397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قواعد الاقتراض البلدي (Prudential Code): البلدية تحدد سقفها بشرط إثبات أن الاقتراض ميسور ومستدام</w:t>
            </w:r>
          </w:p>
        </w:tc>
        <w:tc>
          <w:tcPr>
            <w:tcW w:type="dxa" w:w="361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أقرب نموذج لوضع الأمانة</w:t>
            </w:r>
          </w:p>
        </w:tc>
      </w:tr>
      <w:tr>
        <w:tc>
          <w:tcPr>
            <w:tcW w:type="dxa" w:w="144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تحذير: بريطانيا</w:t>
            </w:r>
          </w:p>
        </w:tc>
        <w:tc>
          <w:tcPr>
            <w:tcW w:type="dxa" w:w="397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بلديات Thurrock وWoking وCroydon أعلنت عجزها بعد الاقتراض للاستثمار التجاري</w:t>
            </w:r>
          </w:p>
        </w:tc>
        <w:tc>
          <w:tcPr>
            <w:tcW w:type="dxa" w:w="361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الاقتراض للاستثمار يحتاج رقابة استدامة مستقلة</w:t>
            </w:r>
          </w:p>
        </w:tc>
      </w:tr>
      <w:tr>
        <w:tc>
          <w:tcPr>
            <w:tcW w:type="dxa" w:w="144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نيويورك</w:t>
            </w:r>
          </w:p>
        </w:tc>
        <w:tc>
          <w:tcPr>
            <w:tcW w:type="dxa" w:w="397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خطة مالية رباعية متجددة بعد أزمة 1975</w:t>
            </w:r>
          </w:p>
        </w:tc>
        <w:tc>
          <w:tcPr>
            <w:tcW w:type="dxa" w:w="361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الانضباط المؤسسي ينقذ المدن</w:t>
            </w:r>
          </w:p>
        </w:tc>
      </w:tr>
      <w:tr>
        <w:tc>
          <w:tcPr>
            <w:tcW w:type="dxa" w:w="144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تحذير: ديترويت</w:t>
            </w:r>
          </w:p>
        </w:tc>
        <w:tc>
          <w:tcPr>
            <w:tcW w:type="dxa" w:w="397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إفلاس 2013 بسبب التزامات طويلة الأجل غير محسوبة</w:t>
            </w:r>
          </w:p>
        </w:tc>
        <w:tc>
          <w:tcPr>
            <w:tcW w:type="dxa" w:w="361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أهمية سجل الالتزامات والإسقاطات</w:t>
            </w:r>
          </w:p>
        </w:tc>
      </w:tr>
      <w:tr>
        <w:tc>
          <w:tcPr>
            <w:tcW w:type="dxa" w:w="144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البنك الدولي</w:t>
            </w:r>
          </w:p>
        </w:tc>
        <w:tc>
          <w:tcPr>
            <w:tcW w:type="dxa" w:w="397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مبادرة الجدارة الائتمانية للمدن</w:t>
            </w:r>
          </w:p>
        </w:tc>
        <w:tc>
          <w:tcPr>
            <w:tcW w:type="dxa" w:w="361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طريق المدن للتمويل والتصنيف</w:t>
            </w:r>
          </w:p>
        </w:tc>
      </w:tr>
      <w:tr>
        <w:tc>
          <w:tcPr>
            <w:tcW w:type="dxa" w:w="144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النرويج وتشيلي</w:t>
            </w:r>
          </w:p>
        </w:tc>
        <w:tc>
          <w:tcPr>
            <w:tcW w:type="dxa" w:w="397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قاعدة الإنفاق من الصندوق السيادي؛ قاعدة الفائض الهيكلي</w:t>
            </w:r>
          </w:p>
        </w:tc>
        <w:tc>
          <w:tcPr>
            <w:tcW w:type="dxa" w:w="361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قواعد مالية تحمي من تقلب الإيرادات</w:t>
            </w:r>
          </w:p>
        </w:tc>
      </w:tr>
      <w:tr>
        <w:tc>
          <w:tcPr>
            <w:tcW w:type="dxa" w:w="144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أثينا 2004 مقابل لندن 2012</w:t>
            </w:r>
          </w:p>
        </w:tc>
        <w:tc>
          <w:tcPr>
            <w:tcW w:type="dxa" w:w="397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منشآت أثينا هُجرت؛ ولندن خططت لإرث الحدث مسبقاً</w:t>
            </w:r>
          </w:p>
        </w:tc>
        <w:tc>
          <w:tcPr>
            <w:tcW w:type="dxa" w:w="361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درس مباشر قبل إكسبو 2030 وكأس العالم 2034</w:t>
            </w:r>
          </w:p>
        </w:tc>
      </w:tr>
    </w:tbl>
    <w:p>
      <w:pPr>
        <w:spacing w:after="120"/>
      </w:pPr>
    </w:p>
    <w:p>
      <w:r>
        <w:br w:type="page"/>
      </w:r>
    </w:p>
    <w:p>
      <w:pPr>
        <w:pStyle w:val="Heading1"/>
        <w:bidi/>
      </w:pPr>
      <w:r>
        <w:rPr>
          <w:rFonts w:ascii="Arial" w:cs="Arial" w:eastAsia="Arial" w:hAnsi="Arial"/>
          <w:b w:val="false"/>
          <w:color w:val="1F2A37"/>
          <w:sz w:val="22"/>
          <w:szCs w:val="22"/>
          <w:rtl/>
        </w:rPr>
        <w:t xml:space="preserve">7. التكامل ومصفوفة المسؤوليات</w:t>
      </w:r>
    </w:p>
    <w:p>
      <w:pPr>
        <w:bidi/>
        <w:spacing w:after="120" w:before="0" w:line="300"/>
        <w:jc w:val="both"/>
      </w:pPr>
      <w:r>
        <w:rPr>
          <w:rFonts w:ascii="Arial" w:cs="Arial" w:eastAsia="Arial" w:hAnsi="Arial"/>
          <w:b/>
          <w:bCs/>
          <w:color w:val="1F2A37"/>
          <w:sz w:val="22"/>
          <w:szCs w:val="22"/>
          <w:rtl/>
        </w:rPr>
        <w:t xml:space="preserve">الرموز:</w:t>
      </w:r>
      <w:r>
        <w:rPr>
          <w:rFonts w:ascii="Arial" w:cs="Arial" w:eastAsia="Arial" w:hAnsi="Arial"/>
          <w:b w:val="false"/>
          <w:color w:val="1F2A37"/>
          <w:sz w:val="22"/>
          <w:szCs w:val="22"/>
          <w:rtl/>
        </w:rPr>
        <w:t xml:space="preserve"> م = مسؤول عن التنفيذ، ع = صاحب الاعتماد، س = يُستشار، ط = يُحاط علماً.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1048"/>
        <w:gridCol w:w="1048"/>
        <w:gridCol w:w="1048"/>
        <w:gridCol w:w="1128"/>
        <w:gridCol w:w="1128"/>
        <w:gridCol w:w="1047"/>
      </w:tblGrid>
      <w:tr>
        <w:trPr>
          <w:tblHeader/>
        </w:trPr>
        <w:tc>
          <w:tcPr>
            <w:tcW w:type="dxa" w:w="2579"/>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النشاط</w:t>
            </w:r>
          </w:p>
        </w:tc>
        <w:tc>
          <w:tcPr>
            <w:tcW w:type="dxa" w:w="104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تخطيط ومراقبة الإيرادات</w:t>
            </w:r>
          </w:p>
        </w:tc>
        <w:tc>
          <w:tcPr>
            <w:tcW w:type="dxa" w:w="104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الائتمان والتمويل</w:t>
            </w:r>
          </w:p>
        </w:tc>
        <w:tc>
          <w:tcPr>
            <w:tcW w:type="dxa" w:w="104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الاستدامة المالية</w:t>
            </w:r>
          </w:p>
        </w:tc>
        <w:tc>
          <w:tcPr>
            <w:tcW w:type="dxa" w:w="112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وكالة الاستثمار والتخصيص</w:t>
            </w:r>
          </w:p>
        </w:tc>
        <w:tc>
          <w:tcPr>
            <w:tcW w:type="dxa" w:w="112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الإدارة المالية وجهات التحصيل</w:t>
            </w:r>
          </w:p>
        </w:tc>
        <w:tc>
          <w:tcPr>
            <w:tcW w:type="dxa" w:w="1047"/>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اللجنة العليا / القيادة</w:t>
            </w:r>
          </w:p>
        </w:tc>
      </w:tr>
      <w:tr>
        <w:tc>
          <w:tcPr>
            <w:tcW w:type="dxa" w:w="257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تقدير الإيرادات ووضع المستهدفات</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ط</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12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12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04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ع</w:t>
            </w:r>
          </w:p>
        </w:tc>
      </w:tr>
      <w:tr>
        <w:tc>
          <w:tcPr>
            <w:tcW w:type="dxa" w:w="257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تحصيل الإيرادات</w:t>
            </w:r>
          </w:p>
        </w:tc>
        <w:tc>
          <w:tcPr>
            <w:tcW w:type="dxa" w:w="104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ط</w:t>
            </w:r>
          </w:p>
        </w:tc>
        <w:tc>
          <w:tcPr>
            <w:tcW w:type="dxa" w:w="104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04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12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 (الاستثمارية)</w:t>
            </w:r>
          </w:p>
        </w:tc>
        <w:tc>
          <w:tcPr>
            <w:tcW w:type="dxa" w:w="112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w:t>
            </w:r>
          </w:p>
        </w:tc>
        <w:tc>
          <w:tcPr>
            <w:tcW w:type="dxa" w:w="104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ط</w:t>
            </w:r>
          </w:p>
        </w:tc>
      </w:tr>
      <w:tr>
        <w:tc>
          <w:tcPr>
            <w:tcW w:type="dxa" w:w="257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مراقبة أداء التحصيل والإنذار المبكر</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ط</w:t>
            </w:r>
          </w:p>
        </w:tc>
        <w:tc>
          <w:tcPr>
            <w:tcW w:type="dxa" w:w="112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12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04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ط</w:t>
            </w:r>
          </w:p>
        </w:tc>
      </w:tr>
      <w:tr>
        <w:tc>
          <w:tcPr>
            <w:tcW w:type="dxa" w:w="257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كشف الفاقد</w:t>
            </w:r>
          </w:p>
        </w:tc>
        <w:tc>
          <w:tcPr>
            <w:tcW w:type="dxa" w:w="104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w:t>
            </w:r>
          </w:p>
        </w:tc>
        <w:tc>
          <w:tcPr>
            <w:tcW w:type="dxa" w:w="104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04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12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12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04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ط</w:t>
            </w:r>
          </w:p>
        </w:tc>
      </w:tr>
      <w:tr>
        <w:tc>
          <w:tcPr>
            <w:tcW w:type="dxa" w:w="257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حصر المشاريع غير الممولة وفرزها</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12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12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04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ط</w:t>
            </w:r>
          </w:p>
        </w:tc>
      </w:tr>
      <w:tr>
        <w:tc>
          <w:tcPr>
            <w:tcW w:type="dxa" w:w="257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هيكلة التمويل والتوصية بالمسار</w:t>
            </w:r>
          </w:p>
        </w:tc>
        <w:tc>
          <w:tcPr>
            <w:tcW w:type="dxa" w:w="104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04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w:t>
            </w:r>
          </w:p>
        </w:tc>
        <w:tc>
          <w:tcPr>
            <w:tcW w:type="dxa" w:w="104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12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12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04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ع</w:t>
            </w:r>
          </w:p>
        </w:tc>
      </w:tr>
      <w:tr>
        <w:tc>
          <w:tcPr>
            <w:tcW w:type="dxa" w:w="257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مراجعة الاستدامة للصفقات</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w:t>
            </w:r>
          </w:p>
        </w:tc>
        <w:tc>
          <w:tcPr>
            <w:tcW w:type="dxa" w:w="112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12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04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ط</w:t>
            </w:r>
          </w:p>
        </w:tc>
      </w:tr>
      <w:tr>
        <w:tc>
          <w:tcPr>
            <w:tcW w:type="dxa" w:w="257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الطرح والتعاقد (مسار المستثمر)</w:t>
            </w:r>
          </w:p>
        </w:tc>
        <w:tc>
          <w:tcPr>
            <w:tcW w:type="dxa" w:w="104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04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04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12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w:t>
            </w:r>
          </w:p>
        </w:tc>
        <w:tc>
          <w:tcPr>
            <w:tcW w:type="dxa" w:w="112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04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ط</w:t>
            </w:r>
          </w:p>
        </w:tc>
      </w:tr>
      <w:tr>
        <w:tc>
          <w:tcPr>
            <w:tcW w:type="dxa" w:w="257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تنفيذ التمويل البنكي والصكوك</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12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12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04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ع</w:t>
            </w:r>
          </w:p>
        </w:tc>
      </w:tr>
      <w:tr>
        <w:tc>
          <w:tcPr>
            <w:tcW w:type="dxa" w:w="257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القواعد المالية وسقف الاقتراض</w:t>
            </w:r>
          </w:p>
        </w:tc>
        <w:tc>
          <w:tcPr>
            <w:tcW w:type="dxa" w:w="104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04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04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w:t>
            </w:r>
          </w:p>
        </w:tc>
        <w:tc>
          <w:tcPr>
            <w:tcW w:type="dxa" w:w="112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12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04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ع</w:t>
            </w:r>
          </w:p>
        </w:tc>
      </w:tr>
      <w:tr>
        <w:tc>
          <w:tcPr>
            <w:tcW w:type="dxa" w:w="257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سجل الالتزامات المالية</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w:t>
            </w:r>
          </w:p>
        </w:tc>
        <w:tc>
          <w:tcPr>
            <w:tcW w:type="dxa" w:w="112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12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04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ط</w:t>
            </w:r>
          </w:p>
        </w:tc>
      </w:tr>
      <w:tr>
        <w:tc>
          <w:tcPr>
            <w:tcW w:type="dxa" w:w="257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كفاءة الإنفاق</w:t>
            </w:r>
          </w:p>
        </w:tc>
        <w:tc>
          <w:tcPr>
            <w:tcW w:type="dxa" w:w="104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04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04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w:t>
            </w:r>
          </w:p>
        </w:tc>
        <w:tc>
          <w:tcPr>
            <w:tcW w:type="dxa" w:w="112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12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04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ع</w:t>
            </w:r>
          </w:p>
        </w:tc>
      </w:tr>
      <w:tr>
        <w:tc>
          <w:tcPr>
            <w:tcW w:type="dxa" w:w="257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تقرير الاستدامة المالية السنوي</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04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w:t>
            </w:r>
          </w:p>
        </w:tc>
        <w:tc>
          <w:tcPr>
            <w:tcW w:type="dxa" w:w="112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112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w:t>
            </w:r>
          </w:p>
        </w:tc>
        <w:tc>
          <w:tcPr>
            <w:tcW w:type="dxa" w:w="104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ط</w:t>
            </w:r>
          </w:p>
        </w:tc>
      </w:tr>
    </w:tbl>
    <w:p>
      <w:pPr>
        <w:spacing w:after="120"/>
      </w:pPr>
    </w:p>
    <w:p>
      <w:pPr>
        <w:pStyle w:val="Heading2"/>
        <w:bidi/>
      </w:pPr>
      <w:r>
        <w:rPr>
          <w:rFonts w:ascii="Arial" w:cs="Arial" w:eastAsia="Arial" w:hAnsi="Arial"/>
          <w:b w:val="false"/>
          <w:color w:val="1F2A37"/>
          <w:sz w:val="22"/>
          <w:szCs w:val="22"/>
          <w:rtl/>
        </w:rPr>
        <w:t xml:space="preserve">الحدود مع وكالة الاستثمار والتخصيص</w:t>
      </w:r>
    </w:p>
    <w:p>
      <w:pPr>
        <w:pBdr>
          <w:right w:val="single" w:color="006A46" w:sz="24" w:space="8"/>
        </w:pBdr>
        <w:shd w:fill="F1F5F3" w:color="auto" w:val="clear"/>
        <w:bidi/>
        <w:spacing w:after="160" w:before="0" w:line="300"/>
        <w:ind w:start="120" w:end="120"/>
        <w:jc w:val="both"/>
      </w:pPr>
      <w:r>
        <w:rPr>
          <w:rFonts w:ascii="Arial" w:cs="Arial" w:eastAsia="Arial" w:hAnsi="Arial"/>
          <w:b/>
          <w:bCs/>
          <w:color w:val="1F2A37"/>
          <w:sz w:val="22"/>
          <w:szCs w:val="22"/>
          <w:rtl/>
        </w:rPr>
        <w:t xml:space="preserve">الوكالة تطرح وتتعاقد وتحصّل الإيرادات الاستثمارية</w:t>
      </w:r>
      <w:r>
        <w:rPr>
          <w:rFonts w:ascii="Arial" w:cs="Arial" w:eastAsia="Arial" w:hAnsi="Arial"/>
          <w:b w:val="false"/>
          <w:color w:val="1F2A37"/>
          <w:sz w:val="22"/>
          <w:szCs w:val="22"/>
          <w:rtl/>
        </w:rPr>
        <w:t xml:space="preserve">، و</w:t>
      </w:r>
      <w:r>
        <w:rPr>
          <w:rFonts w:ascii="Arial" w:cs="Arial" w:eastAsia="Arial" w:hAnsi="Arial"/>
          <w:b/>
          <w:bCs/>
          <w:color w:val="1F2A37"/>
          <w:sz w:val="22"/>
          <w:szCs w:val="22"/>
          <w:rtl/>
        </w:rPr>
        <w:t xml:space="preserve">الإدارة تخطط وتموّل وتحمي</w:t>
      </w:r>
      <w:r>
        <w:rPr>
          <w:rFonts w:ascii="Arial" w:cs="Arial" w:eastAsia="Arial" w:hAnsi="Arial"/>
          <w:b w:val="false"/>
          <w:color w:val="1F2A37"/>
          <w:sz w:val="22"/>
          <w:szCs w:val="22"/>
          <w:rtl/>
        </w:rPr>
        <w:t xml:space="preserve">: تخطط إيرادات الاستثمار وتراقبها، وتقرر مع اللجنة </w:t>
      </w:r>
      <w:r>
        <w:rPr>
          <w:rFonts w:ascii="Arial" w:cs="Arial" w:eastAsia="Arial" w:hAnsi="Arial"/>
          <w:b/>
          <w:bCs/>
          <w:color w:val="1F2A37"/>
          <w:sz w:val="22"/>
          <w:szCs w:val="22"/>
          <w:rtl/>
        </w:rPr>
        <w:t xml:space="preserve">ماذا نموّل وكيف</w:t>
      </w:r>
      <w:r>
        <w:rPr>
          <w:rFonts w:ascii="Arial" w:cs="Arial" w:eastAsia="Arial" w:hAnsi="Arial"/>
          <w:b w:val="false"/>
          <w:color w:val="1F2A37"/>
          <w:sz w:val="22"/>
          <w:szCs w:val="22"/>
          <w:rtl/>
        </w:rPr>
        <w:t xml:space="preserve">، ثم تسلّم المشروع جاهزاً للطرح. ويُنظَّم ذلك باتفاقية مستوى خدمة.</w:t>
      </w:r>
    </w:p>
    <w:p>
      <w:r>
        <w:br w:type="page"/>
      </w:r>
    </w:p>
    <w:p>
      <w:pPr>
        <w:pStyle w:val="Heading1"/>
        <w:bidi/>
      </w:pPr>
      <w:r>
        <w:rPr>
          <w:rFonts w:ascii="Arial" w:cs="Arial" w:eastAsia="Arial" w:hAnsi="Arial"/>
          <w:b w:val="false"/>
          <w:color w:val="1F2A37"/>
          <w:sz w:val="22"/>
          <w:szCs w:val="22"/>
          <w:rtl/>
        </w:rPr>
        <w:t xml:space="preserve">8. خارطة الطريق 2026–2030</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527"/>
        <w:gridCol w:w="2527"/>
        <w:gridCol w:w="2347"/>
      </w:tblGrid>
      <w:tr>
        <w:trPr>
          <w:tblHeader/>
        </w:trPr>
        <w:tc>
          <w:tcPr>
            <w:tcW w:type="dxa" w:w="1625"/>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المرحلة</w:t>
            </w:r>
          </w:p>
        </w:tc>
        <w:tc>
          <w:tcPr>
            <w:tcW w:type="dxa" w:w="2527"/>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تخطيط ومراقبة الإيرادات</w:t>
            </w:r>
          </w:p>
        </w:tc>
        <w:tc>
          <w:tcPr>
            <w:tcW w:type="dxa" w:w="2527"/>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الائتمان والتمويل</w:t>
            </w:r>
          </w:p>
        </w:tc>
        <w:tc>
          <w:tcPr>
            <w:tcW w:type="dxa" w:w="2347"/>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الاستدامة المالية</w:t>
            </w:r>
          </w:p>
        </w:tc>
      </w:tr>
      <w:tr>
        <w:tc>
          <w:tcPr>
            <w:tcW w:type="dxa" w:w="1625"/>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2026</w:t>
            </w:r>
          </w:p>
          <w:p>
            <w:pPr>
              <w:bidi/>
              <w:spacing w:after="20"/>
            </w:pPr>
            <w:r>
              <w:rPr>
                <w:rFonts w:ascii="Arial" w:cs="Arial" w:eastAsia="Arial" w:hAnsi="Arial"/>
                <w:b w:val="false"/>
                <w:color w:val="1F2A37"/>
                <w:sz w:val="19"/>
                <w:szCs w:val="19"/>
                <w:rtl/>
              </w:rPr>
              <w:t xml:space="preserve">التأسيس</w:t>
            </w:r>
          </w:p>
        </w:tc>
        <w:tc>
          <w:tcPr>
            <w:tcW w:type="dxa" w:w="252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توحيد البيانات</w:t>
            </w:r>
          </w:p>
          <w:p>
            <w:pPr>
              <w:bidi/>
              <w:spacing w:after="20"/>
            </w:pPr>
            <w:r>
              <w:rPr>
                <w:rFonts w:ascii="Arial" w:cs="Arial" w:eastAsia="Arial" w:hAnsi="Arial"/>
                <w:b w:val="false"/>
                <w:color w:val="1F2A37"/>
                <w:sz w:val="19"/>
                <w:szCs w:val="19"/>
                <w:rtl/>
              </w:rPr>
              <w:t xml:space="preserve">دليل التصنيف</w:t>
            </w:r>
          </w:p>
          <w:p>
            <w:pPr>
              <w:bidi/>
              <w:spacing w:after="20"/>
            </w:pPr>
            <w:r>
              <w:rPr>
                <w:rFonts w:ascii="Arial" w:cs="Arial" w:eastAsia="Arial" w:hAnsi="Arial"/>
                <w:b w:val="false"/>
                <w:color w:val="1F2A37"/>
                <w:sz w:val="19"/>
                <w:szCs w:val="19"/>
                <w:rtl/>
              </w:rPr>
              <w:t xml:space="preserve">خط الأساس</w:t>
            </w:r>
          </w:p>
          <w:p>
            <w:pPr>
              <w:bidi/>
              <w:spacing w:after="20"/>
            </w:pPr>
            <w:r>
              <w:rPr>
                <w:rFonts w:ascii="Arial" w:cs="Arial" w:eastAsia="Arial" w:hAnsi="Arial"/>
                <w:b w:val="false"/>
                <w:color w:val="1F2A37"/>
                <w:sz w:val="19"/>
                <w:szCs w:val="19"/>
                <w:rtl/>
              </w:rPr>
              <w:t xml:space="preserve">اللوحة الموحدة</w:t>
            </w:r>
          </w:p>
        </w:tc>
        <w:tc>
          <w:tcPr>
            <w:tcW w:type="dxa" w:w="252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حصر المشاريع غير الممولة</w:t>
            </w:r>
          </w:p>
          <w:p>
            <w:pPr>
              <w:bidi/>
              <w:spacing w:after="20"/>
            </w:pPr>
            <w:r>
              <w:rPr>
                <w:rFonts w:ascii="Arial" w:cs="Arial" w:eastAsia="Arial" w:hAnsi="Arial"/>
                <w:b w:val="false"/>
                <w:color w:val="1F2A37"/>
                <w:sz w:val="19"/>
                <w:szCs w:val="19"/>
                <w:rtl/>
              </w:rPr>
              <w:t xml:space="preserve">ميثاق اللجنة</w:t>
            </w:r>
          </w:p>
          <w:p>
            <w:pPr>
              <w:bidi/>
              <w:spacing w:after="20"/>
            </w:pPr>
            <w:r>
              <w:rPr>
                <w:rFonts w:ascii="Arial" w:cs="Arial" w:eastAsia="Arial" w:hAnsi="Arial"/>
                <w:b w:val="false"/>
                <w:color w:val="1F2A37"/>
                <w:sz w:val="19"/>
                <w:szCs w:val="19"/>
                <w:rtl/>
              </w:rPr>
              <w:t xml:space="preserve">دليل الأدوات</w:t>
            </w:r>
          </w:p>
          <w:p>
            <w:pPr>
              <w:bidi/>
              <w:spacing w:after="20"/>
            </w:pPr>
            <w:r>
              <w:rPr>
                <w:rFonts w:ascii="Arial" w:cs="Arial" w:eastAsia="Arial" w:hAnsi="Arial"/>
                <w:b w:val="false"/>
                <w:color w:val="1F2A37"/>
                <w:sz w:val="19"/>
                <w:szCs w:val="19"/>
                <w:rtl/>
              </w:rPr>
              <w:t xml:space="preserve">اتفاقية مع الوكالة</w:t>
            </w:r>
          </w:p>
          <w:p>
            <w:pPr>
              <w:bidi/>
              <w:spacing w:after="20"/>
            </w:pPr>
            <w:r>
              <w:rPr>
                <w:rFonts w:ascii="Arial" w:cs="Arial" w:eastAsia="Arial" w:hAnsi="Arial"/>
                <w:b w:val="false"/>
                <w:color w:val="1F2A37"/>
                <w:sz w:val="19"/>
                <w:szCs w:val="19"/>
                <w:rtl/>
              </w:rPr>
              <w:t xml:space="preserve">تأهيل الفريق</w:t>
            </w:r>
          </w:p>
        </w:tc>
        <w:tc>
          <w:tcPr>
            <w:tcW w:type="dxa" w:w="234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سجل الالتزامات</w:t>
            </w:r>
          </w:p>
          <w:p>
            <w:pPr>
              <w:bidi/>
              <w:spacing w:after="20"/>
            </w:pPr>
            <w:r>
              <w:rPr>
                <w:rFonts w:ascii="Arial" w:cs="Arial" w:eastAsia="Arial" w:hAnsi="Arial"/>
                <w:b w:val="false"/>
                <w:color w:val="1F2A37"/>
                <w:sz w:val="19"/>
                <w:szCs w:val="19"/>
                <w:rtl/>
              </w:rPr>
              <w:t xml:space="preserve">القواعد المالية</w:t>
            </w:r>
          </w:p>
          <w:p>
            <w:pPr>
              <w:bidi/>
              <w:spacing w:after="20"/>
            </w:pPr>
            <w:r>
              <w:rPr>
                <w:rFonts w:ascii="Arial" w:cs="Arial" w:eastAsia="Arial" w:hAnsi="Arial"/>
                <w:b w:val="false"/>
                <w:color w:val="1F2A37"/>
                <w:sz w:val="19"/>
                <w:szCs w:val="19"/>
                <w:rtl/>
              </w:rPr>
              <w:t xml:space="preserve">خط أساس الصحة المالية</w:t>
            </w:r>
          </w:p>
          <w:p>
            <w:pPr>
              <w:bidi/>
              <w:spacing w:after="20"/>
            </w:pPr>
            <w:r>
              <w:rPr>
                <w:rFonts w:ascii="Arial" w:cs="Arial" w:eastAsia="Arial" w:hAnsi="Arial"/>
                <w:b w:val="false"/>
                <w:color w:val="1F2A37"/>
                <w:sz w:val="19"/>
                <w:szCs w:val="19"/>
                <w:rtl/>
              </w:rPr>
              <w:t xml:space="preserve">تأسيس برنامج الكفاءة</w:t>
            </w:r>
          </w:p>
        </w:tc>
      </w:tr>
      <w:tr>
        <w:tc>
          <w:tcPr>
            <w:tcW w:type="dxa" w:w="1625"/>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2027</w:t>
            </w:r>
          </w:p>
          <w:p>
            <w:pPr>
              <w:bidi/>
              <w:spacing w:after="20"/>
            </w:pPr>
            <w:r>
              <w:rPr>
                <w:rFonts w:ascii="Arial" w:cs="Arial" w:eastAsia="Arial" w:hAnsi="Arial"/>
                <w:b w:val="false"/>
                <w:color w:val="1F2A37"/>
                <w:sz w:val="19"/>
                <w:szCs w:val="19"/>
                <w:rtl/>
              </w:rPr>
              <w:t xml:space="preserve">الأدوات والمكاسب السريعة</w:t>
            </w:r>
          </w:p>
        </w:tc>
        <w:tc>
          <w:tcPr>
            <w:tcW w:type="dxa" w:w="252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نموذج التنبؤ</w:t>
            </w:r>
          </w:p>
          <w:p>
            <w:pPr>
              <w:bidi/>
              <w:spacing w:after="20"/>
            </w:pPr>
            <w:r>
              <w:rPr>
                <w:rFonts w:ascii="Arial" w:cs="Arial" w:eastAsia="Arial" w:hAnsi="Arial"/>
                <w:b w:val="false"/>
                <w:color w:val="1F2A37"/>
                <w:sz w:val="19"/>
                <w:szCs w:val="19"/>
                <w:rtl/>
              </w:rPr>
              <w:t xml:space="preserve">توزيع المستهدفات على 54 جهة</w:t>
            </w:r>
          </w:p>
          <w:p>
            <w:pPr>
              <w:bidi/>
              <w:spacing w:after="20"/>
            </w:pPr>
            <w:r>
              <w:rPr>
                <w:rFonts w:ascii="Arial" w:cs="Arial" w:eastAsia="Arial" w:hAnsi="Arial"/>
                <w:b w:val="false"/>
                <w:color w:val="1F2A37"/>
                <w:sz w:val="19"/>
                <w:szCs w:val="19"/>
                <w:rtl/>
              </w:rPr>
              <w:t xml:space="preserve">ترتيب البلديات والقطاعات</w:t>
            </w:r>
          </w:p>
        </w:tc>
        <w:tc>
          <w:tcPr>
            <w:tcW w:type="dxa" w:w="252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النموذج المالي و«القيمة مقابل المال»</w:t>
            </w:r>
          </w:p>
          <w:p>
            <w:pPr>
              <w:bidi/>
              <w:spacing w:after="20"/>
            </w:pPr>
            <w:r>
              <w:rPr>
                <w:rFonts w:ascii="Arial" w:cs="Arial" w:eastAsia="Arial" w:hAnsi="Arial"/>
                <w:b w:val="false"/>
                <w:color w:val="1F2A37"/>
                <w:sz w:val="19"/>
                <w:szCs w:val="19"/>
                <w:rtl/>
              </w:rPr>
              <w:t xml:space="preserve">3–5 مشاريع تجريبية</w:t>
            </w:r>
          </w:p>
          <w:p>
            <w:pPr>
              <w:bidi/>
              <w:spacing w:after="20"/>
            </w:pPr>
            <w:r>
              <w:rPr>
                <w:rFonts w:ascii="Arial" w:cs="Arial" w:eastAsia="Arial" w:hAnsi="Arial"/>
                <w:b w:val="false"/>
                <w:color w:val="1F2A37"/>
                <w:sz w:val="19"/>
                <w:szCs w:val="19"/>
                <w:rtl/>
              </w:rPr>
              <w:t xml:space="preserve">برنامج الرعايات</w:t>
            </w:r>
          </w:p>
          <w:p>
            <w:pPr>
              <w:bidi/>
              <w:spacing w:after="20"/>
            </w:pPr>
            <w:r>
              <w:rPr>
                <w:rFonts w:ascii="Arial" w:cs="Arial" w:eastAsia="Arial" w:hAnsi="Arial"/>
                <w:b w:val="false"/>
                <w:color w:val="1F2A37"/>
                <w:sz w:val="19"/>
                <w:szCs w:val="19"/>
                <w:rtl/>
              </w:rPr>
              <w:t xml:space="preserve">أول تمويل حكومي مشترك</w:t>
            </w:r>
          </w:p>
        </w:tc>
        <w:tc>
          <w:tcPr>
            <w:tcW w:type="dxa" w:w="234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إسقاطات 10 سنوات</w:t>
            </w:r>
          </w:p>
          <w:p>
            <w:pPr>
              <w:bidi/>
              <w:spacing w:after="20"/>
            </w:pPr>
            <w:r>
              <w:rPr>
                <w:rFonts w:ascii="Arial" w:cs="Arial" w:eastAsia="Arial" w:hAnsi="Arial"/>
                <w:b w:val="false"/>
                <w:color w:val="1F2A37"/>
                <w:sz w:val="19"/>
                <w:szCs w:val="19"/>
                <w:rtl/>
              </w:rPr>
              <w:t xml:space="preserve">دليل مخاطر الصفقات</w:t>
            </w:r>
          </w:p>
          <w:p>
            <w:pPr>
              <w:bidi/>
              <w:spacing w:after="20"/>
            </w:pPr>
            <w:r>
              <w:rPr>
                <w:rFonts w:ascii="Arial" w:cs="Arial" w:eastAsia="Arial" w:hAnsi="Arial"/>
                <w:b w:val="false"/>
                <w:color w:val="1F2A37"/>
                <w:sz w:val="19"/>
                <w:szCs w:val="19"/>
                <w:rtl/>
              </w:rPr>
              <w:t xml:space="preserve">أول تقرير استدامة</w:t>
            </w:r>
          </w:p>
          <w:p>
            <w:pPr>
              <w:bidi/>
              <w:spacing w:after="20"/>
            </w:pPr>
            <w:r>
              <w:rPr>
                <w:rFonts w:ascii="Arial" w:cs="Arial" w:eastAsia="Arial" w:hAnsi="Arial"/>
                <w:b w:val="false"/>
                <w:color w:val="1F2A37"/>
                <w:sz w:val="19"/>
                <w:szCs w:val="19"/>
                <w:rtl/>
              </w:rPr>
              <w:t xml:space="preserve">أول فرص للكفاءة</w:t>
            </w:r>
          </w:p>
        </w:tc>
      </w:tr>
      <w:tr>
        <w:tc>
          <w:tcPr>
            <w:tcW w:type="dxa" w:w="1625"/>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2028</w:t>
            </w:r>
          </w:p>
          <w:p>
            <w:pPr>
              <w:bidi/>
              <w:spacing w:after="20"/>
            </w:pPr>
            <w:r>
              <w:rPr>
                <w:rFonts w:ascii="Arial" w:cs="Arial" w:eastAsia="Arial" w:hAnsi="Arial"/>
                <w:b w:val="false"/>
                <w:color w:val="1F2A37"/>
                <w:sz w:val="19"/>
                <w:szCs w:val="19"/>
                <w:rtl/>
              </w:rPr>
              <w:t xml:space="preserve">العمق والتوسع</w:t>
            </w:r>
          </w:p>
        </w:tc>
        <w:tc>
          <w:tcPr>
            <w:tcW w:type="dxa" w:w="252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اجتماع المراجعة الشهري</w:t>
            </w:r>
          </w:p>
          <w:p>
            <w:pPr>
              <w:bidi/>
              <w:spacing w:after="20"/>
            </w:pPr>
            <w:r>
              <w:rPr>
                <w:rFonts w:ascii="Arial" w:cs="Arial" w:eastAsia="Arial" w:hAnsi="Arial"/>
                <w:b w:val="false"/>
                <w:color w:val="1F2A37"/>
                <w:sz w:val="19"/>
                <w:szCs w:val="19"/>
                <w:rtl/>
              </w:rPr>
              <w:t xml:space="preserve">برنامج كشف الفاقد</w:t>
            </w:r>
          </w:p>
          <w:p>
            <w:pPr>
              <w:bidi/>
              <w:spacing w:after="20"/>
            </w:pPr>
            <w:r>
              <w:rPr>
                <w:rFonts w:ascii="Arial" w:cs="Arial" w:eastAsia="Arial" w:hAnsi="Arial"/>
                <w:b w:val="false"/>
                <w:color w:val="1F2A37"/>
                <w:sz w:val="19"/>
                <w:szCs w:val="19"/>
                <w:rtl/>
              </w:rPr>
              <w:t xml:space="preserve">مراجعة تسعير الإيجارات</w:t>
            </w:r>
          </w:p>
        </w:tc>
        <w:tc>
          <w:tcPr>
            <w:tcW w:type="dxa" w:w="252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مشاريع كبرى مع المركز الوطني للتخصيص</w:t>
            </w:r>
          </w:p>
          <w:p>
            <w:pPr>
              <w:bidi/>
              <w:spacing w:after="20"/>
            </w:pPr>
            <w:r>
              <w:rPr>
                <w:rFonts w:ascii="Arial" w:cs="Arial" w:eastAsia="Arial" w:hAnsi="Arial"/>
                <w:b w:val="false"/>
                <w:color w:val="1F2A37"/>
                <w:sz w:val="19"/>
                <w:szCs w:val="19"/>
                <w:rtl/>
              </w:rPr>
              <w:t xml:space="preserve">أول تمويل بنكي</w:t>
            </w:r>
          </w:p>
          <w:p>
            <w:pPr>
              <w:bidi/>
              <w:spacing w:after="20"/>
            </w:pPr>
            <w:r>
              <w:rPr>
                <w:rFonts w:ascii="Arial" w:cs="Arial" w:eastAsia="Arial" w:hAnsi="Arial"/>
                <w:b w:val="false"/>
                <w:color w:val="1F2A37"/>
                <w:sz w:val="19"/>
                <w:szCs w:val="19"/>
                <w:rtl/>
              </w:rPr>
              <w:t xml:space="preserve">استرداد القيمة حول المترو</w:t>
            </w:r>
          </w:p>
        </w:tc>
        <w:tc>
          <w:tcPr>
            <w:tcW w:type="dxa" w:w="234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اختبارات الضغط</w:t>
            </w:r>
          </w:p>
          <w:p>
            <w:pPr>
              <w:bidi/>
              <w:spacing w:after="20"/>
            </w:pPr>
            <w:r>
              <w:rPr>
                <w:rFonts w:ascii="Arial" w:cs="Arial" w:eastAsia="Arial" w:hAnsi="Arial"/>
                <w:b w:val="false"/>
                <w:color w:val="1F2A37"/>
                <w:sz w:val="19"/>
                <w:szCs w:val="19"/>
                <w:rtl/>
              </w:rPr>
              <w:t xml:space="preserve">تكلفة الخدمات</w:t>
            </w:r>
          </w:p>
          <w:p>
            <w:pPr>
              <w:bidi/>
              <w:spacing w:after="20"/>
            </w:pPr>
            <w:r>
              <w:rPr>
                <w:rFonts w:ascii="Arial" w:cs="Arial" w:eastAsia="Arial" w:hAnsi="Arial"/>
                <w:b w:val="false"/>
                <w:color w:val="1F2A37"/>
                <w:sz w:val="19"/>
                <w:szCs w:val="19"/>
                <w:rtl/>
              </w:rPr>
              <w:t xml:space="preserve">دراسات الكفاءة</w:t>
            </w:r>
          </w:p>
        </w:tc>
      </w:tr>
      <w:tr>
        <w:tc>
          <w:tcPr>
            <w:tcW w:type="dxa" w:w="1625"/>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2029–2030</w:t>
            </w:r>
          </w:p>
          <w:p>
            <w:pPr>
              <w:bidi/>
              <w:spacing w:after="20"/>
            </w:pPr>
            <w:r>
              <w:rPr>
                <w:rFonts w:ascii="Arial" w:cs="Arial" w:eastAsia="Arial" w:hAnsi="Arial"/>
                <w:b w:val="false"/>
                <w:color w:val="1F2A37"/>
                <w:sz w:val="19"/>
                <w:szCs w:val="19"/>
                <w:rtl/>
              </w:rPr>
              <w:t xml:space="preserve">التنويع والاستعداد</w:t>
            </w:r>
          </w:p>
        </w:tc>
        <w:tc>
          <w:tcPr>
            <w:tcW w:type="dxa" w:w="252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مصادر إيراد جديدة</w:t>
            </w:r>
          </w:p>
          <w:p>
            <w:pPr>
              <w:bidi/>
              <w:spacing w:after="20"/>
            </w:pPr>
            <w:r>
              <w:rPr>
                <w:rFonts w:ascii="Arial" w:cs="Arial" w:eastAsia="Arial" w:hAnsi="Arial"/>
                <w:b w:val="false"/>
                <w:color w:val="1F2A37"/>
                <w:sz w:val="19"/>
                <w:szCs w:val="19"/>
                <w:rtl/>
              </w:rPr>
              <w:t xml:space="preserve">خطة إيرادات الأحداث الكبرى</w:t>
            </w:r>
          </w:p>
        </w:tc>
        <w:tc>
          <w:tcPr>
            <w:tcW w:type="dxa" w:w="252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محفظة إكسبو وكأس العالم</w:t>
            </w:r>
          </w:p>
          <w:p>
            <w:pPr>
              <w:bidi/>
              <w:spacing w:after="20"/>
            </w:pPr>
            <w:r>
              <w:rPr>
                <w:rFonts w:ascii="Arial" w:cs="Arial" w:eastAsia="Arial" w:hAnsi="Arial"/>
                <w:b w:val="false"/>
                <w:color w:val="1F2A37"/>
                <w:sz w:val="19"/>
                <w:szCs w:val="19"/>
                <w:rtl/>
              </w:rPr>
              <w:t xml:space="preserve">دراسة الصكوك</w:t>
            </w:r>
          </w:p>
          <w:p>
            <w:pPr>
              <w:bidi/>
              <w:spacing w:after="20"/>
            </w:pPr>
            <w:r>
              <w:rPr>
                <w:rFonts w:ascii="Arial" w:cs="Arial" w:eastAsia="Arial" w:hAnsi="Arial"/>
                <w:b w:val="false"/>
                <w:color w:val="1F2A37"/>
                <w:sz w:val="19"/>
                <w:szCs w:val="19"/>
                <w:rtl/>
              </w:rPr>
              <w:t xml:space="preserve">دراسة شركة تطوير</w:t>
            </w:r>
          </w:p>
        </w:tc>
        <w:tc>
          <w:tcPr>
            <w:tcW w:type="dxa" w:w="234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الجاهزية للتصنيف الائتماني</w:t>
            </w:r>
          </w:p>
          <w:p>
            <w:pPr>
              <w:bidi/>
              <w:spacing w:after="20"/>
            </w:pPr>
            <w:r>
              <w:rPr>
                <w:rFonts w:ascii="Arial" w:cs="Arial" w:eastAsia="Arial" w:hAnsi="Arial"/>
                <w:b w:val="false"/>
                <w:color w:val="1F2A37"/>
                <w:sz w:val="19"/>
                <w:szCs w:val="19"/>
                <w:rtl/>
              </w:rPr>
              <w:t xml:space="preserve">خطة إرث الأحداث الكبرى</w:t>
            </w:r>
          </w:p>
        </w:tc>
      </w:tr>
    </w:tbl>
    <w:p>
      <w:r>
        <w:br w:type="page"/>
      </w:r>
    </w:p>
    <w:p>
      <w:pPr>
        <w:pStyle w:val="Heading1"/>
        <w:bidi/>
      </w:pPr>
      <w:r>
        <w:rPr>
          <w:rFonts w:ascii="Arial" w:cs="Arial" w:eastAsia="Arial" w:hAnsi="Arial"/>
          <w:b w:val="false"/>
          <w:color w:val="1F2A37"/>
          <w:sz w:val="22"/>
          <w:szCs w:val="22"/>
          <w:rtl/>
        </w:rPr>
        <w:t xml:space="preserve">9. مؤشرات الأداء الرئيسية</w:t>
      </w:r>
    </w:p>
    <w:p>
      <w:pPr>
        <w:bidi/>
        <w:spacing w:after="120" w:before="0" w:line="300"/>
        <w:jc w:val="both"/>
      </w:pPr>
      <w:r>
        <w:rPr>
          <w:rFonts w:ascii="Arial" w:cs="Arial" w:eastAsia="Arial" w:hAnsi="Arial"/>
          <w:b w:val="false"/>
          <w:color w:val="1F2A37"/>
          <w:sz w:val="22"/>
          <w:szCs w:val="22"/>
          <w:rtl/>
        </w:rPr>
        <w:t xml:space="preserve">تُحدَّد القيم المستهدفة غير المذكورة بعد بناء خط الأساس في 2026.</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2527"/>
        <w:gridCol w:w="1264"/>
        <w:gridCol w:w="1986"/>
      </w:tblGrid>
      <w:tr>
        <w:trPr>
          <w:tblHeader/>
        </w:trPr>
        <w:tc>
          <w:tcPr>
            <w:tcW w:type="dxa" w:w="3249"/>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المؤشر</w:t>
            </w:r>
          </w:p>
        </w:tc>
        <w:tc>
          <w:tcPr>
            <w:tcW w:type="dxa" w:w="2527"/>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الإدارة</w:t>
            </w:r>
          </w:p>
        </w:tc>
        <w:tc>
          <w:tcPr>
            <w:tcW w:type="dxa" w:w="1264"/>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الدورية</w:t>
            </w:r>
          </w:p>
        </w:tc>
        <w:tc>
          <w:tcPr>
            <w:tcW w:type="dxa" w:w="1986"/>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مستهدف 2030</w:t>
            </w:r>
          </w:p>
        </w:tc>
      </w:tr>
      <w:tr>
        <w:tc>
          <w:tcPr>
            <w:tcW w:type="dxa" w:w="324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إجمالي إيرادات الأمانة</w:t>
            </w:r>
          </w:p>
        </w:tc>
        <w:tc>
          <w:tcPr>
            <w:tcW w:type="dxa" w:w="252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تخطيط ومراقبة الإيرادات</w:t>
            </w:r>
          </w:p>
        </w:tc>
        <w:tc>
          <w:tcPr>
            <w:tcW w:type="dxa" w:w="126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شهري</w:t>
            </w:r>
          </w:p>
        </w:tc>
        <w:tc>
          <w:tcPr>
            <w:tcW w:type="dxa" w:w="198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5,000 مليون ريال</w:t>
            </w:r>
          </w:p>
        </w:tc>
      </w:tr>
      <w:tr>
        <w:tc>
          <w:tcPr>
            <w:tcW w:type="dxa" w:w="324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نسبة تحقيق المستهدف السنوي</w:t>
            </w:r>
          </w:p>
        </w:tc>
        <w:tc>
          <w:tcPr>
            <w:tcW w:type="dxa" w:w="252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تخطيط ومراقبة الإيرادات</w:t>
            </w:r>
          </w:p>
        </w:tc>
        <w:tc>
          <w:tcPr>
            <w:tcW w:type="dxa" w:w="126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شهري</w:t>
            </w:r>
          </w:p>
        </w:tc>
        <w:tc>
          <w:tcPr>
            <w:tcW w:type="dxa" w:w="198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100% فأكثر</w:t>
            </w:r>
          </w:p>
        </w:tc>
      </w:tr>
      <w:tr>
        <w:tc>
          <w:tcPr>
            <w:tcW w:type="dxa" w:w="324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دقة التنبؤ بالإيرادات</w:t>
            </w:r>
          </w:p>
        </w:tc>
        <w:tc>
          <w:tcPr>
            <w:tcW w:type="dxa" w:w="252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تخطيط ومراقبة الإيرادات</w:t>
            </w:r>
          </w:p>
        </w:tc>
        <w:tc>
          <w:tcPr>
            <w:tcW w:type="dxa" w:w="126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ربع سنوي</w:t>
            </w:r>
          </w:p>
        </w:tc>
        <w:tc>
          <w:tcPr>
            <w:tcW w:type="dxa" w:w="198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يُحدد بعد خط الأساس</w:t>
            </w:r>
          </w:p>
        </w:tc>
      </w:tr>
      <w:tr>
        <w:tc>
          <w:tcPr>
            <w:tcW w:type="dxa" w:w="324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الجهات المرتبطة باللوحة الموحدة</w:t>
            </w:r>
          </w:p>
        </w:tc>
        <w:tc>
          <w:tcPr>
            <w:tcW w:type="dxa" w:w="252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تخطيط ومراقبة الإيرادات</w:t>
            </w:r>
          </w:p>
        </w:tc>
        <w:tc>
          <w:tcPr>
            <w:tcW w:type="dxa" w:w="126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ربع سنوي</w:t>
            </w:r>
          </w:p>
        </w:tc>
        <w:tc>
          <w:tcPr>
            <w:tcW w:type="dxa" w:w="198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54 من 54 (من 2026)</w:t>
            </w:r>
          </w:p>
        </w:tc>
      </w:tr>
      <w:tr>
        <w:tc>
          <w:tcPr>
            <w:tcW w:type="dxa" w:w="324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نسبة التحصيل الإجمالية (مشترك)</w:t>
            </w:r>
          </w:p>
        </w:tc>
        <w:tc>
          <w:tcPr>
            <w:tcW w:type="dxa" w:w="252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تخطيط ومراقبة الإيرادات + جهات التحصيل</w:t>
            </w:r>
          </w:p>
        </w:tc>
        <w:tc>
          <w:tcPr>
            <w:tcW w:type="dxa" w:w="126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شهري</w:t>
            </w:r>
          </w:p>
        </w:tc>
        <w:tc>
          <w:tcPr>
            <w:tcW w:type="dxa" w:w="198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يُحدد بعد خط الأساس</w:t>
            </w:r>
          </w:p>
        </w:tc>
      </w:tr>
      <w:tr>
        <w:tc>
          <w:tcPr>
            <w:tcW w:type="dxa" w:w="324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قيمة الفاقد المكتشف والمحصّل</w:t>
            </w:r>
          </w:p>
        </w:tc>
        <w:tc>
          <w:tcPr>
            <w:tcW w:type="dxa" w:w="252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تخطيط ومراقبة الإيرادات</w:t>
            </w:r>
          </w:p>
        </w:tc>
        <w:tc>
          <w:tcPr>
            <w:tcW w:type="dxa" w:w="126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ربع سنوي</w:t>
            </w:r>
          </w:p>
        </w:tc>
        <w:tc>
          <w:tcPr>
            <w:tcW w:type="dxa" w:w="198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يُحدد بعد خط الأساس</w:t>
            </w:r>
          </w:p>
        </w:tc>
      </w:tr>
      <w:tr>
        <w:tc>
          <w:tcPr>
            <w:tcW w:type="dxa" w:w="324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نسبة الإيرادات من غير التأجير</w:t>
            </w:r>
          </w:p>
        </w:tc>
        <w:tc>
          <w:tcPr>
            <w:tcW w:type="dxa" w:w="252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تخطيط ومراقبة الإيرادات</w:t>
            </w:r>
          </w:p>
        </w:tc>
        <w:tc>
          <w:tcPr>
            <w:tcW w:type="dxa" w:w="126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سنوي</w:t>
            </w:r>
          </w:p>
        </w:tc>
        <w:tc>
          <w:tcPr>
            <w:tcW w:type="dxa" w:w="198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يُحدد بعد خط الأساس</w:t>
            </w:r>
          </w:p>
        </w:tc>
      </w:tr>
      <w:tr>
        <w:tc>
          <w:tcPr>
            <w:tcW w:type="dxa" w:w="324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قيمة المشاريع الممولة من خارج الميزانية</w:t>
            </w:r>
          </w:p>
        </w:tc>
        <w:tc>
          <w:tcPr>
            <w:tcW w:type="dxa" w:w="252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الائتمان والتمويل</w:t>
            </w:r>
          </w:p>
        </w:tc>
        <w:tc>
          <w:tcPr>
            <w:tcW w:type="dxa" w:w="126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ربع سنوي</w:t>
            </w:r>
          </w:p>
        </w:tc>
        <w:tc>
          <w:tcPr>
            <w:tcW w:type="dxa" w:w="198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يُحدد بعد حصر المحفظة</w:t>
            </w:r>
          </w:p>
        </w:tc>
      </w:tr>
      <w:tr>
        <w:tc>
          <w:tcPr>
            <w:tcW w:type="dxa" w:w="324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الوفر المحقق على الميزانية</w:t>
            </w:r>
          </w:p>
        </w:tc>
        <w:tc>
          <w:tcPr>
            <w:tcW w:type="dxa" w:w="252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الائتمان والتمويل</w:t>
            </w:r>
          </w:p>
        </w:tc>
        <w:tc>
          <w:tcPr>
            <w:tcW w:type="dxa" w:w="126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سنوي</w:t>
            </w:r>
          </w:p>
        </w:tc>
        <w:tc>
          <w:tcPr>
            <w:tcW w:type="dxa" w:w="198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يُحدد بعد حصر المحفظة</w:t>
            </w:r>
          </w:p>
        </w:tc>
      </w:tr>
      <w:tr>
        <w:tc>
          <w:tcPr>
            <w:tcW w:type="dxa" w:w="324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نسبة المشاريع ذات دراسة «القيمة مقابل المال»</w:t>
            </w:r>
          </w:p>
        </w:tc>
        <w:tc>
          <w:tcPr>
            <w:tcW w:type="dxa" w:w="252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الائتمان والتمويل</w:t>
            </w:r>
          </w:p>
        </w:tc>
        <w:tc>
          <w:tcPr>
            <w:tcW w:type="dxa" w:w="126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ربع سنوي</w:t>
            </w:r>
          </w:p>
        </w:tc>
        <w:tc>
          <w:tcPr>
            <w:tcW w:type="dxa" w:w="198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100%</w:t>
            </w:r>
          </w:p>
        </w:tc>
      </w:tr>
      <w:tr>
        <w:tc>
          <w:tcPr>
            <w:tcW w:type="dxa" w:w="324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نسبة قرارات اللجنة المنفذة في موعدها</w:t>
            </w:r>
          </w:p>
        </w:tc>
        <w:tc>
          <w:tcPr>
            <w:tcW w:type="dxa" w:w="252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الائتمان والتمويل</w:t>
            </w:r>
          </w:p>
        </w:tc>
        <w:tc>
          <w:tcPr>
            <w:tcW w:type="dxa" w:w="126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ربع سنوي</w:t>
            </w:r>
          </w:p>
        </w:tc>
        <w:tc>
          <w:tcPr>
            <w:tcW w:type="dxa" w:w="198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يُحدد لاحقاً</w:t>
            </w:r>
          </w:p>
        </w:tc>
      </w:tr>
      <w:tr>
        <w:tc>
          <w:tcPr>
            <w:tcW w:type="dxa" w:w="324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نسبة الصفقات المراجعة قبل الاعتماد</w:t>
            </w:r>
          </w:p>
        </w:tc>
        <w:tc>
          <w:tcPr>
            <w:tcW w:type="dxa" w:w="252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الاستدامة المالية</w:t>
            </w:r>
          </w:p>
        </w:tc>
        <w:tc>
          <w:tcPr>
            <w:tcW w:type="dxa" w:w="126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ربع سنوي</w:t>
            </w:r>
          </w:p>
        </w:tc>
        <w:tc>
          <w:tcPr>
            <w:tcW w:type="dxa" w:w="198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100%</w:t>
            </w:r>
          </w:p>
        </w:tc>
      </w:tr>
      <w:tr>
        <w:tc>
          <w:tcPr>
            <w:tcW w:type="dxa" w:w="324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نسبة خدمة الدين إلى الإيرادات المستقرة</w:t>
            </w:r>
          </w:p>
        </w:tc>
        <w:tc>
          <w:tcPr>
            <w:tcW w:type="dxa" w:w="252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الاستدامة المالية</w:t>
            </w:r>
          </w:p>
        </w:tc>
        <w:tc>
          <w:tcPr>
            <w:tcW w:type="dxa" w:w="126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ربع سنوي</w:t>
            </w:r>
          </w:p>
        </w:tc>
        <w:tc>
          <w:tcPr>
            <w:tcW w:type="dxa" w:w="198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ضمن السقف المعتمد</w:t>
            </w:r>
          </w:p>
        </w:tc>
      </w:tr>
      <w:tr>
        <w:tc>
          <w:tcPr>
            <w:tcW w:type="dxa" w:w="3249"/>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الوفر من مبادرات كفاءة الإنفاق</w:t>
            </w:r>
          </w:p>
        </w:tc>
        <w:tc>
          <w:tcPr>
            <w:tcW w:type="dxa" w:w="2527"/>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الاستدامة المالية</w:t>
            </w:r>
          </w:p>
        </w:tc>
        <w:tc>
          <w:tcPr>
            <w:tcW w:type="dxa" w:w="126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سنوي</w:t>
            </w:r>
          </w:p>
        </w:tc>
        <w:tc>
          <w:tcPr>
            <w:tcW w:type="dxa" w:w="198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يُحدد بعد خط الأساس</w:t>
            </w:r>
          </w:p>
        </w:tc>
      </w:tr>
      <w:tr>
        <w:tc>
          <w:tcPr>
            <w:tcW w:type="dxa" w:w="3249"/>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تقرير الاستدامة السنوي في موعده</w:t>
            </w:r>
          </w:p>
        </w:tc>
        <w:tc>
          <w:tcPr>
            <w:tcW w:type="dxa" w:w="2527"/>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الاستدامة المالية</w:t>
            </w:r>
          </w:p>
        </w:tc>
        <w:tc>
          <w:tcPr>
            <w:tcW w:type="dxa" w:w="126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سنوي</w:t>
            </w:r>
          </w:p>
        </w:tc>
        <w:tc>
          <w:tcPr>
            <w:tcW w:type="dxa" w:w="198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نعم (من 2027)</w:t>
            </w:r>
          </w:p>
        </w:tc>
      </w:tr>
    </w:tbl>
    <w:p>
      <w:r>
        <w:br w:type="page"/>
      </w:r>
    </w:p>
    <w:p>
      <w:pPr>
        <w:pStyle w:val="Heading1"/>
        <w:bidi/>
      </w:pPr>
      <w:r>
        <w:rPr>
          <w:rFonts w:ascii="Arial" w:cs="Arial" w:eastAsia="Arial" w:hAnsi="Arial"/>
          <w:b w:val="false"/>
          <w:color w:val="1F2A37"/>
          <w:sz w:val="22"/>
          <w:szCs w:val="22"/>
          <w:rtl/>
        </w:rPr>
        <w:t xml:space="preserve">10. الحوكمة وإدارة المخاطر</w:t>
      </w:r>
    </w:p>
    <w:p>
      <w:pPr>
        <w:pStyle w:val="Heading2"/>
        <w:bidi/>
      </w:pPr>
      <w:r>
        <w:rPr>
          <w:rFonts w:ascii="Arial" w:cs="Arial" w:eastAsia="Arial" w:hAnsi="Arial"/>
          <w:b w:val="false"/>
          <w:color w:val="1F2A37"/>
          <w:sz w:val="22"/>
          <w:szCs w:val="22"/>
          <w:rtl/>
        </w:rPr>
        <w:t xml:space="preserve">إيقاع التقارير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3611"/>
      </w:tblGrid>
      <w:tr>
        <w:trPr>
          <w:tblHeader/>
        </w:trPr>
        <w:tc>
          <w:tcPr>
            <w:tcW w:type="dxa" w:w="3610"/>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التقرير</w:t>
            </w:r>
          </w:p>
        </w:tc>
        <w:tc>
          <w:tcPr>
            <w:tcW w:type="dxa" w:w="1805"/>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الدورية</w:t>
            </w:r>
          </w:p>
        </w:tc>
        <w:tc>
          <w:tcPr>
            <w:tcW w:type="dxa" w:w="3611"/>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يُرفع إلى</w:t>
            </w:r>
          </w:p>
        </w:tc>
      </w:tr>
      <w:tr>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لوحة الإيرادات وأداء التحصيل</w:t>
            </w:r>
          </w:p>
        </w:tc>
        <w:tc>
          <w:tcPr>
            <w:tcW w:type="dxa" w:w="1805"/>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شهري</w:t>
            </w:r>
          </w:p>
        </w:tc>
        <w:tc>
          <w:tcPr>
            <w:tcW w:type="dxa" w:w="361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وكيل الخدمات المؤسسية والقيادة</w:t>
            </w:r>
          </w:p>
        </w:tc>
      </w:tr>
      <w:tr>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تقرير محفظة التمويل وقرارات اللجنة</w:t>
            </w:r>
          </w:p>
        </w:tc>
        <w:tc>
          <w:tcPr>
            <w:tcW w:type="dxa" w:w="1805"/>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ربع سنوي</w:t>
            </w:r>
          </w:p>
        </w:tc>
        <w:tc>
          <w:tcPr>
            <w:tcW w:type="dxa" w:w="361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اللجنة العليا للتمويل وسمو الأمين</w:t>
            </w:r>
          </w:p>
        </w:tc>
      </w:tr>
      <w:tr>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مؤشرات الصحة المالية</w:t>
            </w:r>
          </w:p>
        </w:tc>
        <w:tc>
          <w:tcPr>
            <w:tcW w:type="dxa" w:w="1805"/>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ربع سنوي</w:t>
            </w:r>
          </w:p>
        </w:tc>
        <w:tc>
          <w:tcPr>
            <w:tcW w:type="dxa" w:w="361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اللجنة العليا للتمويل</w:t>
            </w:r>
          </w:p>
        </w:tc>
      </w:tr>
      <w:tr>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تقرير الاستدامة المالية</w:t>
            </w:r>
          </w:p>
        </w:tc>
        <w:tc>
          <w:tcPr>
            <w:tcW w:type="dxa" w:w="1805"/>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سنوي</w:t>
            </w:r>
          </w:p>
        </w:tc>
        <w:tc>
          <w:tcPr>
            <w:tcW w:type="dxa" w:w="3611"/>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سمو الأمين</w:t>
            </w:r>
          </w:p>
        </w:tc>
      </w:tr>
      <w:tr>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تقرير تنفيذ الاستراتيجية</w:t>
            </w:r>
          </w:p>
        </w:tc>
        <w:tc>
          <w:tcPr>
            <w:tcW w:type="dxa" w:w="1805"/>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نصف سنوي</w:t>
            </w:r>
          </w:p>
        </w:tc>
        <w:tc>
          <w:tcPr>
            <w:tcW w:type="dxa" w:w="3611"/>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مساعد الأمين لإدارة المدينة</w:t>
            </w:r>
          </w:p>
        </w:tc>
      </w:tr>
    </w:tbl>
    <w:p>
      <w:pPr>
        <w:spacing w:after="120"/>
      </w:pPr>
    </w:p>
    <w:p>
      <w:pPr>
        <w:pStyle w:val="Heading2"/>
        <w:bidi/>
      </w:pPr>
      <w:r>
        <w:rPr>
          <w:rFonts w:ascii="Arial" w:cs="Arial" w:eastAsia="Arial" w:hAnsi="Arial"/>
          <w:b w:val="false"/>
          <w:color w:val="1F2A37"/>
          <w:sz w:val="22"/>
          <w:szCs w:val="22"/>
          <w:rtl/>
        </w:rPr>
        <w:t xml:space="preserve">المخاطر الرئيسية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3610"/>
      </w:tblGrid>
      <w:tr>
        <w:trPr>
          <w:tblHeader/>
        </w:trPr>
        <w:tc>
          <w:tcPr>
            <w:tcW w:type="dxa" w:w="270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الخطر</w:t>
            </w:r>
          </w:p>
        </w:tc>
        <w:tc>
          <w:tcPr>
            <w:tcW w:type="dxa" w:w="270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الأثر</w:t>
            </w:r>
          </w:p>
        </w:tc>
        <w:tc>
          <w:tcPr>
            <w:tcW w:type="dxa" w:w="3610"/>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المعالجة</w:t>
            </w:r>
          </w:p>
        </w:tc>
      </w:tr>
      <w:tr>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تباطؤ سوق البناء</w:t>
            </w:r>
          </w:p>
        </w:tc>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انخفاض الرسوم الإنشائية</w:t>
            </w:r>
          </w:p>
        </w:tc>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تنبؤ متحفظ وتنويع المصادر</w:t>
            </w:r>
          </w:p>
        </w:tc>
      </w:tr>
      <w:tr>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تراجع إيرادات التبغ</w:t>
            </w:r>
          </w:p>
        </w:tc>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فجوة في الإيرادات</w:t>
            </w:r>
          </w:p>
        </w:tc>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عدم الاعتماد عليه للنمو والتعويض من الإيواء</w:t>
            </w:r>
          </w:p>
        </w:tc>
      </w:tr>
      <w:tr>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تداخل الأدوار مع الوكالة والإدارة المالية</w:t>
            </w:r>
          </w:p>
        </w:tc>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ازدواجية أو فراغ</w:t>
            </w:r>
          </w:p>
        </w:tc>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مصفوفة المسؤوليات واتفاقيات مستوى الخدمة</w:t>
            </w:r>
          </w:p>
        </w:tc>
      </w:tr>
      <w:tr>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ضعف إقبال المستثمرين</w:t>
            </w:r>
          </w:p>
        </w:tc>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تعثر مسار المستثمر</w:t>
            </w:r>
          </w:p>
        </w:tc>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استطلاع السوق، والتجميع، وإعطاء التسمية للمستثمر عند الحاجة</w:t>
            </w:r>
          </w:p>
        </w:tc>
      </w:tr>
      <w:tr>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التزامات مخفية في العقود</w:t>
            </w:r>
          </w:p>
        </w:tc>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عبء مستقبلي على الميزانية</w:t>
            </w:r>
          </w:p>
        </w:tc>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المراجعة الإلزامية وسجل الالتزامات</w:t>
            </w:r>
          </w:p>
        </w:tc>
      </w:tr>
      <w:tr>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ارتفاع أسعار الفائدة</w:t>
            </w:r>
          </w:p>
        </w:tc>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زيادة تكلفة التمويل البنكي</w:t>
            </w:r>
          </w:p>
        </w:tc>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تنويع الآجال، وهامش الأمان، والتحوط عند الحاجة</w:t>
            </w:r>
          </w:p>
        </w:tc>
      </w:tr>
      <w:tr>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نقص الكفاءات المتخصصة</w:t>
            </w:r>
          </w:p>
        </w:tc>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بطء الدراسات وضعف الهيكلة</w:t>
            </w:r>
          </w:p>
        </w:tc>
        <w:tc>
          <w:tcPr>
            <w:tcW w:type="dxa" w:w="361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التأهيل والشهادات المهنية والاستعانة ببيوت الخبرة</w:t>
            </w:r>
          </w:p>
        </w:tc>
      </w:tr>
      <w:tr>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ضعف جودة البيانات</w:t>
            </w:r>
          </w:p>
        </w:tc>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قرارات غير دقيقة</w:t>
            </w:r>
          </w:p>
        </w:tc>
        <w:tc>
          <w:tcPr>
            <w:tcW w:type="dxa" w:w="361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دليل التصنيف الموحد والمصدر الموحد للبيانات</w:t>
            </w:r>
          </w:p>
        </w:tc>
      </w:tr>
    </w:tbl>
    <w:p>
      <w:r>
        <w:br w:type="page"/>
      </w:r>
    </w:p>
    <w:p>
      <w:pPr>
        <w:pStyle w:val="Heading1"/>
        <w:bidi/>
      </w:pPr>
      <w:r>
        <w:rPr>
          <w:rFonts w:ascii="Arial" w:cs="Arial" w:eastAsia="Arial" w:hAnsi="Arial"/>
          <w:b w:val="false"/>
          <w:color w:val="1F2A37"/>
          <w:sz w:val="22"/>
          <w:szCs w:val="22"/>
          <w:rtl/>
        </w:rPr>
        <w:t xml:space="preserve">الملحق (أ): مسودة ميثاق اللجنة العليا للتمويل</w:t>
      </w:r>
    </w:p>
    <w:p>
      <w:pPr>
        <w:pBdr>
          <w:right w:val="single" w:color="B7801A" w:sz="24" w:space="8"/>
        </w:pBdr>
        <w:shd w:fill="FBF6EC" w:color="auto" w:val="clear"/>
        <w:bidi/>
        <w:spacing w:after="160" w:before="0" w:line="300"/>
        <w:ind w:start="120" w:end="120"/>
        <w:jc w:val="both"/>
      </w:pPr>
      <w:r>
        <w:rPr>
          <w:rFonts w:ascii="Arial" w:cs="Arial" w:eastAsia="Arial" w:hAnsi="Arial"/>
          <w:b w:val="false"/>
          <w:color w:val="1F2A37"/>
          <w:sz w:val="22"/>
          <w:szCs w:val="22"/>
          <w:rtl/>
        </w:rPr>
        <w:t xml:space="preserve">مسودة مقترحة للنقاش، وتُستكمل أسماء الأعضاء وتفاصيل الصلاحيات بعد مراجعة الأنظمة واللوائح المعمول بها في الأمانة.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البند</w:t>
            </w:r>
          </w:p>
        </w:tc>
        <w:tc>
          <w:tcPr>
            <w:tcW w:type="dxa" w:w="6860"/>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المقترح</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الاسم</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اللجنة العليا للتمويل</w:t>
            </w:r>
          </w:p>
        </w:tc>
      </w:tr>
      <w:tr>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الرئيس</w:t>
            </w:r>
          </w:p>
        </w:tc>
        <w:tc>
          <w:tcPr>
            <w:tcW w:type="dxa" w:w="686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مساعد الأمين لإدارة المدينة</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الأعضاء المقترحون</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وكيل الخدمات المؤسسية، وكيل الاستثمار والتخصيص، مدير الإدارة المالية، مدير إدارة الإيرادات والتمويل، ممثل الشؤون القانونية، ممثل إدارات المشاريع (تُستكمل)</w:t>
            </w:r>
          </w:p>
        </w:tc>
      </w:tr>
      <w:tr>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أمين السر</w:t>
            </w:r>
          </w:p>
        </w:tc>
        <w:tc>
          <w:tcPr>
            <w:tcW w:type="dxa" w:w="686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إدارة الائتمان والتمويل (أمين السر والذراع التمكيني)</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الهدف</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توجيه تمويل مشاريع الأمانة من خارج الميزانية عبر المسارات الأربعة، بما يحقق أفضل قيمة ويحفظ الاستدامة المالية</w:t>
            </w:r>
          </w:p>
        </w:tc>
      </w:tr>
      <w:tr>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الصلاحيات</w:t>
            </w:r>
          </w:p>
        </w:tc>
        <w:tc>
          <w:tcPr>
            <w:tcW w:type="dxa" w:w="686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اعتماد مسار التمويل وهيكله لكل مشروع</w:t>
            </w:r>
          </w:p>
          <w:p>
            <w:pPr>
              <w:bidi/>
              <w:spacing w:after="20"/>
            </w:pPr>
            <w:r>
              <w:rPr>
                <w:rFonts w:ascii="Arial" w:cs="Arial" w:eastAsia="Arial" w:hAnsi="Arial"/>
                <w:b w:val="false"/>
                <w:color w:val="1F2A37"/>
                <w:sz w:val="19"/>
                <w:szCs w:val="19"/>
                <w:rtl/>
              </w:rPr>
              <w:t xml:space="preserve">اعتماد القواعد المالية وسقوف الاقتراض ورفعها لسمو الأمين</w:t>
            </w:r>
          </w:p>
          <w:p>
            <w:pPr>
              <w:bidi/>
              <w:spacing w:after="20"/>
            </w:pPr>
            <w:r>
              <w:rPr>
                <w:rFonts w:ascii="Arial" w:cs="Arial" w:eastAsia="Arial" w:hAnsi="Arial"/>
                <w:b w:val="false"/>
                <w:color w:val="1F2A37"/>
                <w:sz w:val="19"/>
                <w:szCs w:val="19"/>
                <w:rtl/>
              </w:rPr>
              <w:t xml:space="preserve">اعتماد معايير اختيار المسار وسياسات التمويل</w:t>
            </w:r>
          </w:p>
          <w:p>
            <w:pPr>
              <w:bidi/>
              <w:spacing w:after="20"/>
            </w:pPr>
            <w:r>
              <w:rPr>
                <w:rFonts w:ascii="Arial" w:cs="Arial" w:eastAsia="Arial" w:hAnsi="Arial"/>
                <w:b w:val="false"/>
                <w:color w:val="1F2A37"/>
                <w:sz w:val="19"/>
                <w:szCs w:val="19"/>
                <w:rtl/>
              </w:rPr>
              <w:t xml:space="preserve">متابعة محفظة التمويل والالتزامات</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الاجتماعات</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شهرياً، أو عند الحاجة بدعوة من الرئيس</w:t>
            </w:r>
          </w:p>
        </w:tc>
      </w:tr>
      <w:tr>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النصاب والقرارات</w:t>
            </w:r>
          </w:p>
        </w:tc>
        <w:tc>
          <w:tcPr>
            <w:tcW w:type="dxa" w:w="686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أغلبية الأعضاء بحضور الرئيس أو من ينيبه؛ والقرارات بالأغلبية، وعند التساوي يرجّح جانب الرئيس</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المدخلات الإلزامية</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ملف المشروع وتوصية إدارة الائتمان والتمويل، ورأي إدارة الاستدامة المالية</w:t>
            </w:r>
          </w:p>
        </w:tc>
      </w:tr>
      <w:tr>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تعارض المصالح</w:t>
            </w:r>
          </w:p>
        </w:tc>
        <w:tc>
          <w:tcPr>
            <w:tcW w:type="dxa" w:w="686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إفصاح العضو عن أي تعارض وامتناعه عن التصويت</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التقارير</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تقرير ربع سنوي لسمو الأمين عن المحفظة والقرارات والالتزامات</w:t>
            </w:r>
          </w:p>
        </w:tc>
      </w:tr>
    </w:tbl>
    <w:p>
      <w:r>
        <w:br w:type="page"/>
      </w:r>
    </w:p>
    <w:p>
      <w:pPr>
        <w:pStyle w:val="Heading1"/>
        <w:bidi/>
      </w:pPr>
      <w:r>
        <w:rPr>
          <w:rFonts w:ascii="Arial" w:cs="Arial" w:eastAsia="Arial" w:hAnsi="Arial"/>
          <w:b w:val="false"/>
          <w:color w:val="1F2A37"/>
          <w:sz w:val="22"/>
          <w:szCs w:val="22"/>
          <w:rtl/>
        </w:rPr>
        <w:t xml:space="preserve">الملحق (ب): ملخص التجارب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708"/>
        <w:gridCol w:w="2166"/>
        <w:gridCol w:w="2708"/>
      </w:tblGrid>
      <w:tr>
        <w:trPr>
          <w:tblHeader/>
        </w:trPr>
        <w:tc>
          <w:tcPr>
            <w:tcW w:type="dxa" w:w="1444"/>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المجال</w:t>
            </w:r>
          </w:p>
        </w:tc>
        <w:tc>
          <w:tcPr>
            <w:tcW w:type="dxa" w:w="270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خليجياً</w:t>
            </w:r>
          </w:p>
        </w:tc>
        <w:tc>
          <w:tcPr>
            <w:tcW w:type="dxa" w:w="2166"/>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عربياً</w:t>
            </w:r>
          </w:p>
        </w:tc>
        <w:tc>
          <w:tcPr>
            <w:tcW w:type="dxa" w:w="2708"/>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عالمياً</w:t>
            </w:r>
          </w:p>
        </w:tc>
      </w:tr>
      <w:tr>
        <w:tc>
          <w:tcPr>
            <w:tcW w:type="dxa" w:w="144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تنمية الإيرادات</w:t>
            </w:r>
          </w:p>
        </w:tc>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السعودية: هيئة الزكاة والضريبة والجمارك، ومنصة «فرص»، و«بلدي»</w:t>
            </w:r>
          </w:p>
          <w:p>
            <w:pPr>
              <w:bidi/>
              <w:spacing w:after="20"/>
            </w:pPr>
            <w:r>
              <w:rPr>
                <w:rFonts w:ascii="Arial" w:cs="Arial" w:eastAsia="Arial" w:hAnsi="Arial"/>
                <w:b w:val="false"/>
                <w:color w:val="1F2A37"/>
                <w:sz w:val="19"/>
                <w:szCs w:val="19"/>
                <w:rtl/>
              </w:rPr>
              <w:t xml:space="preserve">البحرين: الجهاز الوطني للإيرادات</w:t>
            </w:r>
          </w:p>
          <w:p>
            <w:pPr>
              <w:bidi/>
              <w:spacing w:after="20"/>
            </w:pPr>
            <w:r>
              <w:rPr>
                <w:rFonts w:ascii="Arial" w:cs="Arial" w:eastAsia="Arial" w:hAnsi="Arial"/>
                <w:b w:val="false"/>
                <w:color w:val="1F2A37"/>
                <w:sz w:val="19"/>
                <w:szCs w:val="19"/>
                <w:rtl/>
              </w:rPr>
              <w:t xml:space="preserve">دبي: التحصيل الرقمي الموحد</w:t>
            </w:r>
          </w:p>
        </w:tc>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مصر والأردن: استراتيجيات الإيرادات متوسطة المدى</w:t>
            </w:r>
          </w:p>
          <w:p>
            <w:pPr>
              <w:bidi/>
              <w:spacing w:after="20"/>
            </w:pPr>
            <w:r>
              <w:rPr>
                <w:rFonts w:ascii="Arial" w:cs="Arial" w:eastAsia="Arial" w:hAnsi="Arial"/>
                <w:b w:val="false"/>
                <w:color w:val="1F2A37"/>
                <w:sz w:val="19"/>
                <w:szCs w:val="19"/>
                <w:rtl/>
              </w:rPr>
              <w:t xml:space="preserve">أمانة عمّان: إعادة تسعير الأصول والإعلانات</w:t>
            </w:r>
          </w:p>
        </w:tc>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بريطانيا: OBR وHMRC</w:t>
            </w:r>
          </w:p>
          <w:p>
            <w:pPr>
              <w:bidi/>
              <w:spacing w:after="20"/>
            </w:pPr>
            <w:r>
              <w:rPr>
                <w:rFonts w:ascii="Arial" w:cs="Arial" w:eastAsia="Arial" w:hAnsi="Arial"/>
                <w:b w:val="false"/>
                <w:color w:val="1F2A37"/>
                <w:sz w:val="19"/>
                <w:szCs w:val="19"/>
                <w:rtl/>
              </w:rPr>
              <w:t xml:space="preserve">بالتيمور: CitiStat</w:t>
            </w:r>
          </w:p>
          <w:p>
            <w:pPr>
              <w:bidi/>
              <w:spacing w:after="20"/>
            </w:pPr>
            <w:r>
              <w:rPr>
                <w:rFonts w:ascii="Arial" w:cs="Arial" w:eastAsia="Arial" w:hAnsi="Arial"/>
                <w:b w:val="false"/>
                <w:color w:val="1F2A37"/>
                <w:sz w:val="19"/>
                <w:szCs w:val="19"/>
                <w:rtl/>
              </w:rPr>
              <w:t xml:space="preserve">سنغافورة: رسوم التطوير والتنبؤ المتحفظ</w:t>
            </w:r>
          </w:p>
          <w:p>
            <w:pPr>
              <w:bidi/>
              <w:spacing w:after="20"/>
            </w:pPr>
            <w:r>
              <w:rPr>
                <w:rFonts w:ascii="Arial" w:cs="Arial" w:eastAsia="Arial" w:hAnsi="Arial"/>
                <w:b w:val="false"/>
                <w:color w:val="1F2A37"/>
                <w:sz w:val="19"/>
                <w:szCs w:val="19"/>
                <w:rtl/>
              </w:rPr>
              <w:t xml:space="preserve">لندن: رسوم الازدحام</w:t>
            </w:r>
          </w:p>
        </w:tc>
      </w:tr>
      <w:tr>
        <w:tc>
          <w:tcPr>
            <w:tcW w:type="dxa" w:w="144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التمويل</w:t>
            </w:r>
          </w:p>
        </w:tc>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السعودية: المركز الوطني للتخصيص، والمركز الوطني لإدارة الدين، وصندوق البنية التحتية الوطني</w:t>
            </w:r>
          </w:p>
          <w:p>
            <w:pPr>
              <w:bidi/>
              <w:spacing w:after="20"/>
            </w:pPr>
            <w:r>
              <w:rPr>
                <w:rFonts w:ascii="Arial" w:cs="Arial" w:eastAsia="Arial" w:hAnsi="Arial"/>
                <w:b w:val="false"/>
                <w:color w:val="1F2A37"/>
                <w:sz w:val="19"/>
                <w:szCs w:val="19"/>
                <w:rtl/>
              </w:rPr>
              <w:t xml:space="preserve">دبي: قانون الشراكات 2015</w:t>
            </w:r>
          </w:p>
          <w:p>
            <w:pPr>
              <w:bidi/>
              <w:spacing w:after="20"/>
            </w:pPr>
            <w:r>
              <w:rPr>
                <w:rFonts w:ascii="Arial" w:cs="Arial" w:eastAsia="Arial" w:hAnsi="Arial"/>
                <w:b w:val="false"/>
                <w:color w:val="1F2A37"/>
                <w:sz w:val="19"/>
                <w:szCs w:val="19"/>
                <w:rtl/>
              </w:rPr>
              <w:t xml:space="preserve">الإمارات: سندات الخزينة الاتحادية</w:t>
            </w:r>
          </w:p>
          <w:p>
            <w:pPr>
              <w:bidi/>
              <w:spacing w:after="20"/>
            </w:pPr>
            <w:r>
              <w:rPr>
                <w:rFonts w:ascii="Arial" w:cs="Arial" w:eastAsia="Arial" w:hAnsi="Arial"/>
                <w:b w:val="false"/>
                <w:color w:val="1F2A37"/>
                <w:sz w:val="19"/>
                <w:szCs w:val="19"/>
                <w:rtl/>
              </w:rPr>
              <w:t xml:space="preserve">الكويت: قانون التمويل والسيولة</w:t>
            </w:r>
          </w:p>
        </w:tc>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مصر: الوحدة المركزية للشراكات، والسندات الخضراء</w:t>
            </w:r>
          </w:p>
        </w:tc>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باريس: Vélib'</w:t>
            </w:r>
          </w:p>
          <w:p>
            <w:pPr>
              <w:bidi/>
              <w:spacing w:after="20"/>
            </w:pPr>
            <w:r>
              <w:rPr>
                <w:rFonts w:ascii="Arial" w:cs="Arial" w:eastAsia="Arial" w:hAnsi="Arial"/>
                <w:b w:val="false"/>
                <w:color w:val="1F2A37"/>
                <w:sz w:val="19"/>
                <w:szCs w:val="19"/>
                <w:rtl/>
              </w:rPr>
              <w:t xml:space="preserve">هونغ كونغ: MTR</w:t>
            </w:r>
          </w:p>
          <w:p>
            <w:pPr>
              <w:bidi/>
              <w:spacing w:after="20"/>
            </w:pPr>
            <w:r>
              <w:rPr>
                <w:rFonts w:ascii="Arial" w:cs="Arial" w:eastAsia="Arial" w:hAnsi="Arial"/>
                <w:b w:val="false"/>
                <w:color w:val="1F2A37"/>
                <w:sz w:val="19"/>
                <w:szCs w:val="19"/>
                <w:rtl/>
              </w:rPr>
              <w:t xml:space="preserve">كوبنهاغن: شركة التطوير</w:t>
            </w:r>
          </w:p>
          <w:p>
            <w:pPr>
              <w:bidi/>
              <w:spacing w:after="20"/>
            </w:pPr>
            <w:r>
              <w:rPr>
                <w:rFonts w:ascii="Arial" w:cs="Arial" w:eastAsia="Arial" w:hAnsi="Arial"/>
                <w:b w:val="false"/>
                <w:color w:val="1F2A37"/>
                <w:sz w:val="19"/>
                <w:szCs w:val="19"/>
                <w:rtl/>
              </w:rPr>
              <w:t xml:space="preserve">كندا: Infrastructure Ontario</w:t>
            </w:r>
          </w:p>
          <w:p>
            <w:pPr>
              <w:bidi/>
              <w:spacing w:after="20"/>
            </w:pPr>
            <w:r>
              <w:rPr>
                <w:rFonts w:ascii="Arial" w:cs="Arial" w:eastAsia="Arial" w:hAnsi="Arial"/>
                <w:b w:val="false"/>
                <w:color w:val="1F2A37"/>
                <w:sz w:val="19"/>
                <w:szCs w:val="19"/>
                <w:rtl/>
              </w:rPr>
              <w:t xml:space="preserve">أمريكا: السندات البلدية</w:t>
            </w:r>
          </w:p>
          <w:p>
            <w:pPr>
              <w:bidi/>
              <w:spacing w:after="20"/>
            </w:pPr>
            <w:r>
              <w:rPr>
                <w:rFonts w:ascii="Arial" w:cs="Arial" w:eastAsia="Arial" w:hAnsi="Arial"/>
                <w:b w:val="false"/>
                <w:color w:val="1F2A37"/>
                <w:sz w:val="19"/>
                <w:szCs w:val="19"/>
                <w:rtl/>
              </w:rPr>
              <w:t xml:space="preserve">جوهانسبرغ ومكسيكو: السندات الخضراء</w:t>
            </w:r>
          </w:p>
        </w:tc>
      </w:tr>
      <w:tr>
        <w:tc>
          <w:tcPr>
            <w:tcW w:type="dxa" w:w="1444"/>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الاستدامة</w:t>
            </w:r>
          </w:p>
        </w:tc>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السعودية: برنامج الاستدامة المالية، وهيئة كفاءة الإنفاق</w:t>
            </w:r>
          </w:p>
          <w:p>
            <w:pPr>
              <w:bidi/>
              <w:spacing w:after="20"/>
            </w:pPr>
            <w:r>
              <w:rPr>
                <w:rFonts w:ascii="Arial" w:cs="Arial" w:eastAsia="Arial" w:hAnsi="Arial"/>
                <w:b w:val="false"/>
                <w:color w:val="1F2A37"/>
                <w:sz w:val="19"/>
                <w:szCs w:val="19"/>
                <w:rtl/>
              </w:rPr>
              <w:t xml:space="preserve">البحرين وعُمان: برامج التوازن المالي</w:t>
            </w:r>
          </w:p>
        </w:tc>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مصر: مستهدفات الفائض الأولي</w:t>
            </w:r>
          </w:p>
        </w:tc>
        <w:tc>
          <w:tcPr>
            <w:tcW w:type="dxa" w:w="2708"/>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بريطانيا: Prudential Code</w:t>
            </w:r>
          </w:p>
          <w:p>
            <w:pPr>
              <w:bidi/>
              <w:spacing w:after="20"/>
            </w:pPr>
            <w:r>
              <w:rPr>
                <w:rFonts w:ascii="Arial" w:cs="Arial" w:eastAsia="Arial" w:hAnsi="Arial"/>
                <w:b w:val="false"/>
                <w:color w:val="1F2A37"/>
                <w:sz w:val="19"/>
                <w:szCs w:val="19"/>
                <w:rtl/>
              </w:rPr>
              <w:t xml:space="preserve">نيويورك: الخطة الرباعية</w:t>
            </w:r>
          </w:p>
          <w:p>
            <w:pPr>
              <w:bidi/>
              <w:spacing w:after="20"/>
            </w:pPr>
            <w:r>
              <w:rPr>
                <w:rFonts w:ascii="Arial" w:cs="Arial" w:eastAsia="Arial" w:hAnsi="Arial"/>
                <w:b w:val="false"/>
                <w:color w:val="1F2A37"/>
                <w:sz w:val="19"/>
                <w:szCs w:val="19"/>
                <w:rtl/>
              </w:rPr>
              <w:t xml:space="preserve">النرويج وتشيلي: القواعد المالية</w:t>
            </w:r>
          </w:p>
          <w:p>
            <w:pPr>
              <w:bidi/>
              <w:spacing w:after="20"/>
            </w:pPr>
            <w:r>
              <w:rPr>
                <w:rFonts w:ascii="Arial" w:cs="Arial" w:eastAsia="Arial" w:hAnsi="Arial"/>
                <w:b w:val="false"/>
                <w:color w:val="1F2A37"/>
                <w:sz w:val="19"/>
                <w:szCs w:val="19"/>
                <w:rtl/>
              </w:rPr>
              <w:t xml:space="preserve">لندن 2012: تخطيط الإرث</w:t>
            </w:r>
          </w:p>
        </w:tc>
      </w:tr>
      <w:tr>
        <w:tc>
          <w:tcPr>
            <w:tcW w:type="dxa" w:w="1444"/>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تجارب تحذيرية</w:t>
            </w:r>
          </w:p>
        </w:tc>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w:t>
            </w:r>
          </w:p>
        </w:tc>
        <w:tc>
          <w:tcPr>
            <w:tcW w:type="dxa" w:w="2708"/>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شيكاغو: عدادات المواقف</w:t>
            </w:r>
          </w:p>
          <w:p>
            <w:pPr>
              <w:bidi/>
              <w:spacing w:after="20"/>
            </w:pPr>
            <w:r>
              <w:rPr>
                <w:rFonts w:ascii="Arial" w:cs="Arial" w:eastAsia="Arial" w:hAnsi="Arial"/>
                <w:b w:val="false"/>
                <w:color w:val="1F2A37"/>
                <w:sz w:val="19"/>
                <w:szCs w:val="19"/>
                <w:rtl/>
              </w:rPr>
              <w:t xml:space="preserve">بريطانيا: PFI وإفلاس بلديات</w:t>
            </w:r>
          </w:p>
          <w:p>
            <w:pPr>
              <w:bidi/>
              <w:spacing w:after="20"/>
            </w:pPr>
            <w:r>
              <w:rPr>
                <w:rFonts w:ascii="Arial" w:cs="Arial" w:eastAsia="Arial" w:hAnsi="Arial"/>
                <w:b w:val="false"/>
                <w:color w:val="1F2A37"/>
                <w:sz w:val="19"/>
                <w:szCs w:val="19"/>
                <w:rtl/>
              </w:rPr>
              <w:t xml:space="preserve">ديترويت 2013</w:t>
            </w:r>
          </w:p>
          <w:p>
            <w:pPr>
              <w:bidi/>
              <w:spacing w:after="20"/>
            </w:pPr>
            <w:r>
              <w:rPr>
                <w:rFonts w:ascii="Arial" w:cs="Arial" w:eastAsia="Arial" w:hAnsi="Arial"/>
                <w:b w:val="false"/>
                <w:color w:val="1F2A37"/>
                <w:sz w:val="19"/>
                <w:szCs w:val="19"/>
                <w:rtl/>
              </w:rPr>
              <w:t xml:space="preserve">أثينا 2004</w:t>
            </w:r>
          </w:p>
        </w:tc>
      </w:tr>
    </w:tbl>
    <w:p>
      <w:r>
        <w:br w:type="page"/>
      </w:r>
    </w:p>
    <w:p>
      <w:pPr>
        <w:pStyle w:val="Heading1"/>
        <w:bidi/>
      </w:pPr>
      <w:r>
        <w:rPr>
          <w:rFonts w:ascii="Arial" w:cs="Arial" w:eastAsia="Arial" w:hAnsi="Arial"/>
          <w:b w:val="false"/>
          <w:color w:val="1F2A37"/>
          <w:sz w:val="22"/>
          <w:szCs w:val="22"/>
          <w:rtl/>
        </w:rPr>
        <w:t xml:space="preserve">الملحق (ج): مسرد المصطلحات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المصطلح</w:t>
            </w:r>
          </w:p>
        </w:tc>
        <w:tc>
          <w:tcPr>
            <w:tcW w:type="dxa" w:w="6860"/>
            <w:tcBorders>
              <w:top w:val="single" w:color="C9D6D0" w:sz="4"/>
              <w:left w:val="single" w:color="C9D6D0" w:sz="4"/>
              <w:bottom w:val="single" w:color="C9D6D0" w:sz="4"/>
              <w:right w:val="single" w:color="C9D6D0" w:sz="4"/>
            </w:tcBorders>
            <w:shd w:fill="006A46" w:color="auto" w:val="clear"/>
            <w:tcMar>
              <w:top w:type="dxa" w:w="70"/>
              <w:left w:type="dxa" w:w="100"/>
              <w:bottom w:type="dxa" w:w="70"/>
              <w:right w:type="dxa" w:w="100"/>
            </w:tcMar>
          </w:tcPr>
          <w:p>
            <w:pPr>
              <w:bidi/>
              <w:spacing w:after="20"/>
            </w:pPr>
            <w:r>
              <w:rPr>
                <w:rFonts w:ascii="Arial" w:cs="Arial" w:eastAsia="Arial" w:hAnsi="Arial"/>
                <w:b/>
                <w:bCs/>
                <w:color w:val="FFFFFF"/>
                <w:sz w:val="19"/>
                <w:szCs w:val="19"/>
                <w:rtl/>
              </w:rPr>
              <w:t xml:space="preserve">المعنى</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BOT</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بناء، تشغيل، نقل: المستثمر يبني ويشغّل مدة محددة ثم يسلّم الأصل</w:t>
            </w:r>
          </w:p>
        </w:tc>
      </w:tr>
      <w:tr>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BOO</w:t>
            </w:r>
          </w:p>
        </w:tc>
        <w:tc>
          <w:tcPr>
            <w:tcW w:type="dxa" w:w="686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بناء، تملك، تشغيل: يبقى الأصل مع المستثمر</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DBFOM</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تصميم، تمويل، بناء، تشغيل، صيانة: غالباً مقابل دفعات إتاحة من الجهة الحكومية</w:t>
            </w:r>
          </w:p>
        </w:tc>
      </w:tr>
      <w:tr>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دفعات الإتاحة</w:t>
            </w:r>
          </w:p>
        </w:tc>
        <w:tc>
          <w:tcPr>
            <w:tcW w:type="dxa" w:w="686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مبلغ دوري تدفعه الجهة للمستثمر مقابل جاهزية الخدمة؛ التزام على الميزانية المستقبلية</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الامتياز</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حق تشغيل خدمة واستيفاء إيراداتها مدة محددة</w:t>
            </w:r>
          </w:p>
        </w:tc>
      </w:tr>
      <w:tr>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القيمة مقابل المال</w:t>
            </w:r>
          </w:p>
        </w:tc>
        <w:tc>
          <w:tcPr>
            <w:tcW w:type="dxa" w:w="686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مقارنة تكلفة التمويل الخارجي بالتنفيذ الحكومي المباشر لاختيار الأفضل</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استرداد القيمة</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استعادة جزء من الارتفاع في قيمة الأراضي الناتج عن المشاريع العامة</w:t>
            </w:r>
          </w:p>
        </w:tc>
      </w:tr>
      <w:tr>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تمويل المشروع</w:t>
            </w:r>
          </w:p>
        </w:tc>
        <w:tc>
          <w:tcPr>
            <w:tcW w:type="dxa" w:w="686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تمويل بنكي يُسدَّد من تدفقات المشروع عبر شركة مشروع مستقلة</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EPC+F</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مقاول ينفّذ ويموّل، وتسدد الجهة على أقساط</w:t>
            </w:r>
          </w:p>
        </w:tc>
      </w:tr>
      <w:tr>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الصكوك</w:t>
            </w:r>
          </w:p>
        </w:tc>
        <w:tc>
          <w:tcPr>
            <w:tcW w:type="dxa" w:w="686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أوراق مالية متوافقة مع الشريعة تمثل حصصاً في أصول أو منافع</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خدمة الدين</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مجموع الأقساط والعوائد المستحقة في سنة</w:t>
            </w:r>
          </w:p>
        </w:tc>
      </w:tr>
      <w:tr>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الالتزامات المحتملة</w:t>
            </w:r>
          </w:p>
        </w:tc>
        <w:tc>
          <w:tcPr>
            <w:tcW w:type="dxa" w:w="686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التزامات قد تنشأ عند وقوع حدث، مثل الضمانات والتعويضات</w:t>
            </w:r>
          </w:p>
        </w:tc>
      </w:tr>
      <w:tr>
        <w:tc>
          <w:tcPr>
            <w:tcW w:type="dxa" w:w="2166"/>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اختبار الضغط</w:t>
            </w:r>
          </w:p>
        </w:tc>
        <w:tc>
          <w:tcPr>
            <w:tcW w:type="dxa" w:w="6860"/>
            <w:tcBorders>
              <w:top w:val="single" w:color="C9D6D0" w:sz="4"/>
              <w:left w:val="single" w:color="C9D6D0" w:sz="4"/>
              <w:bottom w:val="single" w:color="C9D6D0" w:sz="4"/>
              <w:right w:val="single" w:color="C9D6D0" w:sz="4"/>
            </w:tcBorders>
            <w:shd w:fill="FFFFFF"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قياس أثر سيناريوهات سلبية على الوضع المالي</w:t>
            </w:r>
          </w:p>
        </w:tc>
      </w:tr>
      <w:tr>
        <w:tc>
          <w:tcPr>
            <w:tcW w:type="dxa" w:w="2166"/>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تكلفة دورة الحياة</w:t>
            </w:r>
          </w:p>
        </w:tc>
        <w:tc>
          <w:tcPr>
            <w:tcW w:type="dxa" w:w="6860"/>
            <w:tcBorders>
              <w:top w:val="single" w:color="C9D6D0" w:sz="4"/>
              <w:left w:val="single" w:color="C9D6D0" w:sz="4"/>
              <w:bottom w:val="single" w:color="C9D6D0" w:sz="4"/>
              <w:right w:val="single" w:color="C9D6D0" w:sz="4"/>
            </w:tcBorders>
            <w:shd w:fill="F7FAF8" w:color="auto" w:val="clear"/>
            <w:tcMar>
              <w:top w:type="dxa" w:w="70"/>
              <w:left w:type="dxa" w:w="100"/>
              <w:bottom w:type="dxa" w:w="70"/>
              <w:right w:type="dxa" w:w="100"/>
            </w:tcMar>
          </w:tcPr>
          <w:p>
            <w:pPr>
              <w:bidi/>
              <w:spacing w:after="20"/>
            </w:pPr>
            <w:r>
              <w:rPr>
                <w:rFonts w:ascii="Arial" w:cs="Arial" w:eastAsia="Arial" w:hAnsi="Arial"/>
                <w:b w:val="false"/>
                <w:color w:val="1F2A37"/>
                <w:sz w:val="19"/>
                <w:szCs w:val="19"/>
                <w:rtl/>
              </w:rPr>
              <w:t xml:space="preserve">تكلفة الأصل من إنشائه حتى نهاية عمره بما فيها التشغيل والصيانة</w:t>
            </w:r>
          </w:p>
        </w:tc>
      </w:tr>
    </w:tbl>
    <w:sectPr>
      <w:headerReference w:type="default" r:id="rId7"/>
      <w:footerReference w:type="default" r:id="rId8"/>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line="300"/>
      <w:jc w:val="both"/>
    </w:pPr>
    <w:r>
      <w:rPr>
        <w:rFonts w:ascii="Arial" w:cs="Arial" w:eastAsia="Arial" w:hAnsi="Arial"/>
        <w:b w:val="false"/>
        <w:color w:val="5B6B7B"/>
        <w:sz w:val="16"/>
        <w:szCs w:val="16"/>
        <w:rtl/>
      </w:rPr>
      <w:t xml:space="preserve">استراتيجية إدارة الإيرادات والتمويل 2026–2030 — أمانة منطقة الرياض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540" w:hanging="300"/>
      </w:pPr>
    </w:lvl>
    <w:lvl w:ilvl="1" w15:tentative="1">
      <w:start w:val="1"/>
      <w:numFmt w:val="bullet"/>
      <w:lvlText w:val="◦"/>
      <w:lvlJc w:val="start"/>
      <w:pPr>
        <w:ind w:start="1000" w:hanging="300"/>
      </w:pPr>
    </w:lvl>
  </w:abstractNum>
  <w:abstractNum w:abstractNumId="3" w15:restartNumberingAfterBreak="0">
    <w:multiLevelType w:val="hybridMultilevel"/>
    <w:lvl w:ilvl="0" w15:tentative="1">
      <w:start w:val="1"/>
      <w:numFmt w:val="decimal"/>
      <w:lvlText w:val="%1."/>
      <w:lvlJc w:val="start"/>
      <w:pPr>
        <w:ind w:star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6A46" w:sz="8" w:space="4"/>
      </w:pBdr>
      <w:spacing w:after="200" w:before="240"/>
      <w:outlineLvl w:val="0"/>
    </w:pPr>
    <w:rPr>
      <w:rFonts w:ascii="Arial" w:cs="Arial" w:eastAsia="Arial" w:hAnsi="Arial"/>
      <w:b/>
      <w:bCs/>
      <w:color w:val="006A4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B6B73"/>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2A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استراتيجية إدارة الإيرادات والتمويل 2026–2030</dc:title>
  <dc:creator>إدارة الإيرادات والتمويل</dc:creator>
  <cp:lastModifiedBy>Un-named</cp:lastModifiedBy>
  <cp:revision>1</cp:revision>
  <dcterms:created xsi:type="dcterms:W3CDTF">2026-10-21T15:11:30.770Z</dcterms:created>
  <dcterms:modified xsi:type="dcterms:W3CDTF">2026-10-21T15:11:30.770Z</dcterms:modified>
</cp:coreProperties>
</file>

<file path=docProps/custom.xml><?xml version="1.0" encoding="utf-8"?>
<Properties xmlns="http://schemas.openxmlformats.org/officeDocument/2006/custom-properties" xmlns:vt="http://schemas.openxmlformats.org/officeDocument/2006/docPropsVTypes"/>
</file>