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60" w:line="300"/>
        <w:jc w:val="center"/>
      </w:pPr>
      <w:r>
        <w:rPr>
          <w:rFonts w:ascii="Arial" w:cs="Arial" w:eastAsia="Arial" w:hAnsi="Arial"/>
          <w:b/>
          <w:bCs/>
          <w:color w:val="0F6B45"/>
          <w:sz w:val="36"/>
          <w:szCs w:val="36"/>
          <w:rtl/>
        </w:rPr>
        <w:t xml:space="preserve">قائمة التعديلات اللغوية</w:t>
      </w:r>
    </w:p>
    <w:p>
      <w:pPr>
        <w:bidi/>
        <w:spacing w:after="200" w:before="60" w:line="300"/>
        <w:jc w:val="center"/>
      </w:pPr>
      <w:r>
        <w:rPr>
          <w:rFonts w:ascii="Arial" w:cs="Arial" w:eastAsia="Arial" w:hAnsi="Arial"/>
          <w:b/>
          <w:bCs/>
          <w:sz w:val="26"/>
          <w:szCs w:val="26"/>
          <w:rtl/>
        </w:rPr>
        <w:t xml:space="preserve">تقرير «تقدير مستهدفات وزارة البلديات والإسكان لأمانة منطقة الرياض لعام 2027م (فوترة)»</w:t>
      </w:r>
    </w:p>
    <w:p>
      <w:pPr>
        <w:bidi/>
        <w:spacing w:after="60" w:before="60" w:line="300"/>
        <w:jc w:val="start"/>
      </w:pPr>
      <w:r>
        <w:rPr>
          <w:rFonts w:ascii="Arial" w:cs="Arial" w:eastAsia="Arial" w:hAnsi="Arial"/>
          <w:sz w:val="22"/>
          <w:szCs w:val="22"/>
          <w:rtl/>
        </w:rPr>
        <w:t xml:space="preserve">تحتوي هذه الوثيقة على التعديلات المطلوب تطبيقها على الملف المصدري للتقرير قبل رفعه، مرتبة حسب رقم الصفحة في ملف PDF (38 صفحة). العمود «التصحيح» هو النص المقترح كما يجب أن يظهر. يتبعها قسم بالملاحظات العامة التي تتكرر في التقرير كله، ثم قسم بتعارضات في الأرقام تحتاج إلى مراجعة فريق الإيرادات.</w:t>
      </w:r>
    </w:p>
    <w:p>
      <w:pPr>
        <w:bidi/>
        <w:spacing w:after="120" w:before="240" w:line="300"/>
        <w:jc w:val="start"/>
      </w:pPr>
      <w:r>
        <w:rPr>
          <w:rFonts w:ascii="Arial" w:cs="Arial" w:eastAsia="Arial" w:hAnsi="Arial"/>
          <w:b/>
          <w:bCs/>
          <w:color w:val="0F6B45"/>
          <w:sz w:val="28"/>
          <w:szCs w:val="28"/>
          <w:rtl/>
        </w:rPr>
        <w:t xml:space="preserve">أولًا: التعديلات حسب الصفحة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300"/>
        <w:gridCol w:w="5300"/>
        <w:gridCol w:w="2270"/>
      </w:tblGrid>
      <w:tr>
        <w:trPr>
          <w:tblHeader/>
        </w:trPr>
        <w:tc>
          <w:tcPr>
            <w:tcW w:type="dxa" w:w="6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م</w:t>
            </w:r>
          </w:p>
        </w:tc>
        <w:tc>
          <w:tcPr>
            <w:tcW w:type="dxa" w:w="11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الصفحة</w:t>
            </w:r>
          </w:p>
        </w:tc>
        <w:tc>
          <w:tcPr>
            <w:tcW w:type="dxa" w:w="53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النص الحالي</w:t>
            </w:r>
          </w:p>
        </w:tc>
        <w:tc>
          <w:tcPr>
            <w:tcW w:type="dxa" w:w="53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التصحيح</w:t>
            </w:r>
          </w:p>
        </w:tc>
        <w:tc>
          <w:tcPr>
            <w:tcW w:type="dxa" w:w="227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نوع الملاحظة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(فوترة)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(على أساس الفوترة)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وضوح</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أي تم تحقيق 116% من مستهدف الوزارة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أي بنسبة تحقيق بلغت 116% من مستهدف الوزارة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عقد شركة ريمات الرياض والتي يفترض فوترتها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عقد شركة ريمات الرياض التي يُفترض فوترتها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غير المتكررة في عام 2026م والتي تقدر بنحو</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غير المتكررة في عام 2026م التي تُقدَّر بنحو</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الصراع الإقليمي: اندلع في شهر فبراير من عام 2026م وأغلق معه مضيق هرمز</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التطورات الإقليمية: بدأت في فبراير 2026م وأُغلق على إثرها مضيق هرمز</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 رسمية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والافتراض الأساسي انفتاح المضيق تدريجيا</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ويفترض السيناريو الأساسي إعادة فتح المضيق تدريجيًا</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عمود الجدول: 2026 فعلي حتى الآن</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2026 فعلي حتى منتصف أكتوبر (كبقية الجداول)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توحيد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 وكل الجداول</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عمود: 2027 متحفظ</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التقدير المتحفظ 2027م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توحيد</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معامل تعديل اسمي ≈ 2% لا أكثر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معامل تعديل اسمي لا يتجاوز 2% تقريبًا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عامية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2.26% ذروة 3.55% في (شهر أكتوبر 2025م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2.26% (بلغ ذروته 3.55% في أكتوبر 2025م)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ترقيم</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ضغط على المطاعم والمقاهي والفود ترك، وإلغاء رخصها يرتفع</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ضغط على المطاعم والمقاهي وعربات الطعام، وارتفاع حالات إلغاء رخصها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لفظ أجنبي</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(شهر يناير–شهر سبتمبر) 9.8%−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−9.8% (يناير–سبتمبر)</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ترتيب</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علبة مالبورو 25.64 ريال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متوسط سعر علبة السجائر 25.64 ريال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علامة تجارية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متوسط سعر الشقة المفروشة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متوسط سعر الشقق المفروشة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وتم استبعاد مبالغ الاستغلال غير المتكررة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وقد استُبعدت مبالغ الاستغلال غير المتكررة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ضعف سداد الأراضي الفضاء والأبراج، الذي يتراوح بين 63% و67%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ضعف سداد الأراضي الفضاء والأبراج، إذ تتراوح نسبة سدادها بين 63% و67%</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فلا تتجاوز إيرادها مجتمعة 20 مليون ريال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فلا يتجاوز إيرادها مجتمعةً 20 مليون ريال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فنقلناها إلى هذا الحساب</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ونُقلت إلى هذا الحساب</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ومن الممكن أن يكون هناك ارتفاع بسيط … أثناء إقامة بطولة كأس آسيا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ويُتوقَّع ارتفاع طفيف … خلال إقامة بطولة كأس آسيا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إذا لم يفوتر المبلغ المتبقي</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إذا لم يُفوتَر المبلغ المتبقي</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ريع الأراضي (تأجير الأراض )</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ريع الأراضي (تأجير الأراضي)</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إملاء</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وهي مبالغ غير متكررة استبعدناها من أساس التقدير</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وهي مبالغ غير متكررة استُبعدت من أساس التقدير</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وهي مصدر يزيد من مديونية الاستثمار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مما يرفع مديونية الاستثمار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وإن وجدت مبان جديدة ستطرح خلال العام فتضاف</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وإن وُجدت مبانٍ جديدة تُطرح خلال العام فتُضاف</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التبويب كاملا (15 حسابات)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التبويب كاملًا (15 حسابًا)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في المقابل تراجعت رخص البناء 17%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وفي المقابل تراجعت رخص البناء 17%</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وتضاعفت … والكشفية مع عدد الرخص</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والرسوم الكشفية مع عدد الرخص</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وضوح</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قريبا من ذروة 2022م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إلى مستوى يقارب ذروة عام 2022م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والصراف الآلي 3 ملايين بعد نقل رسومها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والصراف الآلي 3 ملايين بعد نقل رسومه</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الحسابات التي تفوتر مع الرخصة التجارية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الحسابات التي تُفوتَر مع الرخصة التجارية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رخص الأنشطة التجارية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رخص الأنشطة التجارية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ايرادات لوحات المحلات / ايرادات اللوحات الدعائية / ايرادات الكشفية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إيرادات لوحات المحلات / إيرادات اللوحات الدعائية / إيرادات الكشفية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التراخيص بتأسيس أو تشغيل الصراف الآلي</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تراخيص تأسيس أجهزة الصراف الآلي أو تشغيلها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اصدار رخص الأنشطة التجارية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رخص الأنشطة التجارية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الغاء رخصة تجارية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إلغاء رخصة تجارية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بين 277 و304 ملايين ريال في 2023م إلى 2025م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بين 277 و304 ملايين ريال من 2023م إلى 2025م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وارتفعت نسبة من الإلغاء بسبب صعوبة الاشتراطات البلدية إلى 6.9% من أسباب الإلغاء</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وارتفعت نسبة حالات الإلغاء الناتجة عن عدم القدرة على استيفاء الاشتراطات البلدية إلى 6.9% من إجمالي حالات الإلغاء</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 رسمية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مدفوعا بموجة تجديد الرخص</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مدفوعًا بموجة تجديد الرخص</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تنوين</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وخفضنا التقدير 20 مليون ريال لأن رخص الحساب المفوترة في نظام الأمانة تخص أبراج الاتصالات … فنقلناها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وخُفِّض التقدير 20 مليون ريال لأن جزءًا من الرخص المفوترة على هذا الحساب يخص أبراج الاتصالات … فنُقلت</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معنى وأسلوب</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ايرادات لوحات المحلات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إيرادات لوحات المحلات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الغاء رخصة تجارية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إلغاء رخصة تجارية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 206 مليون ريال</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نحو 206 ملايين ريال</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إذ تحصل مع إصدار الرخصة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إذ تُحصَّل مع إصدار الرخصة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رخصة تأسيس أبراج الاتصالات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رخصة تأسيس أبراج الاتصالات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إصدار شهادة أشغال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شهادة إشغال (إن كان المقصود شهادة الإشغال)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إملاء</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 309 مليون ريال</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نحو 309 ملايين ريال</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والكابل الكهربائية بين 22% و28%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والكابلات الكهربائية بين 22% و28%</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كان الطلب يقدم ثم يفوتر ثم يدرس، أما الآن فيدرس الطلب</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كان الطلب يُقدَّم ثم يُفوتَر ثم يُدرَس، أما الآن فيُدرَس الطلب</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ايرادات اللوحات الدعائية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إيرادات اللوحات الدعائية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يتكون الحساب في 2026م في ثلاثة أرباعه من رسوم لوحات المحلات التي تحصل مع الرخص التجارية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تتكوّن ثلاثة أرباع إيراد الحساب في 2026م من رسوم لوحات المحلات التي تُحصَّل مع الرخص التجارية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فتأخر دفعة واحدة، مثل دفعة 1.69 مليون ريال لشركة الحديثة للدعاية والإعلان، يظهر مباشرة في الحساب</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فأي تأخر في دفعة واحدة، مثل دفعة بقيمة 1.69 مليون ريال لإحدى شركات الإعلان، ينعكس مباشرة على الحساب</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 (وحذف اسم الشركة)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لم يسدد منها إلا 19%</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لم يُسدَّد منها إلا 19%</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الغاء رخصة تجارية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إلغاء رخصة تجارية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المخاطر: كثرة المجمعات التجارية والاتجاه إلى التراخيص مع الشركات التجارية.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جملة ناقصة غير واضحة المعنى؛ مثال: تزايد المجمعات التجارية، والتوجه إلى إصدار التراخيص باسم الشركات بدل المحلات المنفردة (تُعدَّل حسب المقصود)</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وضوح</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اصدار القرارات المساحية و فرز الاراضي و العقارات و الوحدات السكنية و تجزئتها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القرارات المساحية وفرز الأراضي والعقارات والوحدات السكنية وتجزئتها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ومسافات</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15</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تقرير مساحي / تجزئة الاراضي</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تقرير مساحي / تجزئة الأراضي</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فإذا طبق إجراء مماثل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فإذا طُبِّق إجراء مماثل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شهادة صحية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شهادة صحية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دليل المحاضر النسخة واللغات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دليل المحاضر (النسخ واللغات) – للتأكد من المسمى</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وضوح</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في شهر أغسطس وسبتمبر</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في شهرَي أغسطس وسبتمبر</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يخشى استمرار تراجع حصة الأمانة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يُخشى استمرار تراجع حصة الأمانة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بالإضافة للحملات الرقابية على المنشآت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إضافةً إلى الحملات الرقابية على المنشآت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لا توجد مخاطر تذكر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لا توجد مخاطر تُذكَر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اصدار تراخيص تاسيس أبراج الاتصالات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تراخيص تأسيس أبراج الاتصالات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خدمات إستثمار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خدمات استثمار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وصل</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ولا يتجاوز 0.6 مليون ريال في 2026م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ولم يتجاوز 0.6 مليون ريال في 2026م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زمن الفعل</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ايرادات الكشفية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إيرادات الكشفية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18</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اصدار تقرير مساحي / الغاء رخصة 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تقرير مساحي / إلغاء رخصة 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تحصل رسوم الكشفية برسم ثابت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تُحصَّل رسوم الكشفية برسم ثابت</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19</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اصدار تراخيص اشغال الارصفة العامة و الطرق</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تراخيص إشغال الأرصفة العامة والطرق</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ومسافات</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أبرزها الكوفي شوب (47%، 572 رخصة)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أبرزها المقاهي المتخصصة (47%، 572 رخصة)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لفظ أجنبي</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19</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إلى نحو 4.6 ملايين ريال متوقعة في 2026م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إلى نحو 4.6 ملايين ريال متوقَّعًا في 2026م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اصدار التراخيص بتأسيس أو تشغيل الصراف الآلي</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تراخيص تأسيس أجهزة الصراف الآلي أو تشغيلها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إصدار تراخيص إستخدام أملاك خاصة لإقامة فعاليات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إصدار تراخيص استخدام أملاك خاصة لإقامة فعاليات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وصل</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 مليون ريال سنويا في 2023م إلى 2025م</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نحو مليون ريال سنويًا من 2023م إلى 2025م</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وخاصة في المراكز التجارية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ولا سيما في المراكز التجارية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مركز البنية التحتية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مركز مشاريع البنية التحتية بمنطقة الرياض (للتأكد من الاسم الرسمي)</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دقة الاسم</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22</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لم يسجل على حساب … إيراد يذكر</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لم يُسجَّل على حساب … إيراد يُذكَر</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يبدو أن اعتماد المخططات يسجل حاليا ضمن حساب القرارات المساحية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يُسجَّل اعتماد المخططات حاليًا ضمن حساب القرارات المساحية (بعد التأكد)</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 رسمي</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التبويب كاملا (2 حسابات)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التبويب كاملًا (حسابان)</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إذ لا يتجاوز تحصيل مخالفات السنة 23% إلى 30% من المفوتر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إذ يتراوح تحصيل مخالفات السنة بين 23% و30% من المفوتر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جزاءات و غرامات مفروضة بموجب أنظمة الجهة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جزاءات وغرامات مفروضة بموجب أنظمة الأمانة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مسافة ووضوح</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والرقابة الصحية (304.4 ملايين ريال)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والرقابة الصحية (304.4 مليون ريال)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توحيد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إذ لا يسدد في الشهر الأول</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إذ لا يُسدَّد في الشهر الأول</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وتلاحظ أن مخالفات ممارسة النشاط</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ويُلاحَظ أن مخالفات ممارسة النشاط</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من غرامات تحصل مع تجديد الرخص</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من غرامات تُحصَّل مع تجديد الرخص</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بين 0.3 و8.5 مليون ريال في 2023م إلى 2025م</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بين 0.3 و8.5 مليون ريال من 2023م إلى 2025م</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25</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حسب ملف المالية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وفق بيانات الإدارة المالية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 رسمي</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التبويب كاملا (1 حسابات)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التبويب كاملًا (حساب واحد)</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وسعرها اليومي −26.8% من 739 إلى 541 ريالا</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وانخفض متوسط سعرها اليومي 26.8% من 739 إلى 541 ريالًا</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وسعرها −4% فقط من 239 إلى 230 ريالا</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وانخفض سعرها 4% فقط من 239 إلى 230 ريالًا</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لذلك انخفض رسم مبيعات الفنادق −19% والشقق −7%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لذلك انخفض رسم مبيعات الفنادق 19% والشقق 7%</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ازدواج النفي</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وارتفاع الغرف المتاحة 17.8% خلال سنة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وارتفاع عدد الغرف المتاحة 17.8% خلال سنة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26، 27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إن تأخر انفتاح مضيق هرمز إلى النصف الثاني من 2027م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إن تأخر انحسار أثر التطورات الإقليمية إلى النصف الثاني من 2027م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 رسمية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اشغال مرافق الايواء</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إشغال مرافق الإيواء</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أي بنسبة −17% / فكان الانخفاض −18% … و−15% / بنسبة −19% / بنسبة −28% / فانخفض رسمها −7% / بنسبة −21% / بنسبة −34% / بنسبة −26.8% / −13%</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تُحذف إشارة السالب في كل هذه المواضع لأن الفعل (انخفض/تراجع) يدل على النقص، مثل: أي بنسبة 17%</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ازدواج النفي</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بينما انخفض سعر الشقق −4% فقط منذ شهر فبراير 2026م، إذ انخفضت السياحة الوافدة −13% في الربع الأول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بينما انخفض سعر الشقق 4% فقط. ومنذ فبراير 2026م انخفضت السياحة الوافدة 13% في الربع الأول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تداخل الجملة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فتتوزع طلب أقل على غرف أكثر</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فيتوزع طلبٌ أقل على غرف أكثر</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99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كان الشهران أضعف من بقية السنة بنحو −1.5 نقطة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كان الشهران أضعف من بقية السنة بنحو 1.5 نقطة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ازدواج النفي</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التبويب كاملا (2 حسابات)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التبويب كاملًا (حسابان)</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اللاونجات الفاخرة (3 مواضع) / وهي لاونجات فاخرة</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صالات الضيافة الفاخرة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لفظ أجنبي</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وتراجعت محلات الكوفي شوب 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وتراجعت المقاهي المتخصصة 6%</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لفظ أجنبي</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ويدعم الطلب المحلي المقاهي الشعبية والمطاعم (مرتان)</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ويتركز دعم الطلب المحلي في المقاهي الشعبية والمطاعم</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وضوح</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وسيرتفع الرقم بنحو 9% عند اكتمال الإفصاحات</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ويُتوقَّع أن يرتفع الرقم بنحو 9% عند اكتمال الإفصاحات</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أسلوب</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كما أن نسبة السداد بين 72% و77% فقط</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كما تتراوح نسبة السداد بين 72% و77% فقط</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31</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الغاء رخصة تجارية</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إلغاء رخصة تجارية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أي خمسة أضعاف مستهدف الوزارة (106 ملايين ريال)</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أي نحو خمسة أضعاف مستهدف الوزارة (106 ملايين ريال)</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دقة (501 ÷ 106 = 4.7)</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إيرادات متنوعه</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إيرادات متنوعة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تاء مربوطة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خدمات إستثمار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خدمات استثمار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وصل</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فوتر على هذا الحساب</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فُوتِر على هذا الحساب</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ولم يفوتر عليه شيء يذكر … ويفوتر عليه أرباح</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ولم يُفوتَر عليه شيء يُذكَر … وتُفوتَر عليه عادةً أرباح</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وهي إيرادات غير متكررة ولا تتكرر في 2027م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وهي إيرادات غير متكررة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تكرار</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التغير: +49900.0%</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 (غير قابل للمقارنة)</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عرض</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35</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ولا يتجاوز 0.4 مليون ريال في 2026م</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ولم يتجاوز 0.4 مليون ريال في 2026م</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زمن الفعل</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التبويب كاملا (1 حسابات)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التبويب كاملًا (حساب واحد)</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العدد والمعدود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116</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عنوان: تأجير العقارات لأغراض مؤقته</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تأجير العقارات لأغراض مؤقتة</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تاء مربوطة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خدمات إستثمار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خدمات استثمار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همزة وصل</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118</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36</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التغير: +0.0%</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0.0%</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عرض</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119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تحسب الإيرادات بما فوتر خلال السنة مضافا إليه</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تُحسب الإيرادات بما فُوتِر خلال السنة مضافًا إليه</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120</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قيمة الفواتير الصادرة خلال السنة، سددت أو لم تسدد</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قيمة الفواتير الصادرة خلال السنة، سواء أسُدِّدت أم لم تُسدَّد</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نحو</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ما يحصل خلال السنة من فواتير</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ما يُحصَّل خلال السنة من فواتير</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ضبط</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122</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رسم يحسب نسبة من مبيعات مرافق الإيواء</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رسم يُحتسب بنسبة من مبيعات مرافق الإيواء</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المصطلح: 2027 متحفظ</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التقدير المتحفظ 2027م</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توحيد</w:t>
            </w:r>
          </w:p>
        </w:tc>
      </w:tr>
      <w:tr>
        <w:trPr>
          <w:cantSplit/>
        </w:trPr>
        <w:tc>
          <w:tcPr>
            <w:tcW w:type="dxa" w:w="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124</w:t>
            </w:r>
          </w:p>
        </w:tc>
        <w:tc>
          <w:tcPr>
            <w:tcW w:type="dxa" w:w="11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37</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بالمليون ريال ما لم يذكر غير ذلك</w:t>
            </w:r>
          </w:p>
        </w:tc>
        <w:tc>
          <w:tcPr>
            <w:tcW w:type="dxa" w:w="5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بالمليون ريال ما لم يُذكَر خلاف ذلك</w:t>
            </w:r>
          </w:p>
        </w:tc>
        <w:tc>
          <w:tcPr>
            <w:tcW w:type="dxa" w:w="22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صياغة</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38 وتذييل كل الصفحات</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شهر أكتوبر 2026م</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bCs/>
                <w:color w:val="0F6B45"/>
                <w:sz w:val="20"/>
                <w:szCs w:val="20"/>
                <w:rtl/>
              </w:rPr>
              <w:t xml:space="preserve">أكتوبر 2026م</w:t>
            </w: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حشو</w:t>
            </w:r>
          </w:p>
        </w:tc>
      </w:tr>
    </w:tbl>
    <w:p>
      <w:pPr>
        <w:bidi/>
        <w:spacing w:after="120" w:before="360" w:line="300"/>
        <w:jc w:val="start"/>
      </w:pPr>
      <w:r>
        <w:rPr>
          <w:rFonts w:ascii="Arial" w:cs="Arial" w:eastAsia="Arial" w:hAnsi="Arial"/>
          <w:b/>
          <w:bCs/>
          <w:color w:val="0F6B45"/>
          <w:sz w:val="28"/>
          <w:szCs w:val="28"/>
          <w:rtl/>
        </w:rPr>
        <w:t xml:space="preserve">ثانيًا: ملاحظات عامة تُطبَّق على التقرير كله</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0"/>
        <w:gridCol w:w="12170"/>
      </w:tblGrid>
      <w:tr>
        <w:trPr>
          <w:tblHeader/>
        </w:trPr>
        <w:tc>
          <w:tcPr>
            <w:tcW w:type="dxa" w:w="24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الملاحظة</w:t>
            </w:r>
          </w:p>
        </w:tc>
        <w:tc>
          <w:tcPr>
            <w:tcW w:type="dxa" w:w="1217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التفصيل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الهمزات</w:t>
            </w:r>
          </w:p>
        </w:tc>
        <w:tc>
          <w:tcPr>
            <w:tcW w:type="dxa" w:w="12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تكررت أخطاء الهمزة في عناوين الحسابات وصفوف الجداول: اصدار ← إصدار، ايرادات ← إيرادات، الغاء ← إلغاء، اشغال ← إشغال، الاراضي ← الأراضي، الارصفة ← الأرصفة، الايواء ← الإيواء، تاسيس ← تأسيس، إستثمار/إستخدام ← استثمار/استخدام. يُفضَّل البحث عنها في الملف المصدري واستبدالها دفعة واحدة.</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ألف التنوين</w:t>
            </w:r>
          </w:p>
        </w:tc>
        <w:tc>
          <w:tcPr>
            <w:tcW w:type="dxa" w:w="121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تُكتب الكلمات المنوّنة بالنصب بألف التنوين في كل التقرير: كاملا ← كاملًا، سنويا ← سنويًا، شهريا ← شهريًا، حاليا ← حاليًا، فعليا ← فعليًا، تاريخيا ← تاريخيًا، قريبا ← قريبًا، أساسا ← أساسًا، مدفوعا ← مدفوعًا، مضافا ← مضافًا، بدلا ← بدلًا، إيرادا ← إيرادًا، ريالا ← ريالًا، مليونا ← مليونًا، ألفا ← ألفًا، يوما ← يومًا، عاما ← عامًا، عقودا ← عقودًا، تقريرا مساحيا ← تقريرًا مساحيًا، تصريحا جديدا ← تصريحًا جديدًا، فندقا ← فندقًا، منتجا ← منتجًا، تأثرا ← تأثرًا، كثيرا ← كثيرًا، استمرارا ← استمرارًا، (تقديرا) ← (تقديرًا).</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ضمير المتكلم</w:t>
            </w:r>
          </w:p>
        </w:tc>
        <w:tc>
          <w:tcPr>
            <w:tcW w:type="dxa" w:w="12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التقرير مكتوب بصيغة المتكلم مثل: نقدر، نتوقع، استبعدناها، نقلناها، خفضنا. والأنسب لتقرير يُرفع إلى سمو الأمير والوزير صيغة الجهة أو المبني للمجهول، مثل: تُقدِّر الأمانة، يُقدَّر، يُتوقَّع، استُبعدت، نُقلت، خُفض التقدير.</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الرمز (م) في الجداول</w:t>
            </w:r>
          </w:p>
        </w:tc>
        <w:tc>
          <w:tcPr>
            <w:tcW w:type="dxa" w:w="121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عنوان العمود «المفوتر (م)» يلتبس بحرف «م» الميلادي المستخدم في التقرير كله. يُستبدل بـ «المفوتر (مليون ريال)».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إشارة السالب مع الفعل</w:t>
            </w:r>
          </w:p>
        </w:tc>
        <w:tc>
          <w:tcPr>
            <w:tcW w:type="dxa" w:w="12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لا تُكتب إشارة السالب بعد أفعال النقص (انخفض، تراجع) في النص، لأن الفعل نفسه يدل على النقص؛ فيُكتب مثلًا: انخفض بنسبة 19%. وتبقى إشارة السالب في الجداول فقط.</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كلمة «شهر» قبل الأشهر</w:t>
            </w:r>
          </w:p>
        </w:tc>
        <w:tc>
          <w:tcPr>
            <w:tcW w:type="dxa" w:w="121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تكرار «شهر» قبل أسماء الأشهر (شهر يناير، شهر سبتمبر…) زائد في معظم المواضع؛ يكفي «يناير»، «سبتمبر».</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الصياغة السياسية</w:t>
            </w:r>
          </w:p>
        </w:tc>
        <w:tc>
          <w:tcPr>
            <w:tcW w:type="dxa" w:w="12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يُفضَّل استبدال «الصراع الإقليمي» و«انفتاح مضيق هرمز» بالتعبير المحايد «التطورات الإقليمية» كما تستخدمه وزارة السياحة (الصفحات 2، 26، 27).</w:t>
            </w:r>
          </w:p>
        </w:tc>
      </w:tr>
      <w:tr>
        <w:trPr>
          <w:cantSplit/>
        </w:trPr>
        <w:tc>
          <w:tcPr>
            <w:tcW w:type="dxa" w:w="2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ملايين / مليون</w:t>
            </w:r>
          </w:p>
        </w:tc>
        <w:tc>
          <w:tcPr>
            <w:tcW w:type="dxa" w:w="1217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مع الأرقام العشرية تُستخدم «مليون» دائمًا (6.1 مليون، 304.4 مليون، 8.3 مليون)، ومع الأعداد الصحيحة من 3 إلى 10 «ملايين» (206 ملايين، 309 ملايين).</w:t>
            </w:r>
          </w:p>
        </w:tc>
      </w:tr>
    </w:tbl>
    <w:p>
      <w:pPr>
        <w:bidi/>
        <w:spacing w:after="120" w:before="360" w:line="300"/>
        <w:jc w:val="start"/>
      </w:pPr>
      <w:r>
        <w:rPr>
          <w:rFonts w:ascii="Arial" w:cs="Arial" w:eastAsia="Arial" w:hAnsi="Arial"/>
          <w:b/>
          <w:bCs/>
          <w:color w:val="0F6B45"/>
          <w:sz w:val="28"/>
          <w:szCs w:val="28"/>
          <w:rtl/>
        </w:rPr>
        <w:t xml:space="preserve">ثالثًا: تعارضات في الأرقام (للمراجعة مع فريق الإيرادات، لا تُعدَّل قبل التأكد)</w:t>
      </w:r>
    </w:p>
    <w:p>
      <w:pPr>
        <w:bidi/>
        <w:spacing w:after="60" w:before="60" w:line="300"/>
        <w:jc w:val="start"/>
      </w:pPr>
      <w:r>
        <w:rPr>
          <w:rFonts w:ascii="Arial" w:cs="Arial" w:eastAsia="Arial" w:hAnsi="Arial"/>
          <w:sz w:val="22"/>
          <w:szCs w:val="22"/>
          <w:rtl/>
        </w:rPr>
        <w:t xml:space="preserve">قد يرجع بعض هذه الفروق إلى اختلاف الأساس بين المفوتر والفعلي (المتضمن تحصيل السنوات السابقة)، لكن القارئ لن يعرف ذلك؛ فإما أن تُوحَّد الأرقام أو يُذكر الأساس صراحة عند كل رقم.</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6635"/>
        <w:gridCol w:w="6635"/>
      </w:tblGrid>
      <w:tr>
        <w:trPr>
          <w:tblHeader/>
        </w:trPr>
        <w:tc>
          <w:tcPr>
            <w:tcW w:type="dxa" w:w="1300"/>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الصفحة</w:t>
            </w:r>
          </w:p>
        </w:tc>
        <w:tc>
          <w:tcPr>
            <w:tcW w:type="dxa" w:w="6635"/>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ما ورد في النص</w:t>
            </w:r>
          </w:p>
        </w:tc>
        <w:tc>
          <w:tcPr>
            <w:tcW w:type="dxa" w:w="6635"/>
            <w:tcBorders>
              <w:top w:val="single" w:color="BFBFBF" w:sz="4"/>
              <w:left w:val="single" w:color="BFBFBF" w:sz="4"/>
              <w:bottom w:val="single" w:color="BFBFBF" w:sz="4"/>
              <w:right w:val="single" w:color="BFBFBF" w:sz="4"/>
            </w:tcBorders>
            <w:shd w:fill="0F6B45"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bCs/>
                <w:color w:val="FFFFFF"/>
                <w:sz w:val="20"/>
                <w:szCs w:val="20"/>
                <w:rtl/>
              </w:rPr>
              <w:t xml:space="preserve">ما ورد في الجدول أو موضع آخر</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مفوتر ريع الأراضي 842 ثم 819 ثم 700 مليون (2023–2025)، وقيمة العقود حتى أكتوبر 644 مليون</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936.0 / 955.7 / 827.6، والفعلي 803.6</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6</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نسبة سداد الأبراج 63% والأراضي الفضاء 67%</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جدول الصفحة نفسها: 66% و69%</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الإيراد تاريخيًا «بين 6 و9 ملايين»</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2025 = 4.9</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7</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المستهدف الأولي للحساب 48.3 مليون</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مستهدف الوزارة 5.4</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8، 20</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التغير +1100.0% (من 0.2 إلى 3.0)</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الصحيح حسابيًا +1,400%</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10</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المفوتر «بين 277 و304 ملايين»</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281.3 / 309.0 / 287.1</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13</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مفوتر 2025 نحو 134 مليون، و85.0 حتى أكتوبر</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2025 = 162.9، والفعلي 126.5</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21</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التقدير: 0.8 فوترة + 0.2 تحصيل = 1.0 مليون</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0.9</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إقفال 2026 نحو 189 مليون، ونمو 10% (= 208 مليون)</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إقفال 197.9 وتقدير 216.3 (+9.3%)، وصفحة 26 تقول «9%»</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30</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إقفال 2026 عند 91.5 مليون ونمو 3%</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إقفال 102.0 وتقدير 104.7 (+2.7%)</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292.7 مليون في 14 فاتورة</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8 فواتير بقيمة 290.3</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34</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أرباح التعمير ولين «تُفوتَر سنويًا» (40 مليون)</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الجدول: 2023 = 1.1، 2024 = 2.2، 2025 = 0.0؛ وتحقيق 300% مع مستهدف صفر</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5</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كأس آسيا «حتى نهاية فبراير 2027م»</w:t>
            </w:r>
          </w:p>
        </w:tc>
        <w:tc>
          <w:tcPr>
            <w:tcW w:type="dxa" w:w="663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البطولة تختتم مطلع فبراير تقريبًا؛ يُتحقق من التاريخ</w:t>
            </w:r>
          </w:p>
        </w:tc>
      </w:tr>
      <w:tr>
        <w:trPr>
          <w:cantSplit/>
        </w:trPr>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27، 29</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center"/>
            </w:pPr>
            <w:r>
              <w:rPr>
                <w:rFonts w:ascii="Arial" w:cs="Arial" w:eastAsia="Arial" w:hAnsi="Arial"/>
                <w:b w:val="false"/>
                <w:sz w:val="20"/>
                <w:szCs w:val="20"/>
                <w:rtl/>
              </w:rPr>
              <w:t xml:space="preserve">كأس العالم للرياضات الإلكترونية «انتقلت إلى باريس في 2026م»</w:t>
            </w:r>
          </w:p>
        </w:tc>
        <w:tc>
          <w:tcPr>
            <w:tcW w:type="dxa" w:w="6635"/>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vAlign w:val="center"/>
          </w:tcPr>
          <w:p>
            <w:pPr>
              <w:bidi/>
              <w:spacing w:after="0" w:before="0" w:line="300"/>
              <w:jc w:val="start"/>
            </w:pPr>
            <w:r>
              <w:rPr>
                <w:rFonts w:ascii="Arial" w:cs="Arial" w:eastAsia="Arial" w:hAnsi="Arial"/>
                <w:b w:val="false"/>
                <w:sz w:val="20"/>
                <w:szCs w:val="20"/>
                <w:rtl/>
              </w:rPr>
              <w:t xml:space="preserve">يُتحقق من المعلومة قبل الرفع</w:t>
            </w: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8"/>
        <w:szCs w:val="18"/>
        <w:rtl/>
      </w:rPr>
      <w:t xml:space="preserve">صفحة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قائمة التعديلات اللغوية – تقدير مستهدفات 2027م</dc:title>
  <dc:creator>أمانة منطقة الرياض</dc:creator>
  <cp:lastModifiedBy>Un-named</cp:lastModifiedBy>
  <cp:revision>1</cp:revision>
  <dcterms:created xsi:type="dcterms:W3CDTF">2026-10-22T08:59:02.765Z</dcterms:created>
  <dcterms:modified xsi:type="dcterms:W3CDTF">2026-10-22T08:59:02.766Z</dcterms:modified>
</cp:coreProperties>
</file>

<file path=docProps/custom.xml><?xml version="1.0" encoding="utf-8"?>
<Properties xmlns="http://schemas.openxmlformats.org/officeDocument/2006/custom-properties" xmlns:vt="http://schemas.openxmlformats.org/officeDocument/2006/docPropsVTypes"/>
</file>