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39B8" w:rsidRDefault="00D767AC">
      <w:r>
        <w:rPr>
          <w:noProof/>
        </w:rPr>
        <mc:AlternateContent>
          <mc:Choice Requires="wps">
            <w:drawing>
              <wp:inline distT="0" distB="0" distL="0" distR="0" wp14:anchorId="64AD865C" wp14:editId="70086D35">
                <wp:extent cx="6200775" cy="2095500"/>
                <wp:effectExtent l="0" t="0" r="28575" b="1905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0775" cy="2095500"/>
                        </a:xfrm>
                        <a:prstGeom prst="rect">
                          <a:avLst/>
                        </a:prstGeom>
                        <a:ln w="9144">
                          <a:solidFill>
                            <a:srgbClr val="000000"/>
                          </a:solidFill>
                          <a:prstDash val="solid"/>
                        </a:ln>
                      </wps:spPr>
                      <wps:txbx>
                        <w:txbxContent>
                          <w:p w:rsidR="00D767AC" w:rsidRDefault="00D767AC" w:rsidP="00D767AC">
                            <w:pPr>
                              <w:spacing w:before="70" w:line="244" w:lineRule="auto"/>
                              <w:ind w:left="792" w:right="801" w:firstLine="5"/>
                              <w:jc w:val="center"/>
                              <w:rPr>
                                <w:b/>
                              </w:rPr>
                            </w:pPr>
                            <w:r>
                              <w:rPr>
                                <w:b/>
                              </w:rPr>
                              <w:t>SIR SYED UNIVERSITY OF ENGINEERING &amp; TECHNOLOGY</w:t>
                            </w:r>
                            <w:r>
                              <w:rPr>
                                <w:b/>
                                <w:spacing w:val="80"/>
                              </w:rPr>
                              <w:t xml:space="preserve"> </w:t>
                            </w:r>
                            <w:r>
                              <w:rPr>
                                <w:b/>
                              </w:rPr>
                              <w:t>COMPUTER SCIENCE &amp; INFORMATION TECHNOLOGY DEPARTMENT</w:t>
                            </w:r>
                          </w:p>
                          <w:p w:rsidR="00D767AC" w:rsidRDefault="00D767AC" w:rsidP="00D767AC">
                            <w:pPr>
                              <w:spacing w:before="135"/>
                              <w:ind w:left="2263" w:right="2264"/>
                              <w:jc w:val="center"/>
                              <w:rPr>
                                <w:b/>
                              </w:rPr>
                            </w:pPr>
                            <w:r>
                              <w:rPr>
                                <w:b/>
                              </w:rPr>
                              <w:t>Fall</w:t>
                            </w:r>
                            <w:r>
                              <w:rPr>
                                <w:b/>
                                <w:spacing w:val="13"/>
                              </w:rPr>
                              <w:t xml:space="preserve"> </w:t>
                            </w:r>
                            <w:r>
                              <w:rPr>
                                <w:b/>
                                <w:spacing w:val="-4"/>
                              </w:rPr>
                              <w:t>2025</w:t>
                            </w:r>
                          </w:p>
                          <w:p w:rsidR="00D767AC" w:rsidRDefault="00D767AC" w:rsidP="00D767AC">
                            <w:pPr>
                              <w:spacing w:before="6" w:line="244" w:lineRule="auto"/>
                              <w:ind w:left="2260" w:right="2264"/>
                              <w:jc w:val="center"/>
                              <w:rPr>
                                <w:b/>
                              </w:rPr>
                            </w:pPr>
                            <w:r w:rsidRPr="00E663BD">
                              <w:rPr>
                                <w:b/>
                              </w:rPr>
                              <w:t>E</w:t>
                            </w:r>
                            <w:r>
                              <w:rPr>
                                <w:b/>
                              </w:rPr>
                              <w:t xml:space="preserve">conomics &amp; Management </w:t>
                            </w:r>
                            <w:r w:rsidRPr="00E663BD">
                              <w:rPr>
                                <w:b/>
                              </w:rPr>
                              <w:t xml:space="preserve">(HS-412) </w:t>
                            </w:r>
                          </w:p>
                          <w:p w:rsidR="00D767AC" w:rsidRDefault="00D767AC" w:rsidP="00D767AC">
                            <w:pPr>
                              <w:spacing w:before="6" w:line="244" w:lineRule="auto"/>
                              <w:ind w:left="2260" w:right="2264"/>
                              <w:jc w:val="center"/>
                              <w:rPr>
                                <w:b/>
                              </w:rPr>
                            </w:pPr>
                            <w:r>
                              <w:rPr>
                                <w:b/>
                              </w:rPr>
                              <w:t xml:space="preserve">Assignment # </w:t>
                            </w:r>
                            <w:r w:rsidR="00601860">
                              <w:rPr>
                                <w:b/>
                              </w:rPr>
                              <w:t>2</w:t>
                            </w:r>
                          </w:p>
                          <w:p w:rsidR="00D767AC" w:rsidRPr="00402303" w:rsidRDefault="00D767AC" w:rsidP="00D767AC">
                            <w:pPr>
                              <w:pStyle w:val="BodyText"/>
                              <w:tabs>
                                <w:tab w:val="left" w:pos="7836"/>
                              </w:tabs>
                              <w:spacing w:before="126"/>
                              <w:ind w:left="134"/>
                              <w:rPr>
                                <w:rFonts w:asciiTheme="minorHAnsi" w:hAnsiTheme="minorHAnsi"/>
                                <w:sz w:val="24"/>
                                <w:szCs w:val="24"/>
                              </w:rPr>
                            </w:pPr>
                            <w:r w:rsidRPr="00402303">
                              <w:rPr>
                                <w:rFonts w:asciiTheme="minorHAnsi" w:hAnsiTheme="minorHAnsi"/>
                                <w:sz w:val="24"/>
                                <w:szCs w:val="24"/>
                              </w:rPr>
                              <w:t>Semester:</w:t>
                            </w:r>
                            <w:r w:rsidRPr="00402303">
                              <w:rPr>
                                <w:rFonts w:asciiTheme="minorHAnsi" w:hAnsiTheme="minorHAnsi"/>
                                <w:spacing w:val="23"/>
                                <w:sz w:val="24"/>
                                <w:szCs w:val="24"/>
                              </w:rPr>
                              <w:t xml:space="preserve"> </w:t>
                            </w:r>
                            <w:r w:rsidRPr="00402303">
                              <w:rPr>
                                <w:rFonts w:asciiTheme="minorHAnsi" w:hAnsiTheme="minorHAnsi"/>
                                <w:spacing w:val="-5"/>
                                <w:sz w:val="24"/>
                                <w:szCs w:val="24"/>
                              </w:rPr>
                              <w:t>VII</w:t>
                            </w:r>
                            <w:r w:rsidRPr="00402303">
                              <w:rPr>
                                <w:rFonts w:asciiTheme="minorHAnsi" w:hAnsiTheme="minorHAnsi"/>
                                <w:sz w:val="24"/>
                                <w:szCs w:val="24"/>
                              </w:rPr>
                              <w:tab/>
                              <w:t>Batch:</w:t>
                            </w:r>
                            <w:r w:rsidRPr="00402303">
                              <w:rPr>
                                <w:rFonts w:asciiTheme="minorHAnsi" w:hAnsiTheme="minorHAnsi"/>
                                <w:spacing w:val="11"/>
                                <w:sz w:val="24"/>
                                <w:szCs w:val="24"/>
                              </w:rPr>
                              <w:t xml:space="preserve"> </w:t>
                            </w:r>
                            <w:r w:rsidRPr="00402303">
                              <w:rPr>
                                <w:rFonts w:asciiTheme="minorHAnsi" w:hAnsiTheme="minorHAnsi"/>
                                <w:spacing w:val="-2"/>
                                <w:sz w:val="24"/>
                                <w:szCs w:val="24"/>
                              </w:rPr>
                              <w:t>2022F</w:t>
                            </w:r>
                          </w:p>
                          <w:p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Name:</w:t>
                            </w:r>
                            <w:r w:rsidRPr="00402303">
                              <w:rPr>
                                <w:rFonts w:asciiTheme="minorHAnsi" w:hAnsiTheme="minorHAnsi"/>
                                <w:spacing w:val="20"/>
                                <w:sz w:val="24"/>
                                <w:szCs w:val="24"/>
                              </w:rPr>
                              <w:t xml:space="preserve"> </w:t>
                            </w:r>
                            <w:r w:rsidR="00601860">
                              <w:rPr>
                                <w:rFonts w:asciiTheme="minorHAnsi" w:hAnsiTheme="minorHAnsi"/>
                                <w:sz w:val="24"/>
                                <w:szCs w:val="24"/>
                              </w:rPr>
                              <w:t>Muhammad Faisal</w:t>
                            </w:r>
                          </w:p>
                          <w:p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Roll #: 2022F-BCS-</w:t>
                            </w:r>
                            <w:r w:rsidR="00601860">
                              <w:rPr>
                                <w:rFonts w:asciiTheme="minorHAnsi" w:hAnsiTheme="minorHAnsi"/>
                                <w:sz w:val="24"/>
                                <w:szCs w:val="24"/>
                              </w:rPr>
                              <w:t>152</w:t>
                            </w:r>
                          </w:p>
                          <w:p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Section: E</w:t>
                            </w:r>
                          </w:p>
                          <w:p w:rsidR="00D767AC" w:rsidRDefault="00D767AC" w:rsidP="00D767AC">
                            <w:pPr>
                              <w:pStyle w:val="BodyText"/>
                              <w:tabs>
                                <w:tab w:val="left" w:pos="811"/>
                              </w:tabs>
                              <w:spacing w:before="10"/>
                            </w:pPr>
                          </w:p>
                        </w:txbxContent>
                      </wps:txbx>
                      <wps:bodyPr wrap="square" lIns="0" tIns="0" rIns="0" bIns="0" rtlCol="0">
                        <a:noAutofit/>
                      </wps:bodyPr>
                    </wps:wsp>
                  </a:graphicData>
                </a:graphic>
              </wp:inline>
            </w:drawing>
          </mc:Choice>
          <mc:Fallback>
            <w:pict>
              <v:shapetype w14:anchorId="64AD865C" id="_x0000_t202" coordsize="21600,21600" o:spt="202" path="m,l,21600r21600,l21600,xe">
                <v:stroke joinstyle="miter"/>
                <v:path gradientshapeok="t" o:connecttype="rect"/>
              </v:shapetype>
              <v:shape id="Textbox 1" o:spid="_x0000_s1026" type="#_x0000_t202" style="width:488.2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" filled="f" strokeweight=".72pt">
                <v:path arrowok="t"/>
                <v:textbox inset="0,0,0,0">
                  <w:txbxContent>
                    <w:p w:rsidR="00D767AC" w:rsidRDefault="00D767AC" w:rsidP="00D767AC">
                      <w:pPr>
                        <w:spacing w:before="70" w:line="244" w:lineRule="auto"/>
                        <w:ind w:left="792" w:right="801" w:firstLine="5"/>
                        <w:jc w:val="center"/>
                        <w:rPr>
                          <w:b/>
                        </w:rPr>
                      </w:pPr>
                      <w:r>
                        <w:rPr>
                          <w:b/>
                        </w:rPr>
                        <w:t>SIR SYED UNIVERSITY OF ENGINEERING &amp; TECHNOLOGY</w:t>
                      </w:r>
                      <w:r>
                        <w:rPr>
                          <w:b/>
                          <w:spacing w:val="80"/>
                        </w:rPr>
                        <w:t xml:space="preserve"> </w:t>
                      </w:r>
                      <w:r>
                        <w:rPr>
                          <w:b/>
                        </w:rPr>
                        <w:t>COMPUTER SCIENCE &amp; INFORMATION TECHNOLOGY DEPARTMENT</w:t>
                      </w:r>
                    </w:p>
                    <w:p w:rsidR="00D767AC" w:rsidRDefault="00D767AC" w:rsidP="00D767AC">
                      <w:pPr>
                        <w:spacing w:before="135"/>
                        <w:ind w:left="2263" w:right="2264"/>
                        <w:jc w:val="center"/>
                        <w:rPr>
                          <w:b/>
                        </w:rPr>
                      </w:pPr>
                      <w:r>
                        <w:rPr>
                          <w:b/>
                        </w:rPr>
                        <w:t>Fall</w:t>
                      </w:r>
                      <w:r>
                        <w:rPr>
                          <w:b/>
                          <w:spacing w:val="13"/>
                        </w:rPr>
                        <w:t xml:space="preserve"> </w:t>
                      </w:r>
                      <w:r>
                        <w:rPr>
                          <w:b/>
                          <w:spacing w:val="-4"/>
                        </w:rPr>
                        <w:t>2025</w:t>
                      </w:r>
                    </w:p>
                    <w:p w:rsidR="00D767AC" w:rsidRDefault="00D767AC" w:rsidP="00D767AC">
                      <w:pPr>
                        <w:spacing w:before="6" w:line="244" w:lineRule="auto"/>
                        <w:ind w:left="2260" w:right="2264"/>
                        <w:jc w:val="center"/>
                        <w:rPr>
                          <w:b/>
                        </w:rPr>
                      </w:pPr>
                      <w:r w:rsidRPr="00E663BD">
                        <w:rPr>
                          <w:b/>
                        </w:rPr>
                        <w:t>E</w:t>
                      </w:r>
                      <w:r>
                        <w:rPr>
                          <w:b/>
                        </w:rPr>
                        <w:t xml:space="preserve">conomics &amp; Management </w:t>
                      </w:r>
                      <w:r w:rsidRPr="00E663BD">
                        <w:rPr>
                          <w:b/>
                        </w:rPr>
                        <w:t xml:space="preserve">(HS-412) </w:t>
                      </w:r>
                    </w:p>
                    <w:p w:rsidR="00D767AC" w:rsidRDefault="00D767AC" w:rsidP="00D767AC">
                      <w:pPr>
                        <w:spacing w:before="6" w:line="244" w:lineRule="auto"/>
                        <w:ind w:left="2260" w:right="2264"/>
                        <w:jc w:val="center"/>
                        <w:rPr>
                          <w:b/>
                        </w:rPr>
                      </w:pPr>
                      <w:r>
                        <w:rPr>
                          <w:b/>
                        </w:rPr>
                        <w:t xml:space="preserve">Assignment # </w:t>
                      </w:r>
                      <w:r w:rsidR="00601860">
                        <w:rPr>
                          <w:b/>
                        </w:rPr>
                        <w:t>2</w:t>
                      </w:r>
                    </w:p>
                    <w:p w:rsidR="00D767AC" w:rsidRPr="00402303" w:rsidRDefault="00D767AC" w:rsidP="00D767AC">
                      <w:pPr>
                        <w:pStyle w:val="BodyText"/>
                        <w:tabs>
                          <w:tab w:val="left" w:pos="7836"/>
                        </w:tabs>
                        <w:spacing w:before="126"/>
                        <w:ind w:left="134"/>
                        <w:rPr>
                          <w:rFonts w:asciiTheme="minorHAnsi" w:hAnsiTheme="minorHAnsi"/>
                          <w:sz w:val="24"/>
                          <w:szCs w:val="24"/>
                        </w:rPr>
                      </w:pPr>
                      <w:r w:rsidRPr="00402303">
                        <w:rPr>
                          <w:rFonts w:asciiTheme="minorHAnsi" w:hAnsiTheme="minorHAnsi"/>
                          <w:sz w:val="24"/>
                          <w:szCs w:val="24"/>
                        </w:rPr>
                        <w:t>Semester:</w:t>
                      </w:r>
                      <w:r w:rsidRPr="00402303">
                        <w:rPr>
                          <w:rFonts w:asciiTheme="minorHAnsi" w:hAnsiTheme="minorHAnsi"/>
                          <w:spacing w:val="23"/>
                          <w:sz w:val="24"/>
                          <w:szCs w:val="24"/>
                        </w:rPr>
                        <w:t xml:space="preserve"> </w:t>
                      </w:r>
                      <w:r w:rsidRPr="00402303">
                        <w:rPr>
                          <w:rFonts w:asciiTheme="minorHAnsi" w:hAnsiTheme="minorHAnsi"/>
                          <w:spacing w:val="-5"/>
                          <w:sz w:val="24"/>
                          <w:szCs w:val="24"/>
                        </w:rPr>
                        <w:t>VII</w:t>
                      </w:r>
                      <w:r w:rsidRPr="00402303">
                        <w:rPr>
                          <w:rFonts w:asciiTheme="minorHAnsi" w:hAnsiTheme="minorHAnsi"/>
                          <w:sz w:val="24"/>
                          <w:szCs w:val="24"/>
                        </w:rPr>
                        <w:tab/>
                        <w:t>Batch:</w:t>
                      </w:r>
                      <w:r w:rsidRPr="00402303">
                        <w:rPr>
                          <w:rFonts w:asciiTheme="minorHAnsi" w:hAnsiTheme="minorHAnsi"/>
                          <w:spacing w:val="11"/>
                          <w:sz w:val="24"/>
                          <w:szCs w:val="24"/>
                        </w:rPr>
                        <w:t xml:space="preserve"> </w:t>
                      </w:r>
                      <w:r w:rsidRPr="00402303">
                        <w:rPr>
                          <w:rFonts w:asciiTheme="minorHAnsi" w:hAnsiTheme="minorHAnsi"/>
                          <w:spacing w:val="-2"/>
                          <w:sz w:val="24"/>
                          <w:szCs w:val="24"/>
                        </w:rPr>
                        <w:t>2022F</w:t>
                      </w:r>
                    </w:p>
                    <w:p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Name:</w:t>
                      </w:r>
                      <w:r w:rsidRPr="00402303">
                        <w:rPr>
                          <w:rFonts w:asciiTheme="minorHAnsi" w:hAnsiTheme="minorHAnsi"/>
                          <w:spacing w:val="20"/>
                          <w:sz w:val="24"/>
                          <w:szCs w:val="24"/>
                        </w:rPr>
                        <w:t xml:space="preserve"> </w:t>
                      </w:r>
                      <w:r w:rsidR="00601860">
                        <w:rPr>
                          <w:rFonts w:asciiTheme="minorHAnsi" w:hAnsiTheme="minorHAnsi"/>
                          <w:sz w:val="24"/>
                          <w:szCs w:val="24"/>
                        </w:rPr>
                        <w:t>Muhammad Faisal</w:t>
                      </w:r>
                    </w:p>
                    <w:p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Roll #: 2022F-BCS-</w:t>
                      </w:r>
                      <w:r w:rsidR="00601860">
                        <w:rPr>
                          <w:rFonts w:asciiTheme="minorHAnsi" w:hAnsiTheme="minorHAnsi"/>
                          <w:sz w:val="24"/>
                          <w:szCs w:val="24"/>
                        </w:rPr>
                        <w:t>152</w:t>
                      </w:r>
                    </w:p>
                    <w:p w:rsidR="00D767AC" w:rsidRPr="00402303" w:rsidRDefault="00D767AC" w:rsidP="00D767AC">
                      <w:pPr>
                        <w:pStyle w:val="BodyText"/>
                        <w:spacing w:before="8"/>
                        <w:ind w:left="134"/>
                        <w:rPr>
                          <w:rFonts w:asciiTheme="minorHAnsi" w:hAnsiTheme="minorHAnsi"/>
                          <w:sz w:val="24"/>
                          <w:szCs w:val="24"/>
                        </w:rPr>
                      </w:pPr>
                      <w:r w:rsidRPr="00402303">
                        <w:rPr>
                          <w:rFonts w:asciiTheme="minorHAnsi" w:hAnsiTheme="minorHAnsi"/>
                          <w:sz w:val="24"/>
                          <w:szCs w:val="24"/>
                        </w:rPr>
                        <w:t>Section: E</w:t>
                      </w:r>
                    </w:p>
                    <w:p w:rsidR="00D767AC" w:rsidRDefault="00D767AC" w:rsidP="00D767AC">
                      <w:pPr>
                        <w:pStyle w:val="BodyText"/>
                        <w:tabs>
                          <w:tab w:val="left" w:pos="811"/>
                        </w:tabs>
                        <w:spacing w:before="10"/>
                      </w:pPr>
                    </w:p>
                  </w:txbxContent>
                </v:textbox>
                <w10:anchorlock/>
              </v:shape>
            </w:pict>
          </mc:Fallback>
        </mc:AlternateContent>
      </w:r>
    </w:p>
    <w:p w:rsidR="00D767AC" w:rsidRDefault="00D767AC"/>
    <w:p w:rsidR="00D767AC" w:rsidRPr="00601860" w:rsidRDefault="00D767AC" w:rsidP="00D767AC">
      <w:pPr>
        <w:pStyle w:val="Heading1"/>
        <w:spacing w:before="83"/>
        <w:ind w:left="0"/>
        <w:jc w:val="left"/>
        <w:rPr>
          <w:rFonts w:asciiTheme="minorHAnsi" w:hAnsiTheme="minorHAnsi" w:cstheme="minorHAnsi"/>
          <w:b/>
          <w:bCs/>
          <w:sz w:val="22"/>
          <w:szCs w:val="22"/>
          <w:u w:val="none"/>
        </w:rPr>
      </w:pPr>
      <w:r w:rsidRPr="00601860">
        <w:rPr>
          <w:rFonts w:asciiTheme="minorHAnsi" w:hAnsiTheme="minorHAnsi" w:cstheme="minorHAnsi"/>
          <w:b/>
          <w:bCs/>
          <w:w w:val="105"/>
          <w:sz w:val="22"/>
          <w:szCs w:val="22"/>
          <w:u w:val="none"/>
        </w:rPr>
        <w:t>Question</w:t>
      </w:r>
      <w:r w:rsidR="00601860">
        <w:rPr>
          <w:rFonts w:asciiTheme="minorHAnsi" w:hAnsiTheme="minorHAnsi" w:cstheme="minorHAnsi"/>
          <w:b/>
          <w:bCs/>
          <w:spacing w:val="-5"/>
          <w:w w:val="110"/>
          <w:sz w:val="22"/>
          <w:szCs w:val="22"/>
          <w:u w:val="none"/>
        </w:rPr>
        <w:t>)</w:t>
      </w:r>
      <w:r w:rsidRPr="00601860">
        <w:rPr>
          <w:rFonts w:asciiTheme="minorHAnsi" w:hAnsiTheme="minorHAnsi" w:cstheme="minorHAnsi"/>
          <w:b/>
          <w:bCs/>
          <w:spacing w:val="-5"/>
          <w:w w:val="110"/>
          <w:sz w:val="22"/>
          <w:szCs w:val="22"/>
          <w:u w:val="none"/>
        </w:rPr>
        <w:t xml:space="preserve"> </w:t>
      </w:r>
      <w:r w:rsidR="00601860" w:rsidRPr="00601860">
        <w:rPr>
          <w:rFonts w:asciiTheme="minorHAnsi" w:hAnsiTheme="minorHAnsi" w:cstheme="minorHAnsi"/>
          <w:b/>
          <w:bCs/>
          <w:sz w:val="22"/>
          <w:szCs w:val="22"/>
          <w:u w:val="none"/>
        </w:rPr>
        <w:t>Explain the practical application of Payback Period (PBP), Discounted Payback Period (DPBP), Net Present Value (NPV), and Profitability Index (PI) in capital budgeting with focus on managerial decision making, project selection, risk consideration, and value maximization.</w:t>
      </w:r>
    </w:p>
    <w:p w:rsidR="00601860" w:rsidRPr="00601860" w:rsidRDefault="00601860" w:rsidP="0060186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br/>
      </w:r>
      <w:r w:rsidRPr="00601860">
        <w:rPr>
          <w:rFonts w:asciiTheme="minorHAnsi" w:hAnsiTheme="minorHAnsi" w:cstheme="minorHAnsi"/>
          <w:sz w:val="22"/>
          <w:szCs w:val="22"/>
        </w:rPr>
        <w:t xml:space="preserve">Capital budgeting is one of the most critical responsibilities of financial and strategic management. It involves the evaluation and selection of long-term investment projects that require substantial capital and have lasting implications for an organization’s profitability, risk profile, and competitive position. To support rational decision-making, managers rely on several quantitative techniques, most notably </w:t>
      </w:r>
      <w:r w:rsidRPr="00601860">
        <w:rPr>
          <w:rStyle w:val="Strong"/>
          <w:rFonts w:asciiTheme="minorHAnsi" w:eastAsia="Arial MT" w:hAnsiTheme="minorHAnsi" w:cstheme="minorHAnsi"/>
          <w:sz w:val="22"/>
          <w:szCs w:val="22"/>
        </w:rPr>
        <w:t>Payback Period (PBP)</w:t>
      </w:r>
      <w:r w:rsidRPr="00601860">
        <w:rPr>
          <w:rFonts w:asciiTheme="minorHAnsi" w:hAnsiTheme="minorHAnsi" w:cstheme="minorHAnsi"/>
          <w:sz w:val="22"/>
          <w:szCs w:val="22"/>
        </w:rPr>
        <w:t xml:space="preserve">, </w:t>
      </w:r>
      <w:r w:rsidRPr="00601860">
        <w:rPr>
          <w:rStyle w:val="Strong"/>
          <w:rFonts w:asciiTheme="minorHAnsi" w:eastAsia="Arial MT" w:hAnsiTheme="minorHAnsi" w:cstheme="minorHAnsi"/>
          <w:sz w:val="22"/>
          <w:szCs w:val="22"/>
        </w:rPr>
        <w:t>Discounted Payback Period (DPBP)</w:t>
      </w:r>
      <w:r w:rsidRPr="00601860">
        <w:rPr>
          <w:rFonts w:asciiTheme="minorHAnsi" w:hAnsiTheme="minorHAnsi" w:cstheme="minorHAnsi"/>
          <w:sz w:val="22"/>
          <w:szCs w:val="22"/>
        </w:rPr>
        <w:t xml:space="preserve">, </w:t>
      </w:r>
      <w:r w:rsidRPr="00601860">
        <w:rPr>
          <w:rStyle w:val="Strong"/>
          <w:rFonts w:asciiTheme="minorHAnsi" w:eastAsia="Arial MT" w:hAnsiTheme="minorHAnsi" w:cstheme="minorHAnsi"/>
          <w:sz w:val="22"/>
          <w:szCs w:val="22"/>
        </w:rPr>
        <w:t>Net Present Value (NPV)</w:t>
      </w:r>
      <w:r w:rsidRPr="00601860">
        <w:rPr>
          <w:rFonts w:asciiTheme="minorHAnsi" w:hAnsiTheme="minorHAnsi" w:cstheme="minorHAnsi"/>
          <w:sz w:val="22"/>
          <w:szCs w:val="22"/>
        </w:rPr>
        <w:t xml:space="preserve">, and </w:t>
      </w:r>
      <w:r w:rsidRPr="00601860">
        <w:rPr>
          <w:rStyle w:val="Strong"/>
          <w:rFonts w:asciiTheme="minorHAnsi" w:eastAsia="Arial MT" w:hAnsiTheme="minorHAnsi" w:cstheme="minorHAnsi"/>
          <w:sz w:val="22"/>
          <w:szCs w:val="22"/>
        </w:rPr>
        <w:t>Profitability Index (PI)</w:t>
      </w:r>
      <w:r w:rsidRPr="00601860">
        <w:rPr>
          <w:rFonts w:asciiTheme="minorHAnsi" w:hAnsiTheme="minorHAnsi" w:cstheme="minorHAnsi"/>
          <w:sz w:val="22"/>
          <w:szCs w:val="22"/>
        </w:rPr>
        <w:t>. Each of these methods serves a distinct purpose and contributes differently to project selection, risk assessment, and value maximization.</w:t>
      </w:r>
    </w:p>
    <w:p w:rsidR="00601860" w:rsidRPr="00601860" w:rsidRDefault="00601860" w:rsidP="00601860">
      <w:pPr>
        <w:rPr>
          <w:rFonts w:asciiTheme="minorHAnsi" w:hAnsiTheme="minorHAnsi" w:cstheme="minorHAnsi"/>
        </w:rPr>
      </w:pPr>
    </w:p>
    <w:p w:rsidR="00601860" w:rsidRPr="00601860" w:rsidRDefault="00601860" w:rsidP="00601860">
      <w:pPr>
        <w:pStyle w:val="Heading2"/>
        <w:spacing w:before="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1. Payback Period (PBP)</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Concept and Practical Application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The </w:t>
      </w:r>
      <w:r w:rsidRPr="00601860">
        <w:rPr>
          <w:rStyle w:val="Strong"/>
          <w:rFonts w:asciiTheme="minorHAnsi" w:eastAsia="Arial MT" w:hAnsiTheme="minorHAnsi" w:cstheme="minorHAnsi"/>
          <w:sz w:val="22"/>
          <w:szCs w:val="22"/>
        </w:rPr>
        <w:t>Payback Period</w:t>
      </w:r>
      <w:r w:rsidRPr="00601860">
        <w:rPr>
          <w:rFonts w:asciiTheme="minorHAnsi" w:hAnsiTheme="minorHAnsi" w:cstheme="minorHAnsi"/>
          <w:sz w:val="22"/>
          <w:szCs w:val="22"/>
        </w:rPr>
        <w:t xml:space="preserve"> calculates the time required for a project to recover its initial investment from net cash inflows. In practice, managers use this method as a </w:t>
      </w:r>
      <w:r w:rsidRPr="00601860">
        <w:rPr>
          <w:rStyle w:val="Strong"/>
          <w:rFonts w:asciiTheme="minorHAnsi" w:eastAsia="Arial MT" w:hAnsiTheme="minorHAnsi" w:cstheme="minorHAnsi"/>
          <w:sz w:val="22"/>
          <w:szCs w:val="22"/>
        </w:rPr>
        <w:t>preliminary evaluation tool</w:t>
      </w:r>
      <w:r w:rsidRPr="00601860">
        <w:rPr>
          <w:rFonts w:asciiTheme="minorHAnsi" w:hAnsiTheme="minorHAnsi" w:cstheme="minorHAnsi"/>
          <w:sz w:val="22"/>
          <w:szCs w:val="22"/>
        </w:rPr>
        <w:t>, especially when dealing with multiple investment proposals.</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Managerial Decision Making</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From a managerial perspective, PBP is valued for its </w:t>
      </w:r>
      <w:r w:rsidRPr="00601860">
        <w:rPr>
          <w:rStyle w:val="Strong"/>
          <w:rFonts w:asciiTheme="minorHAnsi" w:eastAsia="Arial MT" w:hAnsiTheme="minorHAnsi" w:cstheme="minorHAnsi"/>
          <w:sz w:val="22"/>
          <w:szCs w:val="22"/>
        </w:rPr>
        <w:t>simplicity and clarity</w:t>
      </w:r>
      <w:r w:rsidRPr="00601860">
        <w:rPr>
          <w:rFonts w:asciiTheme="minorHAnsi" w:hAnsiTheme="minorHAnsi" w:cstheme="minorHAnsi"/>
          <w:sz w:val="22"/>
          <w:szCs w:val="22"/>
        </w:rPr>
        <w:t>. It provides a quick estimate of how soon invested capital will be returned, which is particularly important for firms with tight cash flows or high dependence on liquidity.</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Project Selection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Managers often establish a </w:t>
      </w:r>
      <w:r w:rsidRPr="00601860">
        <w:rPr>
          <w:rStyle w:val="Strong"/>
          <w:rFonts w:asciiTheme="minorHAnsi" w:eastAsia="Arial MT" w:hAnsiTheme="minorHAnsi" w:cstheme="minorHAnsi"/>
          <w:sz w:val="22"/>
          <w:szCs w:val="22"/>
        </w:rPr>
        <w:t>maximum acceptable payback period</w:t>
      </w:r>
      <w:r w:rsidRPr="00601860">
        <w:rPr>
          <w:rFonts w:asciiTheme="minorHAnsi" w:hAnsiTheme="minorHAnsi" w:cstheme="minorHAnsi"/>
          <w:sz w:val="22"/>
          <w:szCs w:val="22"/>
        </w:rPr>
        <w:t>. Projects that recover their initial investment within this time frame are accepted, while those that exceed it are rejected. This approach helps narrow down investment choices early in the decision-making process.</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Risk Consideration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PBP implicitly addresses risk by emphasizing </w:t>
      </w:r>
      <w:r w:rsidRPr="00601860">
        <w:rPr>
          <w:rStyle w:val="Strong"/>
          <w:rFonts w:asciiTheme="minorHAnsi" w:eastAsia="Arial MT" w:hAnsiTheme="minorHAnsi" w:cstheme="minorHAnsi"/>
          <w:sz w:val="22"/>
          <w:szCs w:val="22"/>
        </w:rPr>
        <w:t>early cash recovery</w:t>
      </w:r>
      <w:r w:rsidRPr="00601860">
        <w:rPr>
          <w:rFonts w:asciiTheme="minorHAnsi" w:hAnsiTheme="minorHAnsi" w:cstheme="minorHAnsi"/>
          <w:sz w:val="22"/>
          <w:szCs w:val="22"/>
        </w:rPr>
        <w:t>. Since future cash flows are generally more uncertain, projects with shorter payback periods are considered less risky. This makes PBP especially useful in industries facing rapid technological change or volatile market conditions.</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Value Maximization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Despite its usefulness, PBP does </w:t>
      </w:r>
      <w:r w:rsidRPr="00601860">
        <w:rPr>
          <w:rStyle w:val="Strong"/>
          <w:rFonts w:asciiTheme="minorHAnsi" w:eastAsia="Arial MT" w:hAnsiTheme="minorHAnsi" w:cstheme="minorHAnsi"/>
          <w:sz w:val="22"/>
          <w:szCs w:val="22"/>
        </w:rPr>
        <w:t>not consider the time value of money or cash flows beyond the payback period</w:t>
      </w:r>
      <w:r w:rsidRPr="00601860">
        <w:rPr>
          <w:rFonts w:asciiTheme="minorHAnsi" w:hAnsiTheme="minorHAnsi" w:cstheme="minorHAnsi"/>
          <w:sz w:val="22"/>
          <w:szCs w:val="22"/>
        </w:rPr>
        <w:t>, limiting its effectiveness in measuring overall profitability or shareholder wealth maximization. Therefore, it should not be used as a standalone decision criterion.</w:t>
      </w:r>
    </w:p>
    <w:p w:rsidR="00601860" w:rsidRPr="00601860" w:rsidRDefault="00601860" w:rsidP="00601860">
      <w:pPr>
        <w:rPr>
          <w:rFonts w:asciiTheme="minorHAnsi" w:hAnsiTheme="minorHAnsi" w:cstheme="minorHAnsi"/>
        </w:rPr>
      </w:pPr>
    </w:p>
    <w:p w:rsidR="00601860" w:rsidRPr="00601860" w:rsidRDefault="00601860" w:rsidP="00601860">
      <w:pPr>
        <w:pStyle w:val="Heading2"/>
        <w:spacing w:before="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2. Discounted Payback Period (DPBP)</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Concept and Practical Application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The </w:t>
      </w:r>
      <w:r w:rsidRPr="00601860">
        <w:rPr>
          <w:rStyle w:val="Strong"/>
          <w:rFonts w:asciiTheme="minorHAnsi" w:eastAsia="Arial MT" w:hAnsiTheme="minorHAnsi" w:cstheme="minorHAnsi"/>
          <w:sz w:val="22"/>
          <w:szCs w:val="22"/>
        </w:rPr>
        <w:t>Discounted Payback Period</w:t>
      </w:r>
      <w:r w:rsidRPr="00601860">
        <w:rPr>
          <w:rFonts w:asciiTheme="minorHAnsi" w:hAnsiTheme="minorHAnsi" w:cstheme="minorHAnsi"/>
          <w:sz w:val="22"/>
          <w:szCs w:val="22"/>
        </w:rPr>
        <w:t xml:space="preserve"> refines the traditional payback method by discounting future cash flows using an appropriate discount rate before calculating the recovery period. This adjustment makes the technique more realistic and financially sound.</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lastRenderedPageBreak/>
        <w:t>Managerial Decision Making</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DPBP enables managers to make </w:t>
      </w:r>
      <w:r w:rsidRPr="00601860">
        <w:rPr>
          <w:rStyle w:val="Strong"/>
          <w:rFonts w:asciiTheme="minorHAnsi" w:eastAsia="Arial MT" w:hAnsiTheme="minorHAnsi" w:cstheme="minorHAnsi"/>
          <w:sz w:val="22"/>
          <w:szCs w:val="22"/>
        </w:rPr>
        <w:t>more informed decisions</w:t>
      </w:r>
      <w:r w:rsidRPr="00601860">
        <w:rPr>
          <w:rFonts w:asciiTheme="minorHAnsi" w:hAnsiTheme="minorHAnsi" w:cstheme="minorHAnsi"/>
          <w:sz w:val="22"/>
          <w:szCs w:val="22"/>
        </w:rPr>
        <w:t xml:space="preserve"> by recognizing that money received in the future is worth less than money received today. This aligns better with modern financial management principles.</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Project Selection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Projects are selected based on how quickly they recover the </w:t>
      </w:r>
      <w:r w:rsidRPr="00601860">
        <w:rPr>
          <w:rStyle w:val="Strong"/>
          <w:rFonts w:asciiTheme="minorHAnsi" w:eastAsia="Arial MT" w:hAnsiTheme="minorHAnsi" w:cstheme="minorHAnsi"/>
          <w:sz w:val="22"/>
          <w:szCs w:val="22"/>
        </w:rPr>
        <w:t>discounted initial investment</w:t>
      </w:r>
      <w:r w:rsidRPr="00601860">
        <w:rPr>
          <w:rFonts w:asciiTheme="minorHAnsi" w:hAnsiTheme="minorHAnsi" w:cstheme="minorHAnsi"/>
          <w:sz w:val="22"/>
          <w:szCs w:val="22"/>
        </w:rPr>
        <w:t>. Managers may use DPBP to compare projects with similar sizes and risk characteristics, especially when capital recovery timing is a priority.</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Risk Consideration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 xml:space="preserve">Risk is incorporated through the </w:t>
      </w:r>
      <w:r w:rsidRPr="00601860">
        <w:rPr>
          <w:rStyle w:val="Strong"/>
          <w:rFonts w:asciiTheme="minorHAnsi" w:eastAsia="Arial MT" w:hAnsiTheme="minorHAnsi" w:cstheme="minorHAnsi"/>
          <w:sz w:val="22"/>
          <w:szCs w:val="22"/>
        </w:rPr>
        <w:t>discount rate</w:t>
      </w:r>
      <w:r w:rsidRPr="00601860">
        <w:rPr>
          <w:rFonts w:asciiTheme="minorHAnsi" w:hAnsiTheme="minorHAnsi" w:cstheme="minorHAnsi"/>
          <w:sz w:val="22"/>
          <w:szCs w:val="22"/>
        </w:rPr>
        <w:t>, which reflects the project’s risk level. Higher-risk projects use higher discount rates, extending the discounted payback period and signaling caution to decision-makers.</w:t>
      </w:r>
    </w:p>
    <w:p w:rsidR="00601860" w:rsidRPr="00601860" w:rsidRDefault="00601860" w:rsidP="00601860">
      <w:pPr>
        <w:pStyle w:val="Heading3"/>
        <w:numPr>
          <w:ilvl w:val="0"/>
          <w:numId w:val="14"/>
        </w:numPr>
        <w:spacing w:before="0"/>
        <w:ind w:left="54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Value Maximization</w:t>
      </w:r>
    </w:p>
    <w:p w:rsidR="00601860" w:rsidRPr="00601860" w:rsidRDefault="00601860" w:rsidP="00601860">
      <w:pPr>
        <w:pStyle w:val="NormalWeb"/>
        <w:spacing w:before="0" w:beforeAutospacing="0" w:after="0" w:afterAutospacing="0"/>
        <w:ind w:left="540"/>
        <w:rPr>
          <w:rFonts w:asciiTheme="minorHAnsi" w:hAnsiTheme="minorHAnsi" w:cstheme="minorHAnsi"/>
          <w:sz w:val="22"/>
          <w:szCs w:val="22"/>
        </w:rPr>
      </w:pPr>
      <w:r w:rsidRPr="00601860">
        <w:rPr>
          <w:rFonts w:asciiTheme="minorHAnsi" w:hAnsiTheme="minorHAnsi" w:cstheme="minorHAnsi"/>
          <w:sz w:val="22"/>
          <w:szCs w:val="22"/>
        </w:rPr>
        <w:t>Although DPBP is superior to PBP, it still ignores cash flows after the payback point. As a result, it provides limited insight into long-term value creation and must be supplemented with other methods such as NPV or PI.</w:t>
      </w:r>
    </w:p>
    <w:p w:rsidR="00601860" w:rsidRPr="00601860" w:rsidRDefault="00601860" w:rsidP="00601860">
      <w:pPr>
        <w:rPr>
          <w:rFonts w:asciiTheme="minorHAnsi" w:hAnsiTheme="minorHAnsi" w:cstheme="minorHAnsi"/>
        </w:rPr>
      </w:pPr>
    </w:p>
    <w:p w:rsidR="00601860" w:rsidRPr="00601860" w:rsidRDefault="00601860" w:rsidP="00601860">
      <w:pPr>
        <w:pStyle w:val="Heading2"/>
        <w:spacing w:before="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3. Net Present Value (NPV)</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Concept and Practical Application</w:t>
      </w:r>
    </w:p>
    <w:p w:rsidR="00601860" w:rsidRPr="00601860" w:rsidRDefault="00601860" w:rsidP="00601860">
      <w:pPr>
        <w:pStyle w:val="NormalWeb"/>
        <w:spacing w:before="0" w:beforeAutospacing="0" w:after="0" w:afterAutospacing="0"/>
        <w:ind w:left="630"/>
        <w:rPr>
          <w:rFonts w:asciiTheme="minorHAnsi" w:hAnsiTheme="minorHAnsi" w:cstheme="minorHAnsi"/>
          <w:b/>
          <w:bCs/>
          <w:sz w:val="22"/>
          <w:szCs w:val="22"/>
        </w:rPr>
      </w:pPr>
      <w:r w:rsidRPr="00601860">
        <w:rPr>
          <w:rStyle w:val="Strong"/>
          <w:rFonts w:asciiTheme="minorHAnsi" w:eastAsia="Arial MT" w:hAnsiTheme="minorHAnsi" w:cstheme="minorHAnsi"/>
          <w:sz w:val="22"/>
          <w:szCs w:val="22"/>
        </w:rPr>
        <w:t>Net Present Value</w:t>
      </w:r>
      <w:r w:rsidRPr="00601860">
        <w:rPr>
          <w:rFonts w:asciiTheme="minorHAnsi" w:hAnsiTheme="minorHAnsi" w:cstheme="minorHAnsi"/>
          <w:sz w:val="22"/>
          <w:szCs w:val="22"/>
        </w:rPr>
        <w:t xml:space="preserve"> represents the difference between the present value of expected future cash inflows and the initial investment. It is widely regarded as the </w:t>
      </w:r>
      <w:r w:rsidRPr="00601860">
        <w:rPr>
          <w:rStyle w:val="Strong"/>
          <w:rFonts w:asciiTheme="minorHAnsi" w:eastAsia="Arial MT" w:hAnsiTheme="minorHAnsi" w:cstheme="minorHAnsi"/>
          <w:b w:val="0"/>
          <w:bCs w:val="0"/>
          <w:sz w:val="22"/>
          <w:szCs w:val="22"/>
        </w:rPr>
        <w:t>most theoretically sound capital budgeting technique</w:t>
      </w:r>
      <w:r w:rsidRPr="00601860">
        <w:rPr>
          <w:rFonts w:asciiTheme="minorHAnsi" w:hAnsiTheme="minorHAnsi" w:cstheme="minorHAnsi"/>
          <w:b/>
          <w:bCs/>
          <w:sz w:val="22"/>
          <w:szCs w:val="22"/>
        </w:rPr>
        <w:t>.</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Managerial Decision Making</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NPV provides managers with a </w:t>
      </w:r>
      <w:r w:rsidRPr="00601860">
        <w:rPr>
          <w:rStyle w:val="Strong"/>
          <w:rFonts w:asciiTheme="minorHAnsi" w:eastAsia="Arial MT" w:hAnsiTheme="minorHAnsi" w:cstheme="minorHAnsi"/>
          <w:sz w:val="22"/>
          <w:szCs w:val="22"/>
        </w:rPr>
        <w:t>clear quantitative measure of value creation</w:t>
      </w:r>
      <w:r w:rsidRPr="00601860">
        <w:rPr>
          <w:rFonts w:asciiTheme="minorHAnsi" w:hAnsiTheme="minorHAnsi" w:cstheme="minorHAnsi"/>
          <w:sz w:val="22"/>
          <w:szCs w:val="22"/>
        </w:rPr>
        <w:t>. A positive NPV indicates that a project is expected to generate returns above the required rate, directly contributing to firm value.</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Project Selection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Managers accept projects with </w:t>
      </w:r>
      <w:r w:rsidRPr="00601860">
        <w:rPr>
          <w:rStyle w:val="Strong"/>
          <w:rFonts w:asciiTheme="minorHAnsi" w:eastAsia="Arial MT" w:hAnsiTheme="minorHAnsi" w:cstheme="minorHAnsi"/>
          <w:sz w:val="22"/>
          <w:szCs w:val="22"/>
        </w:rPr>
        <w:t>NPV greater than zero</w:t>
      </w:r>
      <w:r w:rsidRPr="00601860">
        <w:rPr>
          <w:rFonts w:asciiTheme="minorHAnsi" w:hAnsiTheme="minorHAnsi" w:cstheme="minorHAnsi"/>
          <w:sz w:val="22"/>
          <w:szCs w:val="22"/>
        </w:rPr>
        <w:t xml:space="preserve"> and reject those with negative NPV. When mutually exclusive projects are evaluated, the project with the </w:t>
      </w:r>
      <w:r w:rsidRPr="00601860">
        <w:rPr>
          <w:rStyle w:val="Strong"/>
          <w:rFonts w:asciiTheme="minorHAnsi" w:eastAsia="Arial MT" w:hAnsiTheme="minorHAnsi" w:cstheme="minorHAnsi"/>
          <w:sz w:val="22"/>
          <w:szCs w:val="22"/>
        </w:rPr>
        <w:t>highest NPV</w:t>
      </w:r>
      <w:r w:rsidRPr="00601860">
        <w:rPr>
          <w:rFonts w:asciiTheme="minorHAnsi" w:hAnsiTheme="minorHAnsi" w:cstheme="minorHAnsi"/>
          <w:sz w:val="22"/>
          <w:szCs w:val="22"/>
        </w:rPr>
        <w:t xml:space="preserve"> is preferred, as it adds the greatest absolute value.</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Risk Consideration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Risk is explicitly incorporated through the </w:t>
      </w:r>
      <w:r w:rsidRPr="00601860">
        <w:rPr>
          <w:rStyle w:val="Strong"/>
          <w:rFonts w:asciiTheme="minorHAnsi" w:eastAsia="Arial MT" w:hAnsiTheme="minorHAnsi" w:cstheme="minorHAnsi"/>
          <w:sz w:val="22"/>
          <w:szCs w:val="22"/>
        </w:rPr>
        <w:t>discount rate</w:t>
      </w:r>
      <w:r w:rsidRPr="00601860">
        <w:rPr>
          <w:rFonts w:asciiTheme="minorHAnsi" w:hAnsiTheme="minorHAnsi" w:cstheme="minorHAnsi"/>
          <w:sz w:val="22"/>
          <w:szCs w:val="22"/>
        </w:rPr>
        <w:t>, which may be adjusted to reflect project-specific risk. This allows managers to account for uncertainty, economic conditions, and market volatility in investment decisions.</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Value Maximization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NPV directly aligns with the objective of </w:t>
      </w:r>
      <w:r w:rsidRPr="00601860">
        <w:rPr>
          <w:rStyle w:val="Strong"/>
          <w:rFonts w:asciiTheme="minorHAnsi" w:eastAsia="Arial MT" w:hAnsiTheme="minorHAnsi" w:cstheme="minorHAnsi"/>
          <w:sz w:val="22"/>
          <w:szCs w:val="22"/>
        </w:rPr>
        <w:t>shareholder wealth maximization</w:t>
      </w:r>
      <w:r w:rsidRPr="00601860">
        <w:rPr>
          <w:rFonts w:asciiTheme="minorHAnsi" w:hAnsiTheme="minorHAnsi" w:cstheme="minorHAnsi"/>
          <w:sz w:val="22"/>
          <w:szCs w:val="22"/>
        </w:rPr>
        <w:t>. It measures the exact increase in firm value resulting from a project, making it the preferred tool for strategic and long-term investment decisions.</w:t>
      </w:r>
    </w:p>
    <w:p w:rsidR="00601860" w:rsidRPr="00601860" w:rsidRDefault="00601860" w:rsidP="00601860">
      <w:pPr>
        <w:rPr>
          <w:rFonts w:asciiTheme="minorHAnsi" w:hAnsiTheme="minorHAnsi" w:cstheme="minorHAnsi"/>
        </w:rPr>
      </w:pPr>
    </w:p>
    <w:p w:rsidR="00601860" w:rsidRPr="00601860" w:rsidRDefault="00601860" w:rsidP="00601860">
      <w:pPr>
        <w:pStyle w:val="Heading2"/>
        <w:spacing w:before="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4. Profitability Index (PI)</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Concept and Practical Application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The </w:t>
      </w:r>
      <w:r w:rsidRPr="00601860">
        <w:rPr>
          <w:rStyle w:val="Strong"/>
          <w:rFonts w:asciiTheme="minorHAnsi" w:eastAsia="Arial MT" w:hAnsiTheme="minorHAnsi" w:cstheme="minorHAnsi"/>
          <w:sz w:val="22"/>
          <w:szCs w:val="22"/>
        </w:rPr>
        <w:t>Profitability Index</w:t>
      </w:r>
      <w:r w:rsidRPr="00601860">
        <w:rPr>
          <w:rFonts w:asciiTheme="minorHAnsi" w:hAnsiTheme="minorHAnsi" w:cstheme="minorHAnsi"/>
          <w:sz w:val="22"/>
          <w:szCs w:val="22"/>
        </w:rPr>
        <w:t xml:space="preserve"> is calculated as the ratio of the present value of future cash inflows to the initial investment. It indicates the value generated per unit of capital invested.</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Managerial Decision Making</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PI is especially useful for managers operating under </w:t>
      </w:r>
      <w:r w:rsidRPr="00601860">
        <w:rPr>
          <w:rStyle w:val="Strong"/>
          <w:rFonts w:asciiTheme="minorHAnsi" w:eastAsia="Arial MT" w:hAnsiTheme="minorHAnsi" w:cstheme="minorHAnsi"/>
          <w:sz w:val="22"/>
          <w:szCs w:val="22"/>
        </w:rPr>
        <w:t>capital rationing</w:t>
      </w:r>
      <w:r w:rsidRPr="00601860">
        <w:rPr>
          <w:rFonts w:asciiTheme="minorHAnsi" w:hAnsiTheme="minorHAnsi" w:cstheme="minorHAnsi"/>
          <w:sz w:val="22"/>
          <w:szCs w:val="22"/>
        </w:rPr>
        <w:t>, where funds are limited and not all positive-NPV projects can be undertaken.</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Project Selection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Projects with a </w:t>
      </w:r>
      <w:r w:rsidRPr="00601860">
        <w:rPr>
          <w:rStyle w:val="Strong"/>
          <w:rFonts w:asciiTheme="minorHAnsi" w:eastAsia="Arial MT" w:hAnsiTheme="minorHAnsi" w:cstheme="minorHAnsi"/>
          <w:sz w:val="22"/>
          <w:szCs w:val="22"/>
        </w:rPr>
        <w:t>PI greater than 1</w:t>
      </w:r>
      <w:r w:rsidRPr="00601860">
        <w:rPr>
          <w:rFonts w:asciiTheme="minorHAnsi" w:hAnsiTheme="minorHAnsi" w:cstheme="minorHAnsi"/>
          <w:sz w:val="22"/>
          <w:szCs w:val="22"/>
        </w:rPr>
        <w:t xml:space="preserve"> are considered acceptable. Managers rank projects based on PI values and prioritize those that generate the highest value relative to their cost.</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t>Risk Consideration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Like NPV, PI accounts for risk through discounted cash flows. This ensures that project rankings reflect both expected returns and associated risk levels.</w:t>
      </w:r>
    </w:p>
    <w:p w:rsidR="00601860" w:rsidRPr="00601860" w:rsidRDefault="00601860" w:rsidP="00601860">
      <w:pPr>
        <w:pStyle w:val="Heading3"/>
        <w:numPr>
          <w:ilvl w:val="0"/>
          <w:numId w:val="14"/>
        </w:numPr>
        <w:spacing w:before="0"/>
        <w:ind w:left="630"/>
        <w:rPr>
          <w:rFonts w:asciiTheme="minorHAnsi" w:hAnsiTheme="minorHAnsi" w:cstheme="minorHAnsi"/>
          <w:b/>
          <w:bCs/>
          <w:color w:val="auto"/>
          <w:sz w:val="22"/>
          <w:szCs w:val="22"/>
        </w:rPr>
      </w:pPr>
      <w:r w:rsidRPr="00601860">
        <w:rPr>
          <w:rFonts w:asciiTheme="minorHAnsi" w:hAnsiTheme="minorHAnsi" w:cstheme="minorHAnsi"/>
          <w:b/>
          <w:bCs/>
          <w:color w:val="auto"/>
          <w:sz w:val="22"/>
          <w:szCs w:val="22"/>
        </w:rPr>
        <w:lastRenderedPageBreak/>
        <w:t>Value Maximization</w:t>
      </w:r>
    </w:p>
    <w:p w:rsidR="00601860" w:rsidRPr="00601860" w:rsidRDefault="00601860" w:rsidP="00601860">
      <w:pPr>
        <w:pStyle w:val="NormalWeb"/>
        <w:spacing w:before="0" w:beforeAutospacing="0" w:after="0" w:afterAutospacing="0"/>
        <w:ind w:left="630"/>
        <w:rPr>
          <w:rFonts w:asciiTheme="minorHAnsi" w:hAnsiTheme="minorHAnsi" w:cstheme="minorHAnsi"/>
          <w:sz w:val="22"/>
          <w:szCs w:val="22"/>
        </w:rPr>
      </w:pPr>
      <w:r w:rsidRPr="00601860">
        <w:rPr>
          <w:rFonts w:asciiTheme="minorHAnsi" w:hAnsiTheme="minorHAnsi" w:cstheme="minorHAnsi"/>
          <w:sz w:val="22"/>
          <w:szCs w:val="22"/>
        </w:rPr>
        <w:t xml:space="preserve">PI supports value maximization by guiding managers to allocate scarce resources toward projects that deliver the </w:t>
      </w:r>
      <w:r w:rsidRPr="00601860">
        <w:rPr>
          <w:rStyle w:val="Strong"/>
          <w:rFonts w:asciiTheme="minorHAnsi" w:eastAsia="Arial MT" w:hAnsiTheme="minorHAnsi" w:cstheme="minorHAnsi"/>
          <w:sz w:val="22"/>
          <w:szCs w:val="22"/>
        </w:rPr>
        <w:t>highest efficiency and relative return</w:t>
      </w:r>
      <w:r w:rsidRPr="00601860">
        <w:rPr>
          <w:rFonts w:asciiTheme="minorHAnsi" w:hAnsiTheme="minorHAnsi" w:cstheme="minorHAnsi"/>
          <w:sz w:val="22"/>
          <w:szCs w:val="22"/>
        </w:rPr>
        <w:t>, ensuring optimal use of capital.</w:t>
      </w:r>
    </w:p>
    <w:p w:rsidR="00601860" w:rsidRPr="00601860" w:rsidRDefault="00601860" w:rsidP="00601860">
      <w:pPr>
        <w:rPr>
          <w:rFonts w:asciiTheme="minorHAnsi" w:hAnsiTheme="minorHAnsi" w:cstheme="minorHAnsi"/>
        </w:rPr>
      </w:pPr>
    </w:p>
    <w:p w:rsidR="00601860" w:rsidRPr="00256DD9" w:rsidRDefault="00601860" w:rsidP="00601860">
      <w:pPr>
        <w:pStyle w:val="Heading2"/>
        <w:spacing w:before="0"/>
        <w:rPr>
          <w:rFonts w:asciiTheme="minorHAnsi" w:hAnsiTheme="minorHAnsi" w:cstheme="minorHAnsi"/>
          <w:b/>
          <w:bCs/>
          <w:color w:val="auto"/>
          <w:sz w:val="22"/>
          <w:szCs w:val="22"/>
        </w:rPr>
      </w:pPr>
      <w:r w:rsidRPr="00256DD9">
        <w:rPr>
          <w:rFonts w:asciiTheme="minorHAnsi" w:hAnsiTheme="minorHAnsi" w:cstheme="minorHAnsi"/>
          <w:b/>
          <w:bCs/>
          <w:color w:val="auto"/>
          <w:sz w:val="22"/>
          <w:szCs w:val="22"/>
        </w:rPr>
        <w:t>Integrated Managerial Perspective</w:t>
      </w:r>
    </w:p>
    <w:p w:rsidR="00256DD9" w:rsidRPr="00601860" w:rsidRDefault="00601860" w:rsidP="00256DD9">
      <w:pPr>
        <w:pStyle w:val="NormalWeb"/>
        <w:spacing w:before="0" w:beforeAutospacing="0" w:after="0" w:afterAutospacing="0"/>
        <w:rPr>
          <w:rFonts w:asciiTheme="minorHAnsi" w:hAnsiTheme="minorHAnsi" w:cstheme="minorHAnsi"/>
          <w:sz w:val="22"/>
          <w:szCs w:val="22"/>
        </w:rPr>
      </w:pPr>
      <w:r w:rsidRPr="00601860">
        <w:rPr>
          <w:rFonts w:asciiTheme="minorHAnsi" w:hAnsiTheme="minorHAnsi" w:cstheme="minorHAnsi"/>
          <w:sz w:val="22"/>
          <w:szCs w:val="22"/>
        </w:rPr>
        <w:t xml:space="preserve">In practice, managers rarely rely on a single capital budgeting technique. Instead, they use a </w:t>
      </w:r>
      <w:r w:rsidRPr="00601860">
        <w:rPr>
          <w:rStyle w:val="Strong"/>
          <w:rFonts w:asciiTheme="minorHAnsi" w:eastAsia="Arial MT" w:hAnsiTheme="minorHAnsi" w:cstheme="minorHAnsi"/>
          <w:sz w:val="22"/>
          <w:szCs w:val="22"/>
        </w:rPr>
        <w:t>combination of methods</w:t>
      </w:r>
      <w:r w:rsidRPr="00601860">
        <w:rPr>
          <w:rFonts w:asciiTheme="minorHAnsi" w:hAnsiTheme="minorHAnsi" w:cstheme="minorHAnsi"/>
          <w:sz w:val="22"/>
          <w:szCs w:val="22"/>
        </w:rPr>
        <w:t xml:space="preserve"> to capture different dimensions of investment evaluation:</w:t>
      </w:r>
    </w:p>
    <w:tbl>
      <w:tblPr>
        <w:tblStyle w:val="TableGrid"/>
        <w:tblW w:w="0" w:type="auto"/>
        <w:tblLook w:val="04A0" w:firstRow="1" w:lastRow="0" w:firstColumn="1" w:lastColumn="0" w:noHBand="0" w:noVBand="1"/>
      </w:tblPr>
      <w:tblGrid>
        <w:gridCol w:w="1165"/>
        <w:gridCol w:w="2171"/>
        <w:gridCol w:w="1581"/>
        <w:gridCol w:w="3497"/>
      </w:tblGrid>
      <w:tr w:rsidR="00601860" w:rsidRPr="00601860" w:rsidTr="00256DD9">
        <w:tc>
          <w:tcPr>
            <w:tcW w:w="0" w:type="auto"/>
            <w:hideMark/>
          </w:tcPr>
          <w:p w:rsidR="00601860" w:rsidRPr="00601860" w:rsidRDefault="00601860" w:rsidP="00601860">
            <w:pPr>
              <w:jc w:val="center"/>
              <w:rPr>
                <w:rFonts w:asciiTheme="minorHAnsi" w:hAnsiTheme="minorHAnsi" w:cstheme="minorHAnsi"/>
                <w:b/>
                <w:bCs/>
              </w:rPr>
            </w:pPr>
            <w:r w:rsidRPr="00601860">
              <w:rPr>
                <w:rFonts w:asciiTheme="minorHAnsi" w:hAnsiTheme="minorHAnsi" w:cstheme="minorHAnsi"/>
                <w:b/>
                <w:bCs/>
              </w:rPr>
              <w:t>Technique</w:t>
            </w:r>
          </w:p>
        </w:tc>
        <w:tc>
          <w:tcPr>
            <w:tcW w:w="0" w:type="auto"/>
            <w:hideMark/>
          </w:tcPr>
          <w:p w:rsidR="00601860" w:rsidRPr="00601860" w:rsidRDefault="00601860" w:rsidP="00601860">
            <w:pPr>
              <w:jc w:val="center"/>
              <w:rPr>
                <w:rFonts w:asciiTheme="minorHAnsi" w:hAnsiTheme="minorHAnsi" w:cstheme="minorHAnsi"/>
                <w:b/>
                <w:bCs/>
              </w:rPr>
            </w:pPr>
            <w:r w:rsidRPr="00601860">
              <w:rPr>
                <w:rFonts w:asciiTheme="minorHAnsi" w:hAnsiTheme="minorHAnsi" w:cstheme="minorHAnsi"/>
                <w:b/>
                <w:bCs/>
              </w:rPr>
              <w:t>Time Value of Money</w:t>
            </w:r>
          </w:p>
        </w:tc>
        <w:tc>
          <w:tcPr>
            <w:tcW w:w="0" w:type="auto"/>
            <w:hideMark/>
          </w:tcPr>
          <w:p w:rsidR="00601860" w:rsidRPr="00601860" w:rsidRDefault="00601860" w:rsidP="00601860">
            <w:pPr>
              <w:jc w:val="center"/>
              <w:rPr>
                <w:rFonts w:asciiTheme="minorHAnsi" w:hAnsiTheme="minorHAnsi" w:cstheme="minorHAnsi"/>
                <w:b/>
                <w:bCs/>
              </w:rPr>
            </w:pPr>
            <w:r w:rsidRPr="00601860">
              <w:rPr>
                <w:rFonts w:asciiTheme="minorHAnsi" w:hAnsiTheme="minorHAnsi" w:cstheme="minorHAnsi"/>
                <w:b/>
                <w:bCs/>
              </w:rPr>
              <w:t>Risk Sensitivity</w:t>
            </w:r>
          </w:p>
        </w:tc>
        <w:tc>
          <w:tcPr>
            <w:tcW w:w="0" w:type="auto"/>
            <w:hideMark/>
          </w:tcPr>
          <w:p w:rsidR="00601860" w:rsidRPr="00601860" w:rsidRDefault="00601860" w:rsidP="00601860">
            <w:pPr>
              <w:jc w:val="center"/>
              <w:rPr>
                <w:rFonts w:asciiTheme="minorHAnsi" w:hAnsiTheme="minorHAnsi" w:cstheme="minorHAnsi"/>
                <w:b/>
                <w:bCs/>
              </w:rPr>
            </w:pPr>
            <w:r w:rsidRPr="00601860">
              <w:rPr>
                <w:rFonts w:asciiTheme="minorHAnsi" w:hAnsiTheme="minorHAnsi" w:cstheme="minorHAnsi"/>
                <w:b/>
                <w:bCs/>
              </w:rPr>
              <w:t>Contribution to Value Maximization</w:t>
            </w:r>
          </w:p>
        </w:tc>
      </w:tr>
      <w:tr w:rsidR="00601860" w:rsidRPr="00601860" w:rsidTr="00256DD9">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PBP</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No</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Low</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Indirect</w:t>
            </w:r>
          </w:p>
        </w:tc>
      </w:tr>
      <w:tr w:rsidR="00601860" w:rsidRPr="00601860" w:rsidTr="00256DD9">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DPBP</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Yes</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Moderate</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Limited</w:t>
            </w:r>
          </w:p>
        </w:tc>
      </w:tr>
      <w:tr w:rsidR="00601860" w:rsidRPr="00601860" w:rsidTr="00256DD9">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NPV</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Yes</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High</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Direct</w:t>
            </w:r>
          </w:p>
        </w:tc>
      </w:tr>
      <w:tr w:rsidR="00601860" w:rsidRPr="00601860" w:rsidTr="00256DD9">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PI</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Yes</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High</w:t>
            </w:r>
          </w:p>
        </w:tc>
        <w:tc>
          <w:tcPr>
            <w:tcW w:w="0" w:type="auto"/>
            <w:hideMark/>
          </w:tcPr>
          <w:p w:rsidR="00601860" w:rsidRPr="00601860" w:rsidRDefault="00601860" w:rsidP="00601860">
            <w:pPr>
              <w:rPr>
                <w:rFonts w:asciiTheme="minorHAnsi" w:hAnsiTheme="minorHAnsi" w:cstheme="minorHAnsi"/>
              </w:rPr>
            </w:pPr>
            <w:r w:rsidRPr="00601860">
              <w:rPr>
                <w:rFonts w:asciiTheme="minorHAnsi" w:hAnsiTheme="minorHAnsi" w:cstheme="minorHAnsi"/>
              </w:rPr>
              <w:t>Strong (under capital constraints)</w:t>
            </w:r>
          </w:p>
        </w:tc>
      </w:tr>
    </w:tbl>
    <w:p w:rsidR="00601860" w:rsidRPr="00601860" w:rsidRDefault="00601860" w:rsidP="00601860">
      <w:pPr>
        <w:rPr>
          <w:rFonts w:asciiTheme="minorHAnsi" w:hAnsiTheme="minorHAnsi" w:cstheme="minorHAnsi"/>
        </w:rPr>
      </w:pPr>
    </w:p>
    <w:p w:rsidR="00601860" w:rsidRPr="00256DD9" w:rsidRDefault="00601860" w:rsidP="00601860">
      <w:pPr>
        <w:pStyle w:val="Heading2"/>
        <w:spacing w:before="0"/>
        <w:rPr>
          <w:rFonts w:asciiTheme="minorHAnsi" w:hAnsiTheme="minorHAnsi" w:cstheme="minorHAnsi"/>
          <w:b/>
          <w:bCs/>
          <w:color w:val="auto"/>
          <w:sz w:val="22"/>
          <w:szCs w:val="22"/>
        </w:rPr>
      </w:pPr>
      <w:r w:rsidRPr="00256DD9">
        <w:rPr>
          <w:rFonts w:asciiTheme="minorHAnsi" w:hAnsiTheme="minorHAnsi" w:cstheme="minorHAnsi"/>
          <w:b/>
          <w:bCs/>
          <w:color w:val="auto"/>
          <w:sz w:val="22"/>
          <w:szCs w:val="22"/>
        </w:rPr>
        <w:t>Conclusion</w:t>
      </w:r>
    </w:p>
    <w:p w:rsidR="00601860" w:rsidRPr="00601860" w:rsidRDefault="00601860" w:rsidP="00601860">
      <w:pPr>
        <w:pStyle w:val="NormalWeb"/>
        <w:spacing w:before="0" w:beforeAutospacing="0" w:after="0" w:afterAutospacing="0"/>
        <w:rPr>
          <w:rFonts w:asciiTheme="minorHAnsi" w:hAnsiTheme="minorHAnsi" w:cstheme="minorHAnsi"/>
          <w:sz w:val="22"/>
          <w:szCs w:val="22"/>
        </w:rPr>
      </w:pPr>
      <w:r w:rsidRPr="00601860">
        <w:rPr>
          <w:rFonts w:asciiTheme="minorHAnsi" w:hAnsiTheme="minorHAnsi" w:cstheme="minorHAnsi"/>
          <w:sz w:val="22"/>
          <w:szCs w:val="22"/>
        </w:rPr>
        <w:t>Capital budgeting decisions have long-term consequences for organizational growth, financial stability, and shareholder wealth.</w:t>
      </w:r>
    </w:p>
    <w:p w:rsidR="00601860" w:rsidRPr="00601860" w:rsidRDefault="00601860" w:rsidP="00601860">
      <w:pPr>
        <w:pStyle w:val="NormalWeb"/>
        <w:numPr>
          <w:ilvl w:val="0"/>
          <w:numId w:val="12"/>
        </w:numPr>
        <w:spacing w:before="0" w:beforeAutospacing="0" w:after="0" w:afterAutospacing="0"/>
        <w:rPr>
          <w:rFonts w:asciiTheme="minorHAnsi" w:hAnsiTheme="minorHAnsi" w:cstheme="minorHAnsi"/>
          <w:sz w:val="22"/>
          <w:szCs w:val="22"/>
        </w:rPr>
      </w:pPr>
      <w:r w:rsidRPr="00601860">
        <w:rPr>
          <w:rStyle w:val="Strong"/>
          <w:rFonts w:asciiTheme="minorHAnsi" w:eastAsia="Arial MT" w:hAnsiTheme="minorHAnsi" w:cstheme="minorHAnsi"/>
          <w:sz w:val="22"/>
          <w:szCs w:val="22"/>
        </w:rPr>
        <w:t>Payback Period and Discounted Payback Period</w:t>
      </w:r>
      <w:r w:rsidRPr="00601860">
        <w:rPr>
          <w:rFonts w:asciiTheme="minorHAnsi" w:hAnsiTheme="minorHAnsi" w:cstheme="minorHAnsi"/>
          <w:sz w:val="22"/>
          <w:szCs w:val="22"/>
        </w:rPr>
        <w:t xml:space="preserve"> are valuable for assessing liquidity and early risk exposure.</w:t>
      </w:r>
    </w:p>
    <w:p w:rsidR="00601860" w:rsidRPr="00601860" w:rsidRDefault="00601860" w:rsidP="00601860">
      <w:pPr>
        <w:pStyle w:val="NormalWeb"/>
        <w:numPr>
          <w:ilvl w:val="0"/>
          <w:numId w:val="12"/>
        </w:numPr>
        <w:spacing w:before="0" w:beforeAutospacing="0" w:after="0" w:afterAutospacing="0"/>
        <w:rPr>
          <w:rFonts w:asciiTheme="minorHAnsi" w:hAnsiTheme="minorHAnsi" w:cstheme="minorHAnsi"/>
          <w:sz w:val="22"/>
          <w:szCs w:val="22"/>
        </w:rPr>
      </w:pPr>
      <w:r w:rsidRPr="00601860">
        <w:rPr>
          <w:rStyle w:val="Strong"/>
          <w:rFonts w:asciiTheme="minorHAnsi" w:eastAsia="Arial MT" w:hAnsiTheme="minorHAnsi" w:cstheme="minorHAnsi"/>
          <w:sz w:val="22"/>
          <w:szCs w:val="22"/>
        </w:rPr>
        <w:t>Net Present Value</w:t>
      </w:r>
      <w:r w:rsidRPr="00601860">
        <w:rPr>
          <w:rFonts w:asciiTheme="minorHAnsi" w:hAnsiTheme="minorHAnsi" w:cstheme="minorHAnsi"/>
          <w:sz w:val="22"/>
          <w:szCs w:val="22"/>
        </w:rPr>
        <w:t xml:space="preserve"> remains the most reliable technique for evaluating strategic investments and maximizing firm value.</w:t>
      </w:r>
    </w:p>
    <w:p w:rsidR="00601860" w:rsidRPr="00601860" w:rsidRDefault="00601860" w:rsidP="00601860">
      <w:pPr>
        <w:pStyle w:val="NormalWeb"/>
        <w:numPr>
          <w:ilvl w:val="0"/>
          <w:numId w:val="12"/>
        </w:numPr>
        <w:spacing w:before="0" w:beforeAutospacing="0" w:after="0" w:afterAutospacing="0"/>
        <w:rPr>
          <w:rFonts w:asciiTheme="minorHAnsi" w:hAnsiTheme="minorHAnsi" w:cstheme="minorHAnsi"/>
          <w:sz w:val="22"/>
          <w:szCs w:val="22"/>
        </w:rPr>
      </w:pPr>
      <w:r w:rsidRPr="00601860">
        <w:rPr>
          <w:rStyle w:val="Strong"/>
          <w:rFonts w:asciiTheme="minorHAnsi" w:eastAsia="Arial MT" w:hAnsiTheme="minorHAnsi" w:cstheme="minorHAnsi"/>
          <w:sz w:val="22"/>
          <w:szCs w:val="22"/>
        </w:rPr>
        <w:t>Profitability Index</w:t>
      </w:r>
      <w:r w:rsidRPr="00601860">
        <w:rPr>
          <w:rFonts w:asciiTheme="minorHAnsi" w:hAnsiTheme="minorHAnsi" w:cstheme="minorHAnsi"/>
          <w:sz w:val="22"/>
          <w:szCs w:val="22"/>
        </w:rPr>
        <w:t xml:space="preserve"> is essential when capital resources are limited and project prioritization is required.</w:t>
      </w:r>
    </w:p>
    <w:p w:rsidR="00601860" w:rsidRPr="00601860" w:rsidRDefault="00601860" w:rsidP="00601860">
      <w:pPr>
        <w:pStyle w:val="NormalWeb"/>
        <w:spacing w:before="0" w:beforeAutospacing="0" w:after="0" w:afterAutospacing="0"/>
        <w:rPr>
          <w:rFonts w:asciiTheme="minorHAnsi" w:hAnsiTheme="minorHAnsi" w:cstheme="minorHAnsi"/>
          <w:sz w:val="22"/>
          <w:szCs w:val="22"/>
        </w:rPr>
      </w:pPr>
      <w:r w:rsidRPr="00601860">
        <w:rPr>
          <w:rFonts w:asciiTheme="minorHAnsi" w:hAnsiTheme="minorHAnsi" w:cstheme="minorHAnsi"/>
          <w:sz w:val="22"/>
          <w:szCs w:val="22"/>
        </w:rPr>
        <w:t xml:space="preserve">A comprehensive managerial approach involves integrating these techniques to balance </w:t>
      </w:r>
      <w:r w:rsidRPr="00601860">
        <w:rPr>
          <w:rStyle w:val="Strong"/>
          <w:rFonts w:asciiTheme="minorHAnsi" w:eastAsia="Arial MT" w:hAnsiTheme="minorHAnsi" w:cstheme="minorHAnsi"/>
          <w:sz w:val="22"/>
          <w:szCs w:val="22"/>
        </w:rPr>
        <w:t>risk management, efficient capital allocation, and long-term value creation</w:t>
      </w:r>
      <w:r w:rsidRPr="00601860">
        <w:rPr>
          <w:rFonts w:asciiTheme="minorHAnsi" w:hAnsiTheme="minorHAnsi" w:cstheme="minorHAnsi"/>
          <w:sz w:val="22"/>
          <w:szCs w:val="22"/>
        </w:rPr>
        <w:t>.</w:t>
      </w:r>
    </w:p>
    <w:p w:rsidR="00D767AC" w:rsidRPr="00601860" w:rsidRDefault="00D767AC" w:rsidP="00D767AC">
      <w:pPr>
        <w:rPr>
          <w:rFonts w:asciiTheme="minorHAnsi" w:hAnsiTheme="minorHAnsi" w:cstheme="minorHAnsi"/>
        </w:rPr>
      </w:pPr>
      <w:bookmarkStart w:id="0" w:name="_GoBack"/>
      <w:bookmarkEnd w:id="0"/>
    </w:p>
    <w:sectPr w:rsidR="00D767AC" w:rsidRPr="00601860" w:rsidSect="00402303">
      <w:pgSz w:w="12240" w:h="15840"/>
      <w:pgMar w:top="72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6D25"/>
    <w:multiLevelType w:val="multilevel"/>
    <w:tmpl w:val="C09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188A"/>
    <w:multiLevelType w:val="multilevel"/>
    <w:tmpl w:val="20E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2C0B"/>
    <w:multiLevelType w:val="multilevel"/>
    <w:tmpl w:val="E04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C2C32"/>
    <w:multiLevelType w:val="hybridMultilevel"/>
    <w:tmpl w:val="5D3E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86936"/>
    <w:multiLevelType w:val="multilevel"/>
    <w:tmpl w:val="056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814DC"/>
    <w:multiLevelType w:val="multilevel"/>
    <w:tmpl w:val="FB8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A2A"/>
    <w:multiLevelType w:val="multilevel"/>
    <w:tmpl w:val="8D0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078E3"/>
    <w:multiLevelType w:val="multilevel"/>
    <w:tmpl w:val="B98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F78F3"/>
    <w:multiLevelType w:val="multilevel"/>
    <w:tmpl w:val="9F6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65A52"/>
    <w:multiLevelType w:val="multilevel"/>
    <w:tmpl w:val="677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674E7"/>
    <w:multiLevelType w:val="multilevel"/>
    <w:tmpl w:val="47C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177B2"/>
    <w:multiLevelType w:val="multilevel"/>
    <w:tmpl w:val="600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801D9"/>
    <w:multiLevelType w:val="multilevel"/>
    <w:tmpl w:val="193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C0B1F"/>
    <w:multiLevelType w:val="multilevel"/>
    <w:tmpl w:val="C2A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4"/>
  </w:num>
  <w:num w:numId="5">
    <w:abstractNumId w:val="5"/>
  </w:num>
  <w:num w:numId="6">
    <w:abstractNumId w:val="11"/>
  </w:num>
  <w:num w:numId="7">
    <w:abstractNumId w:val="1"/>
  </w:num>
  <w:num w:numId="8">
    <w:abstractNumId w:val="13"/>
  </w:num>
  <w:num w:numId="9">
    <w:abstractNumId w:val="8"/>
  </w:num>
  <w:num w:numId="10">
    <w:abstractNumId w:val="7"/>
  </w:num>
  <w:num w:numId="11">
    <w:abstractNumId w:val="6"/>
  </w:num>
  <w:num w:numId="12">
    <w:abstractNumId w:val="9"/>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AC"/>
    <w:rsid w:val="00256DD9"/>
    <w:rsid w:val="00402303"/>
    <w:rsid w:val="00601860"/>
    <w:rsid w:val="00D767AC"/>
    <w:rsid w:val="00E139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0A52"/>
  <w15:chartTrackingRefBased/>
  <w15:docId w15:val="{5D38635A-F6A9-4798-9051-D53FD6C35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7A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D767AC"/>
    <w:pPr>
      <w:ind w:left="332" w:right="332"/>
      <w:jc w:val="center"/>
      <w:outlineLvl w:val="0"/>
    </w:pPr>
    <w:rPr>
      <w:rFonts w:ascii="Arial MT" w:eastAsia="Arial MT" w:hAnsi="Arial MT" w:cs="Arial MT"/>
      <w:sz w:val="48"/>
      <w:szCs w:val="48"/>
      <w:u w:val="single" w:color="000000"/>
    </w:rPr>
  </w:style>
  <w:style w:type="paragraph" w:styleId="Heading2">
    <w:name w:val="heading 2"/>
    <w:basedOn w:val="Normal"/>
    <w:next w:val="Normal"/>
    <w:link w:val="Heading2Char"/>
    <w:uiPriority w:val="9"/>
    <w:semiHidden/>
    <w:unhideWhenUsed/>
    <w:qFormat/>
    <w:rsid w:val="0060186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67A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767A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767AC"/>
    <w:rPr>
      <w:sz w:val="28"/>
      <w:szCs w:val="28"/>
    </w:rPr>
  </w:style>
  <w:style w:type="character" w:customStyle="1" w:styleId="BodyTextChar">
    <w:name w:val="Body Text Char"/>
    <w:basedOn w:val="DefaultParagraphFont"/>
    <w:link w:val="BodyText"/>
    <w:uiPriority w:val="1"/>
    <w:rsid w:val="00D767AC"/>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D767AC"/>
    <w:rPr>
      <w:rFonts w:ascii="Arial MT" w:eastAsia="Arial MT" w:hAnsi="Arial MT" w:cs="Arial MT"/>
      <w:sz w:val="48"/>
      <w:szCs w:val="48"/>
      <w:u w:val="single" w:color="000000"/>
    </w:rPr>
  </w:style>
  <w:style w:type="character" w:customStyle="1" w:styleId="Heading3Char">
    <w:name w:val="Heading 3 Char"/>
    <w:basedOn w:val="DefaultParagraphFont"/>
    <w:link w:val="Heading3"/>
    <w:uiPriority w:val="9"/>
    <w:semiHidden/>
    <w:rsid w:val="00D767A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767A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A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767AC"/>
    <w:rPr>
      <w:b/>
      <w:bCs/>
    </w:rPr>
  </w:style>
  <w:style w:type="character" w:styleId="Emphasis">
    <w:name w:val="Emphasis"/>
    <w:basedOn w:val="DefaultParagraphFont"/>
    <w:uiPriority w:val="20"/>
    <w:qFormat/>
    <w:rsid w:val="00D767AC"/>
    <w:rPr>
      <w:i/>
      <w:iCs/>
    </w:rPr>
  </w:style>
  <w:style w:type="table" w:styleId="TableGrid">
    <w:name w:val="Table Grid"/>
    <w:basedOn w:val="TableNormal"/>
    <w:uiPriority w:val="39"/>
    <w:rsid w:val="00D76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0186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38931">
      <w:bodyDiv w:val="1"/>
      <w:marLeft w:val="0"/>
      <w:marRight w:val="0"/>
      <w:marTop w:val="0"/>
      <w:marBottom w:val="0"/>
      <w:divBdr>
        <w:top w:val="none" w:sz="0" w:space="0" w:color="auto"/>
        <w:left w:val="none" w:sz="0" w:space="0" w:color="auto"/>
        <w:bottom w:val="none" w:sz="0" w:space="0" w:color="auto"/>
        <w:right w:val="none" w:sz="0" w:space="0" w:color="auto"/>
      </w:divBdr>
      <w:divsChild>
        <w:div w:id="12211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16647">
      <w:bodyDiv w:val="1"/>
      <w:marLeft w:val="0"/>
      <w:marRight w:val="0"/>
      <w:marTop w:val="0"/>
      <w:marBottom w:val="0"/>
      <w:divBdr>
        <w:top w:val="none" w:sz="0" w:space="0" w:color="auto"/>
        <w:left w:val="none" w:sz="0" w:space="0" w:color="auto"/>
        <w:bottom w:val="none" w:sz="0" w:space="0" w:color="auto"/>
        <w:right w:val="none" w:sz="0" w:space="0" w:color="auto"/>
      </w:divBdr>
      <w:divsChild>
        <w:div w:id="547375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159299">
      <w:bodyDiv w:val="1"/>
      <w:marLeft w:val="0"/>
      <w:marRight w:val="0"/>
      <w:marTop w:val="0"/>
      <w:marBottom w:val="0"/>
      <w:divBdr>
        <w:top w:val="none" w:sz="0" w:space="0" w:color="auto"/>
        <w:left w:val="none" w:sz="0" w:space="0" w:color="auto"/>
        <w:bottom w:val="none" w:sz="0" w:space="0" w:color="auto"/>
        <w:right w:val="none" w:sz="0" w:space="0" w:color="auto"/>
      </w:divBdr>
    </w:div>
    <w:div w:id="133361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dcterms:created xsi:type="dcterms:W3CDTF">2026-01-21T06:37:00Z</dcterms:created>
  <dcterms:modified xsi:type="dcterms:W3CDTF">2026-01-21T06:37:00Z</dcterms:modified>
</cp:coreProperties>
</file>