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26" w:rsidRPr="00B240DA" w:rsidRDefault="00B240DA" w:rsidP="00B240DA">
      <w:pPr>
        <w:jc w:val="both"/>
        <w:rPr>
          <w:rFonts w:cstheme="minorHAnsi"/>
        </w:rPr>
      </w:pPr>
      <w:r w:rsidRPr="00B240DA">
        <w:rPr>
          <w:rFonts w:cstheme="minorHAnsi"/>
        </w:rPr>
        <w:t>Chers collègues,</w:t>
      </w:r>
    </w:p>
    <w:p w:rsidR="00BE3931" w:rsidRDefault="00321967" w:rsidP="00B240DA">
      <w:pPr>
        <w:jc w:val="both"/>
      </w:pPr>
      <w:r>
        <w:rPr>
          <w:rFonts w:cstheme="minorHAnsi"/>
        </w:rPr>
        <w:t xml:space="preserve">Vous avez </w:t>
      </w:r>
      <w:r w:rsidR="00B240DA" w:rsidRPr="00B240DA">
        <w:rPr>
          <w:rFonts w:cstheme="minorHAnsi"/>
        </w:rPr>
        <w:t xml:space="preserve">mis en place </w:t>
      </w:r>
      <w:r>
        <w:rPr>
          <w:rFonts w:cstheme="minorHAnsi"/>
        </w:rPr>
        <w:t>une</w:t>
      </w:r>
      <w:r w:rsidR="00B240DA" w:rsidRPr="00B240DA">
        <w:rPr>
          <w:rFonts w:cstheme="minorHAnsi"/>
        </w:rPr>
        <w:t xml:space="preserve"> base de données d’images</w:t>
      </w:r>
      <w:r w:rsidR="00B240DA">
        <w:rPr>
          <w:rFonts w:cstheme="minorHAnsi"/>
        </w:rPr>
        <w:t xml:space="preserve"> </w:t>
      </w:r>
      <w:r w:rsidR="00713BA0">
        <w:rPr>
          <w:rFonts w:cstheme="minorHAnsi"/>
        </w:rPr>
        <w:t xml:space="preserve">dans votre structure </w:t>
      </w:r>
      <w:r>
        <w:rPr>
          <w:rFonts w:cstheme="minorHAnsi"/>
        </w:rPr>
        <w:t xml:space="preserve">en ayant conscience que cela </w:t>
      </w:r>
      <w:r w:rsidR="00B240DA">
        <w:rPr>
          <w:rFonts w:cstheme="minorHAnsi"/>
        </w:rPr>
        <w:t xml:space="preserve">permet d’augmenter la traçabilité des </w:t>
      </w:r>
      <w:r>
        <w:rPr>
          <w:rFonts w:cstheme="minorHAnsi"/>
        </w:rPr>
        <w:t xml:space="preserve">données de la recherche </w:t>
      </w:r>
      <w:r w:rsidR="00713BA0">
        <w:rPr>
          <w:rFonts w:cstheme="minorHAnsi"/>
        </w:rPr>
        <w:t xml:space="preserve">en </w:t>
      </w:r>
      <w:r>
        <w:rPr>
          <w:rFonts w:cstheme="minorHAnsi"/>
        </w:rPr>
        <w:t>répond</w:t>
      </w:r>
      <w:r w:rsidR="00713BA0">
        <w:rPr>
          <w:rFonts w:cstheme="minorHAnsi"/>
        </w:rPr>
        <w:t>ant</w:t>
      </w:r>
      <w:r>
        <w:rPr>
          <w:rFonts w:cstheme="minorHAnsi"/>
        </w:rPr>
        <w:t xml:space="preserve"> de f</w:t>
      </w:r>
      <w:r w:rsidR="00713BA0">
        <w:rPr>
          <w:rFonts w:cstheme="minorHAnsi"/>
        </w:rPr>
        <w:t>açon implicite</w:t>
      </w:r>
      <w:r>
        <w:rPr>
          <w:rFonts w:cstheme="minorHAnsi"/>
        </w:rPr>
        <w:t xml:space="preserve"> au concept FAIR </w:t>
      </w:r>
      <w:r>
        <w:t>(</w:t>
      </w:r>
      <w:hyperlink r:id="rId4" w:history="1">
        <w:r>
          <w:rPr>
            <w:rStyle w:val="Lienhypertexte"/>
          </w:rPr>
          <w:t>https://www.go-fair.org/fair-principles/</w:t>
        </w:r>
      </w:hyperlink>
      <w:r>
        <w:t>), soit « Facile à découvrir, Accessible, Interopérable, Réutilisable », qui est l’un des piliers de la science ouverte</w:t>
      </w:r>
      <w:r>
        <w:t>.</w:t>
      </w:r>
      <w:r>
        <w:rPr>
          <w:rFonts w:cstheme="minorHAnsi"/>
        </w:rPr>
        <w:t xml:space="preserve"> </w:t>
      </w:r>
      <w:r w:rsidR="00B240DA">
        <w:rPr>
          <w:rFonts w:cstheme="minorHAnsi"/>
        </w:rPr>
        <w:t>La mise</w:t>
      </w:r>
      <w:r w:rsidR="00B240DA" w:rsidRPr="00B240DA">
        <w:rPr>
          <w:rFonts w:cstheme="minorHAnsi"/>
        </w:rPr>
        <w:t xml:space="preserve"> en place de </w:t>
      </w:r>
      <w:r w:rsidR="00B240DA">
        <w:rPr>
          <w:rFonts w:cstheme="minorHAnsi"/>
        </w:rPr>
        <w:t>P</w:t>
      </w:r>
      <w:r w:rsidR="00B240DA" w:rsidRPr="00B240DA">
        <w:rPr>
          <w:rFonts w:cstheme="minorHAnsi"/>
        </w:rPr>
        <w:t>lan</w:t>
      </w:r>
      <w:r w:rsidR="00B240DA">
        <w:rPr>
          <w:rFonts w:cstheme="minorHAnsi"/>
        </w:rPr>
        <w:t>s</w:t>
      </w:r>
      <w:r w:rsidR="00B240DA" w:rsidRPr="00B240DA">
        <w:rPr>
          <w:rFonts w:cstheme="minorHAnsi"/>
        </w:rPr>
        <w:t xml:space="preserve"> de </w:t>
      </w:r>
      <w:r w:rsidR="00B240DA">
        <w:rPr>
          <w:rFonts w:cstheme="minorHAnsi"/>
        </w:rPr>
        <w:t>G</w:t>
      </w:r>
      <w:r w:rsidR="00B240DA" w:rsidRPr="00B240DA">
        <w:rPr>
          <w:rFonts w:cstheme="minorHAnsi"/>
        </w:rPr>
        <w:t xml:space="preserve">estion de </w:t>
      </w:r>
      <w:r w:rsidR="00B240DA">
        <w:rPr>
          <w:rFonts w:cstheme="minorHAnsi"/>
        </w:rPr>
        <w:t>D</w:t>
      </w:r>
      <w:r w:rsidR="00B240DA" w:rsidRPr="00B240DA">
        <w:rPr>
          <w:rFonts w:cstheme="minorHAnsi"/>
        </w:rPr>
        <w:t xml:space="preserve">onnées </w:t>
      </w:r>
      <w:r>
        <w:rPr>
          <w:rFonts w:cstheme="minorHAnsi"/>
        </w:rPr>
        <w:t>associés</w:t>
      </w:r>
      <w:r w:rsidR="00B240DA">
        <w:rPr>
          <w:rFonts w:cstheme="minorHAnsi"/>
        </w:rPr>
        <w:t xml:space="preserve"> </w:t>
      </w:r>
      <w:r>
        <w:rPr>
          <w:rFonts w:cstheme="minorHAnsi"/>
        </w:rPr>
        <w:t xml:space="preserve">(PGD de structure) </w:t>
      </w:r>
      <w:r w:rsidR="00713BA0">
        <w:rPr>
          <w:rFonts w:cstheme="minorHAnsi"/>
        </w:rPr>
        <w:t xml:space="preserve">est la </w:t>
      </w:r>
      <w:r w:rsidR="00B240DA">
        <w:rPr>
          <w:rFonts w:cstheme="minorHAnsi"/>
        </w:rPr>
        <w:t>formalis</w:t>
      </w:r>
      <w:r w:rsidR="00713BA0">
        <w:rPr>
          <w:rFonts w:cstheme="minorHAnsi"/>
        </w:rPr>
        <w:t>a</w:t>
      </w:r>
      <w:r w:rsidR="00B240DA">
        <w:rPr>
          <w:rFonts w:cstheme="minorHAnsi"/>
        </w:rPr>
        <w:t>t</w:t>
      </w:r>
      <w:r w:rsidR="00713BA0">
        <w:rPr>
          <w:rFonts w:cstheme="minorHAnsi"/>
        </w:rPr>
        <w:t>ion</w:t>
      </w:r>
      <w:r w:rsidR="00B240DA">
        <w:rPr>
          <w:rFonts w:cstheme="minorHAnsi"/>
        </w:rPr>
        <w:t xml:space="preserve"> </w:t>
      </w:r>
      <w:r w:rsidR="00713BA0">
        <w:rPr>
          <w:rFonts w:cstheme="minorHAnsi"/>
        </w:rPr>
        <w:t xml:space="preserve">du </w:t>
      </w:r>
      <w:r w:rsidR="00B240DA">
        <w:rPr>
          <w:rFonts w:cstheme="minorHAnsi"/>
        </w:rPr>
        <w:t>processus de</w:t>
      </w:r>
      <w:r>
        <w:rPr>
          <w:rFonts w:cstheme="minorHAnsi"/>
        </w:rPr>
        <w:t xml:space="preserve"> gestion de </w:t>
      </w:r>
      <w:r w:rsidR="00713BA0">
        <w:rPr>
          <w:rFonts w:cstheme="minorHAnsi"/>
        </w:rPr>
        <w:t>votre base</w:t>
      </w:r>
      <w:r>
        <w:rPr>
          <w:rFonts w:cstheme="minorHAnsi"/>
        </w:rPr>
        <w:t xml:space="preserve"> de données</w:t>
      </w:r>
      <w:r w:rsidR="00BE3931">
        <w:rPr>
          <w:rFonts w:cstheme="minorHAnsi"/>
        </w:rPr>
        <w:t xml:space="preserve"> décrivant les moyens </w:t>
      </w:r>
      <w:r>
        <w:t>permettant ainsi de les rendre ainsi visibles, accessibles, et réutilisab</w:t>
      </w:r>
      <w:r>
        <w:t xml:space="preserve">les quel que </w:t>
      </w:r>
      <w:r w:rsidR="00BE3931">
        <w:t>soit le demandeur.</w:t>
      </w:r>
    </w:p>
    <w:p w:rsidR="00713BA0" w:rsidRDefault="00713BA0" w:rsidP="00B240DA">
      <w:pPr>
        <w:jc w:val="both"/>
      </w:pPr>
      <w:r>
        <w:t xml:space="preserve">Dans le but de vous faciliter la moisson de ces informations, </w:t>
      </w:r>
      <w:r w:rsidR="00321967">
        <w:t>u</w:t>
      </w:r>
      <w:r>
        <w:t>n</w:t>
      </w:r>
      <w:r w:rsidR="00321967">
        <w:t xml:space="preserve"> projet de « PGD structure </w:t>
      </w:r>
      <w:proofErr w:type="spellStart"/>
      <w:r w:rsidR="00321967">
        <w:t>bioimagerie</w:t>
      </w:r>
      <w:proofErr w:type="spellEnd"/>
      <w:r w:rsidR="00321967">
        <w:t xml:space="preserve"> », porté par et réalisé conjointement avec les Infrastructure Nationale en Biologie Santé (INBS) « France-</w:t>
      </w:r>
      <w:proofErr w:type="spellStart"/>
      <w:r w:rsidR="00321967">
        <w:t>BioImaging</w:t>
      </w:r>
      <w:proofErr w:type="spellEnd"/>
      <w:r w:rsidR="00321967">
        <w:t xml:space="preserve"> » (FBI), « Institut Français de </w:t>
      </w:r>
      <w:proofErr w:type="spellStart"/>
      <w:r w:rsidR="00321967">
        <w:t>Bioinformatique</w:t>
      </w:r>
      <w:proofErr w:type="spellEnd"/>
      <w:r w:rsidR="00321967">
        <w:t xml:space="preserve"> » (IFB), et « Centre National De Ressources Biologiques Marines » (EMBRC-France)</w:t>
      </w:r>
      <w:r>
        <w:t xml:space="preserve"> est en cours d’élaboration.</w:t>
      </w:r>
    </w:p>
    <w:p w:rsidR="00321967" w:rsidRDefault="00321967" w:rsidP="00B240DA">
      <w:pPr>
        <w:jc w:val="both"/>
      </w:pPr>
      <w:r>
        <w:t>Cette architecture formera le tronc du PGD projet à destination des usagers de cette structure, permettant accessoirement que les champs idoines du PGD projet soient automatiquement renseignés par les informations déjà glanées en amont.</w:t>
      </w:r>
    </w:p>
    <w:p w:rsidR="0060096C" w:rsidRDefault="0060096C" w:rsidP="0060096C">
      <w:pPr>
        <w:jc w:val="both"/>
      </w:pPr>
      <w:r>
        <w:t xml:space="preserve">Nous vous proposons de tester </w:t>
      </w:r>
      <w:r>
        <w:t>et nous donner votre avis sur le</w:t>
      </w:r>
      <w:r>
        <w:t xml:space="preserve"> questionnaire générique </w:t>
      </w:r>
      <w:r>
        <w:t xml:space="preserve">élaboré, </w:t>
      </w:r>
      <w:r>
        <w:t xml:space="preserve">destiné à moissonner ces informations </w:t>
      </w:r>
      <w:r>
        <w:t>en entrée puis de générer des documents à façon en utilisant de « </w:t>
      </w:r>
      <w:proofErr w:type="spellStart"/>
      <w:r>
        <w:t>Templates</w:t>
      </w:r>
      <w:proofErr w:type="spellEnd"/>
      <w:r>
        <w:t> » d’extraction.</w:t>
      </w:r>
    </w:p>
    <w:p w:rsidR="0060096C" w:rsidRDefault="0060096C" w:rsidP="0060096C">
      <w:pPr>
        <w:jc w:val="both"/>
      </w:pPr>
      <w:r>
        <w:t xml:space="preserve">Vous pouvez avoir un aperçu </w:t>
      </w:r>
      <w:r w:rsidR="00DD6874">
        <w:t xml:space="preserve">complet du </w:t>
      </w:r>
      <w:r>
        <w:t>questionnaire</w:t>
      </w:r>
      <w:r w:rsidR="00DD6874">
        <w:t xml:space="preserve"> non éditable à cette adresse : </w:t>
      </w:r>
      <w:hyperlink r:id="rId5" w:history="1">
        <w:r w:rsidR="00DD6874" w:rsidRPr="00BF5470">
          <w:rPr>
            <w:rStyle w:val="Lienhypertexte"/>
          </w:rPr>
          <w:t>https://dsw.france-bioinformatique.fr/proj</w:t>
        </w:r>
        <w:r w:rsidR="00DD6874" w:rsidRPr="00BF5470">
          <w:rPr>
            <w:rStyle w:val="Lienhypertexte"/>
          </w:rPr>
          <w:t>e</w:t>
        </w:r>
        <w:r w:rsidR="00DD6874" w:rsidRPr="00BF5470">
          <w:rPr>
            <w:rStyle w:val="Lienhypertexte"/>
          </w:rPr>
          <w:t>cts/c59841dd-ca42-49fe-90da-6412cf9dd3bf</w:t>
        </w:r>
      </w:hyperlink>
    </w:p>
    <w:p w:rsidR="00FF3B77" w:rsidRDefault="00FF3B77" w:rsidP="0060096C">
      <w:pPr>
        <w:jc w:val="both"/>
      </w:pPr>
    </w:p>
    <w:p w:rsidR="001E45DD" w:rsidRDefault="00DD6874" w:rsidP="0060096C">
      <w:pPr>
        <w:jc w:val="both"/>
      </w:pPr>
      <w:r>
        <w:t xml:space="preserve">Nous souhaiterions que vous remplissiez /si vous souhaitez remplir un </w:t>
      </w:r>
      <w:r w:rsidR="001E45DD">
        <w:t xml:space="preserve">questionnaire </w:t>
      </w:r>
    </w:p>
    <w:p w:rsidR="00DD6874" w:rsidRDefault="00FF3B77" w:rsidP="0060096C">
      <w:pPr>
        <w:jc w:val="both"/>
      </w:pPr>
      <w:r>
        <w:t>Pour cela il fait</w:t>
      </w:r>
      <w:r w:rsidR="00DD6874">
        <w:t xml:space="preserve"> obtenir un </w:t>
      </w:r>
      <w:r>
        <w:t xml:space="preserve">accès : </w:t>
      </w:r>
      <w:r w:rsidR="00DD6874" w:rsidRPr="00DD6874">
        <w:drawing>
          <wp:inline distT="0" distB="0" distL="0" distR="0" wp14:anchorId="0A35CF39" wp14:editId="4AB84B3A">
            <wp:extent cx="1304925" cy="35997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31" cy="36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874">
        <w:t>.</w:t>
      </w:r>
    </w:p>
    <w:p w:rsidR="00DD6874" w:rsidRDefault="00FF3B77" w:rsidP="0060096C">
      <w:pPr>
        <w:jc w:val="both"/>
      </w:pPr>
      <w:r>
        <w:t>Une fois</w:t>
      </w:r>
      <w:r w:rsidR="00DD6874">
        <w:t xml:space="preserve"> êtes logué, vous avez accès à l’ensemble des fonctionnalités de </w:t>
      </w:r>
      <w:r w:rsidR="00967AD7">
        <w:t xml:space="preserve">l’outil </w:t>
      </w:r>
      <w:r w:rsidR="00DD6874">
        <w:t>DSW</w:t>
      </w:r>
      <w:r w:rsidR="00967AD7">
        <w:t xml:space="preserve"> (</w:t>
      </w:r>
      <w:r w:rsidR="00967AD7" w:rsidRPr="00967AD7">
        <w:t xml:space="preserve">Data </w:t>
      </w:r>
      <w:proofErr w:type="spellStart"/>
      <w:r w:rsidR="00967AD7" w:rsidRPr="00967AD7">
        <w:t>Stewardship</w:t>
      </w:r>
      <w:proofErr w:type="spellEnd"/>
      <w:r w:rsidR="00967AD7" w:rsidRPr="00967AD7">
        <w:t xml:space="preserve"> </w:t>
      </w:r>
      <w:proofErr w:type="spellStart"/>
      <w:r w:rsidR="00967AD7" w:rsidRPr="00967AD7">
        <w:t>Wizard</w:t>
      </w:r>
      <w:proofErr w:type="spellEnd"/>
      <w:r w:rsidR="00967AD7">
        <w:t>)</w:t>
      </w:r>
      <w:r w:rsidR="00DD6874">
        <w:t> :</w:t>
      </w:r>
    </w:p>
    <w:tbl>
      <w:tblPr>
        <w:tblStyle w:val="Grilledutableau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6"/>
        <w:gridCol w:w="5791"/>
      </w:tblGrid>
      <w:tr w:rsidR="0009047D" w:rsidTr="0009047D">
        <w:trPr>
          <w:trHeight w:val="566"/>
        </w:trPr>
        <w:tc>
          <w:tcPr>
            <w:tcW w:w="3041" w:type="dxa"/>
            <w:vMerge w:val="restart"/>
          </w:tcPr>
          <w:p w:rsidR="00967AD7" w:rsidRDefault="00967AD7" w:rsidP="0060096C">
            <w:pPr>
              <w:jc w:val="both"/>
            </w:pPr>
            <w:r w:rsidRPr="00DD6874">
              <w:drawing>
                <wp:inline distT="0" distB="0" distL="0" distR="0" wp14:anchorId="5C543498" wp14:editId="2572928C">
                  <wp:extent cx="1943100" cy="1629698"/>
                  <wp:effectExtent l="0" t="0" r="0" b="889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841" cy="167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shd w:val="clear" w:color="auto" w:fill="BDD6EE" w:themeFill="accent1" w:themeFillTint="66"/>
          </w:tcPr>
          <w:p w:rsidR="00967AD7" w:rsidRPr="0009047D" w:rsidRDefault="00967AD7" w:rsidP="00967AD7">
            <w:pPr>
              <w:jc w:val="both"/>
              <w:rPr>
                <w:rFonts w:ascii="Arial Narrow" w:hAnsi="Arial Narrow"/>
              </w:rPr>
            </w:pPr>
            <w:r w:rsidRPr="0009047D">
              <w:rPr>
                <w:rFonts w:ascii="Arial Narrow" w:hAnsi="Arial Narrow"/>
              </w:rPr>
              <w:t>Les « </w:t>
            </w:r>
            <w:proofErr w:type="spellStart"/>
            <w:r w:rsidRPr="0009047D">
              <w:rPr>
                <w:rFonts w:ascii="Arial Narrow" w:hAnsi="Arial Narrow"/>
              </w:rPr>
              <w:t>knowledge</w:t>
            </w:r>
            <w:proofErr w:type="spellEnd"/>
            <w:r w:rsidRPr="0009047D">
              <w:rPr>
                <w:rFonts w:ascii="Arial Narrow" w:hAnsi="Arial Narrow"/>
              </w:rPr>
              <w:t xml:space="preserve"> </w:t>
            </w:r>
            <w:proofErr w:type="spellStart"/>
            <w:r w:rsidRPr="0009047D">
              <w:rPr>
                <w:rFonts w:ascii="Arial Narrow" w:hAnsi="Arial Narrow"/>
              </w:rPr>
              <w:t>models</w:t>
            </w:r>
            <w:proofErr w:type="spellEnd"/>
            <w:r w:rsidRPr="0009047D">
              <w:rPr>
                <w:rFonts w:ascii="Arial Narrow" w:hAnsi="Arial Narrow"/>
              </w:rPr>
              <w:t xml:space="preserve"> » sont des formats </w:t>
            </w:r>
            <w:proofErr w:type="spellStart"/>
            <w:r w:rsidRPr="0009047D">
              <w:rPr>
                <w:rFonts w:ascii="Arial Narrow" w:hAnsi="Arial Narrow"/>
              </w:rPr>
              <w:t>pré-établis</w:t>
            </w:r>
            <w:proofErr w:type="spellEnd"/>
            <w:r w:rsidRPr="0009047D">
              <w:rPr>
                <w:rFonts w:ascii="Arial Narrow" w:hAnsi="Arial Narrow"/>
              </w:rPr>
              <w:t xml:space="preserve"> de questionnaires vides</w:t>
            </w:r>
          </w:p>
        </w:tc>
      </w:tr>
      <w:tr w:rsidR="0009047D" w:rsidTr="0009047D">
        <w:trPr>
          <w:trHeight w:val="561"/>
        </w:trPr>
        <w:tc>
          <w:tcPr>
            <w:tcW w:w="3041" w:type="dxa"/>
            <w:vMerge/>
          </w:tcPr>
          <w:p w:rsidR="00967AD7" w:rsidRDefault="00967AD7" w:rsidP="0060096C">
            <w:pPr>
              <w:jc w:val="both"/>
            </w:pPr>
          </w:p>
        </w:tc>
        <w:tc>
          <w:tcPr>
            <w:tcW w:w="6026" w:type="dxa"/>
          </w:tcPr>
          <w:p w:rsidR="00967AD7" w:rsidRPr="0009047D" w:rsidRDefault="00967AD7" w:rsidP="00967AD7">
            <w:pPr>
              <w:jc w:val="both"/>
              <w:rPr>
                <w:rFonts w:ascii="Arial Narrow" w:hAnsi="Arial Narrow"/>
              </w:rPr>
            </w:pPr>
            <w:r w:rsidRPr="0009047D">
              <w:rPr>
                <w:rFonts w:ascii="Arial Narrow" w:hAnsi="Arial Narrow"/>
              </w:rPr>
              <w:t xml:space="preserve">Les projets sont des questionnaires remplis ou en cours de remplissage à partir des </w:t>
            </w:r>
            <w:r w:rsidR="0009047D" w:rsidRPr="0009047D">
              <w:rPr>
                <w:rFonts w:ascii="Arial Narrow" w:hAnsi="Arial Narrow"/>
              </w:rPr>
              <w:t>« </w:t>
            </w:r>
            <w:proofErr w:type="spellStart"/>
            <w:r w:rsidRPr="0009047D">
              <w:rPr>
                <w:rFonts w:ascii="Arial Narrow" w:hAnsi="Arial Narrow"/>
              </w:rPr>
              <w:t>knowledge</w:t>
            </w:r>
            <w:proofErr w:type="spellEnd"/>
            <w:r w:rsidRPr="0009047D">
              <w:rPr>
                <w:rFonts w:ascii="Arial Narrow" w:hAnsi="Arial Narrow"/>
              </w:rPr>
              <w:t xml:space="preserve"> </w:t>
            </w:r>
            <w:proofErr w:type="spellStart"/>
            <w:r w:rsidRPr="0009047D">
              <w:rPr>
                <w:rFonts w:ascii="Arial Narrow" w:hAnsi="Arial Narrow"/>
              </w:rPr>
              <w:t>models</w:t>
            </w:r>
            <w:proofErr w:type="spellEnd"/>
            <w:r w:rsidR="0009047D" w:rsidRPr="0009047D">
              <w:rPr>
                <w:rFonts w:ascii="Arial Narrow" w:hAnsi="Arial Narrow"/>
              </w:rPr>
              <w:t> »</w:t>
            </w:r>
            <w:r w:rsidRPr="0009047D">
              <w:rPr>
                <w:rFonts w:ascii="Arial Narrow" w:hAnsi="Arial Narrow"/>
              </w:rPr>
              <w:t xml:space="preserve"> par chaque utilisateur possédant un accès.</w:t>
            </w:r>
          </w:p>
        </w:tc>
      </w:tr>
      <w:tr w:rsidR="0009047D" w:rsidTr="0009047D">
        <w:trPr>
          <w:trHeight w:val="555"/>
        </w:trPr>
        <w:tc>
          <w:tcPr>
            <w:tcW w:w="3041" w:type="dxa"/>
            <w:vMerge/>
          </w:tcPr>
          <w:p w:rsidR="00967AD7" w:rsidRDefault="00967AD7" w:rsidP="0060096C">
            <w:pPr>
              <w:jc w:val="both"/>
            </w:pPr>
          </w:p>
        </w:tc>
        <w:tc>
          <w:tcPr>
            <w:tcW w:w="6026" w:type="dxa"/>
            <w:shd w:val="clear" w:color="auto" w:fill="BDD6EE" w:themeFill="accent1" w:themeFillTint="66"/>
          </w:tcPr>
          <w:p w:rsidR="00967AD7" w:rsidRPr="0009047D" w:rsidRDefault="00967AD7" w:rsidP="00967AD7">
            <w:pPr>
              <w:jc w:val="both"/>
              <w:rPr>
                <w:rFonts w:ascii="Arial Narrow" w:hAnsi="Arial Narrow"/>
              </w:rPr>
            </w:pPr>
            <w:r w:rsidRPr="0009047D">
              <w:rPr>
                <w:rFonts w:ascii="Arial Narrow" w:hAnsi="Arial Narrow"/>
              </w:rPr>
              <w:t xml:space="preserve">Les documents sont les fichiers extraits une fois les questionnaires complétés dans des formats standard : </w:t>
            </w:r>
            <w:proofErr w:type="spellStart"/>
            <w:r w:rsidRPr="0009047D">
              <w:rPr>
                <w:rFonts w:ascii="Arial Narrow" w:hAnsi="Arial Narrow"/>
              </w:rPr>
              <w:t>pdf</w:t>
            </w:r>
            <w:proofErr w:type="spellEnd"/>
            <w:r w:rsidRPr="0009047D">
              <w:rPr>
                <w:rFonts w:ascii="Arial Narrow" w:hAnsi="Arial Narrow"/>
              </w:rPr>
              <w:t xml:space="preserve">, </w:t>
            </w:r>
            <w:proofErr w:type="spellStart"/>
            <w:r w:rsidRPr="0009047D">
              <w:rPr>
                <w:rFonts w:ascii="Arial Narrow" w:hAnsi="Arial Narrow"/>
              </w:rPr>
              <w:t>json</w:t>
            </w:r>
            <w:proofErr w:type="spellEnd"/>
            <w:r w:rsidR="0009047D" w:rsidRPr="0009047D">
              <w:rPr>
                <w:rFonts w:ascii="Arial Narrow" w:hAnsi="Arial Narrow"/>
              </w:rPr>
              <w:t>…</w:t>
            </w:r>
          </w:p>
        </w:tc>
      </w:tr>
      <w:tr w:rsidR="0009047D" w:rsidTr="0009047D">
        <w:tc>
          <w:tcPr>
            <w:tcW w:w="3041" w:type="dxa"/>
            <w:vMerge/>
          </w:tcPr>
          <w:p w:rsidR="00967AD7" w:rsidRDefault="00967AD7" w:rsidP="0060096C">
            <w:pPr>
              <w:jc w:val="both"/>
            </w:pPr>
          </w:p>
        </w:tc>
        <w:tc>
          <w:tcPr>
            <w:tcW w:w="6026" w:type="dxa"/>
          </w:tcPr>
          <w:p w:rsidR="00967AD7" w:rsidRPr="0009047D" w:rsidRDefault="00967AD7" w:rsidP="00967AD7">
            <w:pPr>
              <w:jc w:val="both"/>
              <w:rPr>
                <w:rFonts w:ascii="Arial Narrow" w:hAnsi="Arial Narrow"/>
              </w:rPr>
            </w:pPr>
            <w:r w:rsidRPr="0009047D">
              <w:rPr>
                <w:rFonts w:ascii="Arial Narrow" w:hAnsi="Arial Narrow"/>
              </w:rPr>
              <w:t xml:space="preserve">Les </w:t>
            </w:r>
            <w:proofErr w:type="spellStart"/>
            <w:r w:rsidRPr="0009047D">
              <w:rPr>
                <w:rFonts w:ascii="Arial Narrow" w:hAnsi="Arial Narrow"/>
              </w:rPr>
              <w:t>Templates</w:t>
            </w:r>
            <w:proofErr w:type="spellEnd"/>
            <w:r w:rsidRPr="0009047D">
              <w:rPr>
                <w:rFonts w:ascii="Arial Narrow" w:hAnsi="Arial Narrow"/>
              </w:rPr>
              <w:t xml:space="preserve"> sont des gabarits d’extraction : </w:t>
            </w:r>
            <w:proofErr w:type="spellStart"/>
            <w:r w:rsidRPr="0009047D">
              <w:rPr>
                <w:rFonts w:ascii="Arial Narrow" w:hAnsi="Arial Narrow"/>
              </w:rPr>
              <w:t>cad</w:t>
            </w:r>
            <w:proofErr w:type="spellEnd"/>
            <w:r w:rsidRPr="0009047D">
              <w:rPr>
                <w:rFonts w:ascii="Arial Narrow" w:hAnsi="Arial Narrow"/>
              </w:rPr>
              <w:t xml:space="preserve"> extraction de l’ensemble des champs ou d’une partie en fonction du type de besoin</w:t>
            </w:r>
            <w:r w:rsidR="0009047D" w:rsidRPr="0009047D">
              <w:rPr>
                <w:rFonts w:ascii="Arial Narrow" w:hAnsi="Arial Narrow"/>
              </w:rPr>
              <w:t>.</w:t>
            </w:r>
          </w:p>
          <w:p w:rsidR="0009047D" w:rsidRPr="0009047D" w:rsidRDefault="0009047D" w:rsidP="0009047D">
            <w:pPr>
              <w:jc w:val="both"/>
              <w:rPr>
                <w:rFonts w:ascii="Arial Narrow" w:hAnsi="Arial Narrow"/>
                <w:i/>
                <w:highlight w:val="lightGray"/>
              </w:rPr>
            </w:pPr>
            <w:r w:rsidRPr="0009047D">
              <w:rPr>
                <w:rFonts w:ascii="Arial Narrow" w:hAnsi="Arial Narrow"/>
                <w:i/>
                <w:highlight w:val="lightGray"/>
              </w:rPr>
              <w:t xml:space="preserve">Par ex : pour les gestionnaires de base de données le gabarit </w:t>
            </w:r>
            <w:r>
              <w:rPr>
                <w:rFonts w:ascii="Arial Narrow" w:hAnsi="Arial Narrow"/>
                <w:i/>
                <w:highlight w:val="lightGray"/>
              </w:rPr>
              <w:t>par défaut permettra d’</w:t>
            </w:r>
            <w:r w:rsidRPr="0009047D">
              <w:rPr>
                <w:rFonts w:ascii="Arial Narrow" w:hAnsi="Arial Narrow"/>
                <w:i/>
                <w:highlight w:val="lightGray"/>
              </w:rPr>
              <w:t>extraire l’ensemble du document complété</w:t>
            </w:r>
            <w:r>
              <w:rPr>
                <w:rFonts w:ascii="Arial Narrow" w:hAnsi="Arial Narrow"/>
                <w:i/>
                <w:highlight w:val="lightGray"/>
              </w:rPr>
              <w:t>.</w:t>
            </w:r>
          </w:p>
          <w:p w:rsidR="0009047D" w:rsidRPr="0009047D" w:rsidRDefault="0009047D" w:rsidP="0009047D">
            <w:pPr>
              <w:jc w:val="both"/>
              <w:rPr>
                <w:rFonts w:ascii="Arial Narrow" w:hAnsi="Arial Narrow"/>
              </w:rPr>
            </w:pPr>
            <w:r w:rsidRPr="0009047D">
              <w:rPr>
                <w:rFonts w:ascii="Arial Narrow" w:hAnsi="Arial Narrow"/>
                <w:i/>
                <w:highlight w:val="lightGray"/>
              </w:rPr>
              <w:t>Pour un chef d’équipe qui a besoin de décrire la gestion de ses images dans le cadre d’un PGD de projet, un gabarit spécifique sera disponible.</w:t>
            </w:r>
          </w:p>
        </w:tc>
      </w:tr>
    </w:tbl>
    <w:p w:rsidR="00DD6874" w:rsidRDefault="00DD6874" w:rsidP="0060096C">
      <w:pPr>
        <w:jc w:val="both"/>
      </w:pPr>
    </w:p>
    <w:p w:rsidR="0009047D" w:rsidRDefault="0009047D" w:rsidP="0060096C">
      <w:pPr>
        <w:jc w:val="both"/>
      </w:pPr>
      <w:r>
        <w:t>Pour remplir votre propre questionnaire, procédez comme suit :</w:t>
      </w:r>
    </w:p>
    <w:p w:rsidR="0009047D" w:rsidRDefault="0009047D" w:rsidP="0060096C">
      <w:pPr>
        <w:jc w:val="both"/>
      </w:pPr>
      <w:r>
        <w:lastRenderedPageBreak/>
        <w:t xml:space="preserve">Créez un nouveau projet : </w:t>
      </w:r>
      <w:r w:rsidRPr="0009047D">
        <w:drawing>
          <wp:inline distT="0" distB="0" distL="0" distR="0" wp14:anchorId="0F2568E2" wp14:editId="067EEAC0">
            <wp:extent cx="1600200" cy="284967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060" cy="3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puis </w:t>
      </w:r>
      <w:r w:rsidRPr="0009047D">
        <w:drawing>
          <wp:inline distT="0" distB="0" distL="0" distR="0" wp14:anchorId="30C33E47" wp14:editId="6B5738F0">
            <wp:extent cx="876300" cy="356724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407" cy="3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7D" w:rsidRDefault="0009047D" w:rsidP="0060096C">
      <w:pPr>
        <w:jc w:val="both"/>
      </w:pPr>
      <w:r>
        <w:t>Puis nommez votre projet comme suit</w:t>
      </w:r>
      <w:r w:rsidR="00FF3B77">
        <w:t xml:space="preserve"> PGD</w:t>
      </w:r>
      <w:proofErr w:type="gramStart"/>
      <w:r w:rsidR="00FF3B77">
        <w:t>_«</w:t>
      </w:r>
      <w:proofErr w:type="gramEnd"/>
      <w:r w:rsidR="00FF3B77">
        <w:t> Nom de votre labo ou plateforme » en utilisant le « </w:t>
      </w:r>
      <w:proofErr w:type="spellStart"/>
      <w:r w:rsidR="00FF3B77">
        <w:t>knowledge</w:t>
      </w:r>
      <w:proofErr w:type="spellEnd"/>
      <w:r w:rsidR="00FF3B77">
        <w:t xml:space="preserve"> model » : </w:t>
      </w:r>
      <w:proofErr w:type="spellStart"/>
      <w:r w:rsidR="00FF3B77">
        <w:t>Bioimagexxxx</w:t>
      </w:r>
      <w:proofErr w:type="spellEnd"/>
      <w:r w:rsidR="00FF3B77">
        <w:t>, sauvez</w:t>
      </w:r>
    </w:p>
    <w:p w:rsidR="0009047D" w:rsidRDefault="00834EB6" w:rsidP="00834EB6">
      <w:pPr>
        <w:jc w:val="center"/>
      </w:pPr>
      <w:r w:rsidRPr="00834EB6">
        <w:drawing>
          <wp:inline distT="0" distB="0" distL="0" distR="0" wp14:anchorId="6910A31A" wp14:editId="59854DA6">
            <wp:extent cx="4343400" cy="2568413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09" cy="25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7D" w:rsidRDefault="00FF3B77" w:rsidP="0060096C">
      <w:pPr>
        <w:jc w:val="both"/>
      </w:pPr>
      <w:r>
        <w:t xml:space="preserve">Votre projet est disponible dans </w:t>
      </w:r>
      <w:r w:rsidRPr="0009047D">
        <w:drawing>
          <wp:inline distT="0" distB="0" distL="0" distR="0" wp14:anchorId="031A5692" wp14:editId="2477C2EF">
            <wp:extent cx="1609725" cy="28666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02" cy="3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77" w:rsidRDefault="00FF3B77" w:rsidP="0060096C">
      <w:pPr>
        <w:jc w:val="both"/>
      </w:pPr>
      <w:r w:rsidRPr="00FF3B77">
        <w:drawing>
          <wp:inline distT="0" distB="0" distL="0" distR="0" wp14:anchorId="1AC3D653" wp14:editId="48A0221B">
            <wp:extent cx="5760720" cy="52768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77" w:rsidRDefault="00FF3B77" w:rsidP="0060096C">
      <w:pPr>
        <w:jc w:val="both"/>
      </w:pPr>
      <w:r>
        <w:t>Vous avez maintenant accès aux différents champs à compléter</w:t>
      </w:r>
      <w:r w:rsidR="00F11DE6">
        <w:t xml:space="preserve"> dans </w:t>
      </w:r>
      <w:r w:rsidR="00F11DE6" w:rsidRPr="00F11DE6">
        <w:drawing>
          <wp:inline distT="0" distB="0" distL="0" distR="0" wp14:anchorId="5828B30B" wp14:editId="3715FC9D">
            <wp:extent cx="1247949" cy="314369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:</w:t>
      </w:r>
    </w:p>
    <w:p w:rsidR="00FF3B77" w:rsidRDefault="00FF3B77" w:rsidP="0060096C">
      <w:pPr>
        <w:jc w:val="both"/>
      </w:pPr>
      <w:r w:rsidRPr="00FF3B77">
        <w:drawing>
          <wp:inline distT="0" distB="0" distL="0" distR="0" wp14:anchorId="6A1C4838" wp14:editId="10ED3AB6">
            <wp:extent cx="5379720" cy="3581143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933" cy="358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77" w:rsidRDefault="00FF3B77" w:rsidP="0060096C">
      <w:pPr>
        <w:jc w:val="both"/>
      </w:pPr>
      <w:r>
        <w:lastRenderedPageBreak/>
        <w:t>Une fois complété</w:t>
      </w:r>
      <w:r w:rsidR="00F11DE6">
        <w:t xml:space="preserve"> ou lors du remplissage vous pouvez à tout moment c</w:t>
      </w:r>
      <w:r w:rsidR="00513659">
        <w:t>hoi</w:t>
      </w:r>
      <w:r w:rsidR="00F11DE6">
        <w:t xml:space="preserve">sir le format d’extraction et le « Template » </w:t>
      </w:r>
      <w:proofErr w:type="spellStart"/>
      <w:r w:rsidR="00F11DE6">
        <w:t>IFBxxxxx</w:t>
      </w:r>
      <w:proofErr w:type="spellEnd"/>
      <w:r w:rsidR="00F11DE6">
        <w:t xml:space="preserve"> dans </w:t>
      </w:r>
      <w:r w:rsidR="00F11DE6" w:rsidRPr="00F11DE6">
        <w:drawing>
          <wp:inline distT="0" distB="0" distL="0" distR="0" wp14:anchorId="04EDD86A" wp14:editId="4F2BEDC6">
            <wp:extent cx="952633" cy="3620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E6">
        <w:t> :</w:t>
      </w:r>
    </w:p>
    <w:p w:rsidR="00F11DE6" w:rsidRDefault="008E3FE6" w:rsidP="00F11DE6">
      <w:pPr>
        <w:jc w:val="center"/>
      </w:pPr>
      <w:r w:rsidRPr="008E3FE6">
        <w:drawing>
          <wp:inline distT="0" distB="0" distL="0" distR="0" wp14:anchorId="272B243C" wp14:editId="50F74E83">
            <wp:extent cx="3667619" cy="35814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851" cy="35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83" w:rsidRDefault="00F11DE6" w:rsidP="00F11DE6">
      <w:pPr>
        <w:jc w:val="center"/>
      </w:pPr>
      <w:r>
        <w:lastRenderedPageBreak/>
        <w:t xml:space="preserve">Pour créer le document, choisir le menu </w:t>
      </w:r>
      <w:r w:rsidRPr="00F11DE6">
        <w:drawing>
          <wp:inline distT="0" distB="0" distL="0" distR="0" wp14:anchorId="53823221" wp14:editId="7205293C">
            <wp:extent cx="1295581" cy="371527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83">
        <w:t xml:space="preserve">, </w:t>
      </w:r>
      <w:r w:rsidR="00885983" w:rsidRPr="00885983">
        <w:drawing>
          <wp:inline distT="0" distB="0" distL="0" distR="0" wp14:anchorId="0D17C704" wp14:editId="5491757D">
            <wp:extent cx="1257475" cy="447737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983">
        <w:t xml:space="preserve">, </w:t>
      </w:r>
      <w:r w:rsidR="008E3FE6" w:rsidRPr="008E3FE6">
        <w:drawing>
          <wp:inline distT="0" distB="0" distL="0" distR="0" wp14:anchorId="549C8050" wp14:editId="20927CF7">
            <wp:extent cx="3610519" cy="421456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2188" cy="42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83" w:rsidRDefault="00885983" w:rsidP="00885983">
      <w:pPr>
        <w:jc w:val="center"/>
      </w:pPr>
      <w:proofErr w:type="gramStart"/>
      <w:r>
        <w:t>p</w:t>
      </w:r>
      <w:r>
        <w:t>uis</w:t>
      </w:r>
      <w:proofErr w:type="gramEnd"/>
      <w:r>
        <w:t xml:space="preserve"> « </w:t>
      </w:r>
      <w:proofErr w:type="spellStart"/>
      <w:r>
        <w:t>Create</w:t>
      </w:r>
      <w:proofErr w:type="spellEnd"/>
      <w:r>
        <w:t> ». Votre document est disponible dans votre environnement « Projet » :</w:t>
      </w:r>
    </w:p>
    <w:p w:rsidR="00885983" w:rsidRDefault="008E3FE6" w:rsidP="00885983">
      <w:pPr>
        <w:jc w:val="center"/>
      </w:pPr>
      <w:r w:rsidRPr="008E3FE6">
        <w:drawing>
          <wp:inline distT="0" distB="0" distL="0" distR="0" wp14:anchorId="2AA951AF" wp14:editId="2227D7B0">
            <wp:extent cx="5630061" cy="2305372"/>
            <wp:effectExtent l="0" t="0" r="889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DA"/>
    <w:rsid w:val="00007026"/>
    <w:rsid w:val="0009047D"/>
    <w:rsid w:val="001E45DD"/>
    <w:rsid w:val="00321967"/>
    <w:rsid w:val="00513659"/>
    <w:rsid w:val="0060096C"/>
    <w:rsid w:val="00713BA0"/>
    <w:rsid w:val="00834EB6"/>
    <w:rsid w:val="00885983"/>
    <w:rsid w:val="008E3FE6"/>
    <w:rsid w:val="00967AD7"/>
    <w:rsid w:val="00AF5CF6"/>
    <w:rsid w:val="00B240DA"/>
    <w:rsid w:val="00BE3931"/>
    <w:rsid w:val="00DD6874"/>
    <w:rsid w:val="00F11DE6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8621F"/>
  <w15:chartTrackingRefBased/>
  <w15:docId w15:val="{1FC1F081-2412-4F35-BFE3-C7E03751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1967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96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F3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sw.france-bioinformatique.fr/projects/c59841dd-ca42-49fe-90da-6412cf9dd3b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go-fair.org/fair-principle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IPMC</dc:creator>
  <cp:keywords/>
  <dc:description/>
  <cp:lastModifiedBy>IPMC</cp:lastModifiedBy>
  <cp:revision>6</cp:revision>
  <dcterms:created xsi:type="dcterms:W3CDTF">2021-04-23T09:01:00Z</dcterms:created>
  <dcterms:modified xsi:type="dcterms:W3CDTF">2021-04-23T11:00:00Z</dcterms:modified>
</cp:coreProperties>
</file>