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ind w:hanging="0" w:left="0" w:right="0"/>
        <w:rPr/>
      </w:pPr>
      <w:r>
        <w:rPr>
          <w:rtl w:val="true"/>
        </w:rPr>
        <w:t>كتاب التجويد — الدرس الأولالدرس الأول</w:t>
      </w:r>
      <w:r>
        <w:rPr>
          <w:rtl w:val="true"/>
        </w:rPr>
        <w:t xml:space="preserve">: </w:t>
      </w:r>
      <w:r>
        <w:rPr>
          <w:rtl w:val="true"/>
        </w:rPr>
        <w:t>أحكام النون الساكنة والتنوين — نسخة الأسئلة</w:t>
      </w:r>
    </w:p>
    <w:p>
      <w:pPr>
        <w:pStyle w:val="Heading1"/>
        <w:bidi w:val="1"/>
        <w:rPr/>
      </w:pPr>
      <w:r>
        <w:rPr>
          <w:rtl w:val="true"/>
        </w:rPr>
        <w:t>أحكام النون الساكنة والتنوين</w:t>
      </w:r>
    </w:p>
    <w:p>
      <w:pPr>
        <w:pStyle w:val="BodyTextlede"/>
        <w:bidi w:val="1"/>
        <w:rPr/>
      </w:pPr>
      <w:r>
        <w:rPr>
          <w:rtl w:val="true"/>
        </w:rPr>
        <w:t>كل سؤال في هذه الورقة يُقاس بأن تُسمِّي الحكم، وتُعيِّن الحرف الذي أوجبه، وتُعلِّل</w:t>
      </w:r>
      <w:r>
        <w:rPr>
          <w:rtl w:val="true"/>
        </w:rPr>
        <w:t xml:space="preserve">. </w:t>
      </w:r>
      <w:r>
        <w:rPr>
          <w:rtl w:val="true"/>
        </w:rPr>
        <w:t>الإجابة بالاسم وحده لا تُقبل</w:t>
      </w:r>
      <w:r>
        <w:rPr>
          <w:rtl w:val="true"/>
        </w:rPr>
        <w:t>.</w:t>
      </w:r>
    </w:p>
    <w:p>
      <w:pPr>
        <w:pStyle w:val="BodyText"/>
        <w:bidi w:val="1"/>
        <w:ind w:hanging="0" w:left="0" w:right="0"/>
        <w:rPr>
          <w:caps w:val="false"/>
          <w:smallCaps w:val="false"/>
          <w:color w:val="4A4A4F"/>
        </w:rPr>
      </w:pPr>
      <w:r>
        <w:rPr>
          <w:rFonts w:cs="Noto Kufi Arabic;sans-serif"/>
          <w:bCs w:val="false"/>
          <w:iCs w:val="false"/>
          <w:caps w:val="false"/>
          <w:smallCaps w:val="false"/>
          <w:color w:val="4A4A4F"/>
          <w:szCs w:val="19"/>
          <w:rtl w:val="true"/>
        </w:rPr>
        <w:t>الاسم</w:t>
      </w:r>
      <w:r>
        <w:rPr>
          <w:rFonts w:ascii="Noto Kufi Arabic;sans-serif" w:hAnsi="Noto Kufi Arabic;sans-serif"/>
          <w:b w:val="false"/>
          <w:i w:val="false"/>
          <w:caps w:val="false"/>
          <w:smallCaps w:val="false"/>
          <w:color w:val="4A4A4F"/>
          <w:sz w:val="19"/>
          <w:rtl w:val="true"/>
        </w:rPr>
        <w:t>:</w:t>
      </w:r>
      <w:r>
        <w:rPr>
          <w:rFonts w:cs="Noto Kufi Arabic;sans-serif"/>
          <w:bCs w:val="false"/>
          <w:iCs w:val="false"/>
          <w:caps w:val="false"/>
          <w:smallCaps w:val="false"/>
          <w:color w:val="4A4A4F"/>
          <w:szCs w:val="19"/>
          <w:rtl w:val="true"/>
        </w:rPr>
        <w:t>الصف</w:t>
      </w:r>
      <w:r>
        <w:rPr>
          <w:rFonts w:ascii="Noto Kufi Arabic;sans-serif" w:hAnsi="Noto Kufi Arabic;sans-serif"/>
          <w:b w:val="false"/>
          <w:i w:val="false"/>
          <w:caps w:val="false"/>
          <w:smallCaps w:val="false"/>
          <w:color w:val="4A4A4F"/>
          <w:sz w:val="19"/>
          <w:rtl w:val="true"/>
        </w:rPr>
        <w:t>:</w:t>
      </w:r>
      <w:r>
        <w:rPr>
          <w:rFonts w:cs="Noto Kufi Arabic;sans-serif"/>
          <w:bCs w:val="false"/>
          <w:iCs w:val="false"/>
          <w:caps w:val="false"/>
          <w:smallCaps w:val="false"/>
          <w:color w:val="4A4A4F"/>
          <w:szCs w:val="19"/>
          <w:rtl w:val="true"/>
        </w:rPr>
        <w:t>التاريخ</w:t>
      </w:r>
      <w:r>
        <w:rPr>
          <w:rFonts w:ascii="Noto Kufi Arabic;sans-serif" w:hAnsi="Noto Kufi Arabic;sans-serif"/>
          <w:b w:val="false"/>
          <w:i w:val="false"/>
          <w:caps w:val="false"/>
          <w:smallCaps w:val="false"/>
          <w:color w:val="4A4A4F"/>
          <w:sz w:val="19"/>
          <w:rtl w:val="true"/>
        </w:rPr>
        <w:t>:</w:t>
      </w:r>
      <w:r>
        <w:rPr>
          <w:rFonts w:cs="Noto Kufi Arabic;sans-serif"/>
          <w:bCs w:val="false"/>
          <w:iCs w:val="false"/>
          <w:caps w:val="false"/>
          <w:smallCaps w:val="false"/>
          <w:color w:val="4A4A4F"/>
          <w:szCs w:val="19"/>
          <w:rtl w:val="true"/>
        </w:rPr>
        <w:t>الدرجة</w:t>
      </w:r>
      <w:r>
        <w:rPr>
          <w:rFonts w:ascii="Noto Kufi Arabic;sans-serif" w:hAnsi="Noto Kufi Arabic;sans-serif"/>
          <w:b w:val="false"/>
          <w:i w:val="false"/>
          <w:caps w:val="false"/>
          <w:smallCaps w:val="false"/>
          <w:color w:val="4A4A4F"/>
          <w:sz w:val="19"/>
          <w:rtl w:val="true"/>
        </w:rPr>
        <w:t>:</w:t>
      </w:r>
    </w:p>
    <w:p>
      <w:pPr>
        <w:pStyle w:val="Heading2"/>
        <w:bidi w:val="1"/>
        <w:ind w:hanging="0" w:left="227" w:right="227"/>
        <w:rPr/>
      </w:pPr>
      <w:r>
        <w:rPr/>
        <w:t>١</w:t>
      </w:r>
      <w:r>
        <w:rPr>
          <w:rtl w:val="true"/>
        </w:rPr>
        <w:t xml:space="preserve">. </w:t>
      </w:r>
      <w:r>
        <w:rPr>
          <w:rtl w:val="true"/>
        </w:rPr>
        <w:t xml:space="preserve">استخراج وتعليل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٦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type"/>
        <w:bidi w:val="1"/>
        <w:rPr/>
      </w:pPr>
      <w:r>
        <w:rPr>
          <w:rtl w:val="true"/>
        </w:rPr>
        <w:t>لكل كلمة</w:t>
      </w:r>
      <w:r>
        <w:rPr>
          <w:rtl w:val="true"/>
        </w:rPr>
        <w:t xml:space="preserve">: </w:t>
      </w:r>
      <w:r>
        <w:rPr>
          <w:rtl w:val="true"/>
        </w:rPr>
        <w:t>اكتب الحكم، والحرف الذي أوجبه، وسبب الحكم في عبارة واحدة</w:t>
      </w:r>
      <w:r>
        <w:rPr>
          <w:rtl w:val="true"/>
        </w:rPr>
        <w:t>.</w:t>
      </w:r>
    </w:p>
    <w:tbl>
      <w:tblPr>
        <w:bidiVisual w:val="true"/>
        <w:tblW w:w="324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2"/>
        <w:gridCol w:w="637"/>
        <w:gridCol w:w="667"/>
        <w:gridCol w:w="748"/>
      </w:tblGrid>
      <w:tr>
        <w:trPr/>
        <w:tc>
          <w:tcPr>
            <w:tcW w:w="1192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الموضع</w:t>
            </w:r>
          </w:p>
        </w:tc>
        <w:tc>
          <w:tcPr>
            <w:tcW w:w="637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الحكم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الحرف</w:t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السبب</w:t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مَنْ ءَامَنَ</w:t>
            </w:r>
          </w:p>
        </w:tc>
        <w:tc>
          <w:tcPr>
            <w:tcW w:w="6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فَمَن يَعْمَلْ</w:t>
            </w:r>
          </w:p>
        </w:tc>
        <w:tc>
          <w:tcPr>
            <w:tcW w:w="6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مِّن رَّبِّهِمْ</w:t>
            </w:r>
          </w:p>
        </w:tc>
        <w:tc>
          <w:tcPr>
            <w:tcW w:w="6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أَنۢبِئْهُم</w:t>
            </w:r>
          </w:p>
        </w:tc>
        <w:tc>
          <w:tcPr>
            <w:tcW w:w="6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يُنفِقُونَ</w:t>
            </w:r>
          </w:p>
        </w:tc>
        <w:tc>
          <w:tcPr>
            <w:tcW w:w="6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11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سَمِيعًۢا بَصِيرًۭا</w:t>
            </w:r>
          </w:p>
        </w:tc>
        <w:tc>
          <w:tcPr>
            <w:tcW w:w="63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7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</w:tbl>
    <w:p>
      <w:pPr>
        <w:pStyle w:val="Heading2"/>
        <w:bidi w:val="1"/>
        <w:ind w:hanging="0" w:left="227" w:right="227"/>
        <w:rPr/>
      </w:pPr>
      <w:r>
        <w:rPr/>
        <w:t>٢</w:t>
      </w:r>
      <w:r>
        <w:rPr>
          <w:rtl w:val="true"/>
        </w:rPr>
        <w:t xml:space="preserve">. </w:t>
      </w:r>
      <w:r>
        <w:rPr>
          <w:rtl w:val="true"/>
        </w:rPr>
        <w:t xml:space="preserve">تصحيح خطأ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type"/>
        <w:bidi w:val="1"/>
        <w:rPr/>
      </w:pPr>
      <w:r>
        <w:rPr>
          <w:rtl w:val="true"/>
        </w:rPr>
        <w:t>كل عبارة تحتها خطأ واحد</w:t>
      </w:r>
      <w:r>
        <w:rPr>
          <w:rtl w:val="true"/>
        </w:rPr>
        <w:t xml:space="preserve">. </w:t>
      </w:r>
      <w:r>
        <w:rPr>
          <w:rtl w:val="true"/>
        </w:rPr>
        <w:t>صحِّح الحكم، ثم اذكر الخطأ في التعليل نفسه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 w:right="0"/>
        <w:rPr/>
      </w:pPr>
      <w:r>
        <w:rPr>
          <w:bCs/>
          <w:color w:val="B08A3E"/>
          <w:rtl w:val="true"/>
        </w:rPr>
        <w:t>أ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«</w:t>
      </w:r>
      <w:r>
        <w:rPr>
          <w:rtl w:val="true"/>
        </w:rPr>
        <w:t xml:space="preserve">في </w:t>
      </w:r>
      <w:r>
        <w:rPr>
          <w:rFonts w:cs="Noto Naskh Arabic;serif"/>
          <w:color w:val="1B3A2F"/>
          <w:szCs w:val="24"/>
          <w:rtl w:val="true"/>
        </w:rPr>
        <w:t>مِّن رَّبِّهِمْ</w:t>
      </w:r>
      <w:r>
        <w:rPr>
          <w:rtl w:val="true"/>
        </w:rPr>
        <w:t xml:space="preserve"> إدغام بغنة، لأن النون الساكنة تُغَنُّ حيث وقعت</w:t>
      </w:r>
      <w:r>
        <w:rPr>
          <w:rtl w:val="true"/>
        </w:rPr>
        <w:t xml:space="preserve">.»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 w:right="0"/>
        <w:rPr/>
      </w:pPr>
      <w:r>
        <w:rPr>
          <w:bCs/>
          <w:color w:val="B08A3E"/>
          <w:rtl w:val="true"/>
        </w:rPr>
        <w:t>ب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«</w:t>
      </w:r>
      <w:r>
        <w:rPr>
          <w:rtl w:val="true"/>
        </w:rPr>
        <w:t xml:space="preserve">في </w:t>
      </w:r>
      <w:r>
        <w:rPr>
          <w:rFonts w:cs="Noto Naskh Arabic;serif"/>
          <w:color w:val="1B3A2F"/>
          <w:szCs w:val="24"/>
          <w:rtl w:val="true"/>
        </w:rPr>
        <w:t>أَنۢبِئْهُم</w:t>
      </w:r>
      <w:r>
        <w:rPr>
          <w:rtl w:val="true"/>
        </w:rPr>
        <w:t xml:space="preserve"> إخفاء، لأن الباء من حروف الإخفاء الخمسة عشر</w:t>
      </w:r>
      <w:r>
        <w:rPr>
          <w:rtl w:val="true"/>
        </w:rPr>
        <w:t xml:space="preserve">.»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firstLine="992" w:left="709" w:right="0"/>
        <w:rPr/>
      </w:pPr>
      <w:r>
        <w:rPr>
          <w:bCs/>
          <w:color w:val="B08A3E"/>
          <w:rtl w:val="true"/>
        </w:rPr>
        <w:t>ج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«</w:t>
      </w:r>
      <w:r>
        <w:rPr>
          <w:rtl w:val="true"/>
        </w:rPr>
        <w:t xml:space="preserve">في </w:t>
      </w:r>
      <w:r>
        <w:rPr>
          <w:rFonts w:cs="Noto Naskh Arabic;serif"/>
          <w:color w:val="1B3A2F"/>
          <w:szCs w:val="24"/>
          <w:rtl w:val="true"/>
        </w:rPr>
        <w:t>رَزَقْنَٰهُمْ</w:t>
      </w:r>
      <w:r>
        <w:rPr>
          <w:rtl w:val="true"/>
        </w:rPr>
        <w:t xml:space="preserve"> إظهار، لأن بعد النون حرف حلقي</w:t>
      </w:r>
      <w:r>
        <w:rPr>
          <w:rtl w:val="true"/>
        </w:rPr>
        <w:t xml:space="preserve">.» </w:t>
      </w:r>
    </w:p>
    <w:tbl>
      <w:tblPr>
        <w:bidiVisual w:val="true"/>
        <w:tblW w:w="55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45"/>
        <w:gridCol w:w="256"/>
      </w:tblGrid>
      <w:tr>
        <w:trPr/>
        <w:tc>
          <w:tcPr>
            <w:tcW w:w="524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الدرس الأول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أحكام النون الساكنة والتنوين — نسخة الأسئلة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</w:t>
            </w:r>
          </w:p>
        </w:tc>
      </w:tr>
    </w:tbl>
    <w:p>
      <w:pPr>
        <w:pStyle w:val="BodyText"/>
        <w:bidi w:val="1"/>
        <w:ind w:hanging="0" w:left="0" w:right="0"/>
        <w:rPr/>
      </w:pPr>
      <w:r>
        <w:rPr>
          <w:rtl w:val="true"/>
        </w:rPr>
        <w:t>كتاب التجويد — الدرس الأولالدرس الأول</w:t>
      </w:r>
      <w:r>
        <w:rPr>
          <w:rtl w:val="true"/>
        </w:rPr>
        <w:t xml:space="preserve">: </w:t>
      </w:r>
      <w:r>
        <w:rPr>
          <w:rtl w:val="true"/>
        </w:rPr>
        <w:t>أحكام النون الساكنة والتنوين — نسخة الأسئلة</w:t>
      </w:r>
    </w:p>
    <w:p>
      <w:pPr>
        <w:pStyle w:val="Heading2"/>
        <w:bidi w:val="1"/>
        <w:ind w:hanging="0" w:left="227" w:right="227"/>
        <w:rPr/>
      </w:pPr>
      <w:r>
        <w:rPr/>
        <w:t>٣</w:t>
      </w:r>
      <w:r>
        <w:rPr>
          <w:rtl w:val="true"/>
        </w:rPr>
        <w:t xml:space="preserve">. </w:t>
      </w:r>
      <w:r>
        <w:rPr>
          <w:rtl w:val="true"/>
        </w:rPr>
        <w:t xml:space="preserve">مقارنة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٤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type"/>
        <w:bidi w:val="1"/>
        <w:rPr/>
      </w:pPr>
      <w:r>
        <w:rPr>
          <w:rtl w:val="true"/>
        </w:rPr>
        <w:t>الموضعان كلاهما إدغام بغنة، ومع ذلك لا يُنطقان على صفة واحدة</w:t>
      </w:r>
      <w:r>
        <w:rPr>
          <w:rtl w:val="true"/>
        </w:rPr>
        <w:t>.</w:t>
      </w:r>
    </w:p>
    <w:tbl>
      <w:tblPr>
        <w:bidiVisual w:val="true"/>
        <w:tblW w:w="42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0"/>
        <w:gridCol w:w="941"/>
        <w:gridCol w:w="907"/>
      </w:tblGrid>
      <w:tr>
        <w:trPr/>
        <w:tc>
          <w:tcPr>
            <w:tcW w:w="2410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وجه المقارنة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فَمَن يَعْمَلْ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>
                <w:rFonts w:cs="Noto Naskh Arabic;serif"/>
                <w:color w:val="1B3A2F"/>
                <w:szCs w:val="24"/>
              </w:rPr>
            </w:pPr>
            <w:r>
              <w:rPr>
                <w:rFonts w:cs="Noto Naskh Arabic;serif"/>
                <w:color w:val="1B3A2F"/>
                <w:szCs w:val="24"/>
                <w:rtl w:val="true"/>
              </w:rPr>
              <w:t>مِن نُّطْفَةٍ</w:t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نوع الإدغام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كامل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ناقص</w:t>
            </w:r>
            <w:r>
              <w:rPr>
                <w:rtl w:val="true"/>
              </w:rPr>
              <w:t>)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ما الذي يبقى من النون؟</w:t>
            </w:r>
          </w:p>
        </w:tc>
        <w:tc>
          <w:tcPr>
            <w:tcW w:w="94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241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القاعدة التي تُفرِّق بينهما</w:t>
            </w:r>
          </w:p>
        </w:tc>
        <w:tc>
          <w:tcPr>
            <w:tcW w:w="1848" w:type="dxa"/>
            <w:gridSpan w:val="2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</w:tbl>
    <w:p>
      <w:pPr>
        <w:pStyle w:val="Heading2"/>
        <w:bidi w:val="1"/>
        <w:ind w:hanging="0" w:left="227" w:right="227"/>
        <w:rPr/>
      </w:pPr>
      <w:r>
        <w:rPr/>
        <w:t>٤</w:t>
      </w:r>
      <w:r>
        <w:rPr>
          <w:rtl w:val="true"/>
        </w:rPr>
        <w:t xml:space="preserve">. </w:t>
      </w:r>
      <w:r>
        <w:rPr>
          <w:rtl w:val="true"/>
        </w:rPr>
        <w:t>تمييز</w:t>
      </w:r>
      <w:r>
        <w:rPr>
          <w:rtl w:val="true"/>
        </w:rPr>
        <w:t xml:space="preserve">: </w:t>
      </w:r>
      <w:r>
        <w:rPr>
          <w:rtl w:val="true"/>
        </w:rPr>
        <w:t xml:space="preserve">أين لا حكم؟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٤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type"/>
        <w:bidi w:val="1"/>
        <w:rPr/>
      </w:pPr>
      <w:r>
        <w:rPr>
          <w:rtl w:val="true"/>
        </w:rPr>
        <w:t>ضع علامة في العمود الصحيح، ثم علِّل الموضع الذي لا حكم فيه</w:t>
      </w:r>
      <w:r>
        <w:rPr>
          <w:rtl w:val="true"/>
        </w:rPr>
        <w:t>.</w:t>
      </w:r>
    </w:p>
    <w:tbl>
      <w:tblPr>
        <w:bidiVisual w:val="true"/>
        <w:tblW w:w="40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2"/>
        <w:gridCol w:w="1109"/>
        <w:gridCol w:w="625"/>
        <w:gridCol w:w="1511"/>
      </w:tblGrid>
      <w:tr>
        <w:trPr/>
        <w:tc>
          <w:tcPr>
            <w:tcW w:w="832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الموضع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نون ساكنة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تنوين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 xml:space="preserve">لا حكم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ولماذا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كُنتُمْ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يَوْمًۭا لَّا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رَزَقْنَٰهُمْ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عَن نَّفْسٍۢ</w:t>
            </w:r>
          </w:p>
        </w:tc>
        <w:tc>
          <w:tcPr>
            <w:tcW w:w="110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</w:tbl>
    <w:p>
      <w:pPr>
        <w:pStyle w:val="Heading2"/>
        <w:bidi w:val="1"/>
        <w:ind w:hanging="0" w:left="227" w:right="227"/>
        <w:rPr/>
      </w:pPr>
      <w:r>
        <w:rPr/>
        <w:t>٥</w:t>
      </w:r>
      <w:r>
        <w:rPr>
          <w:rtl w:val="true"/>
        </w:rPr>
        <w:t xml:space="preserve">. </w:t>
      </w:r>
      <w:r>
        <w:rPr>
          <w:rtl w:val="true"/>
        </w:rPr>
        <w:t xml:space="preserve">تعليل رسم المصحف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firstLine="992" w:left="709" w:right="0"/>
        <w:rPr/>
      </w:pPr>
      <w:r>
        <w:rPr>
          <w:bCs/>
          <w:color w:val="B08A3E"/>
          <w:rtl w:val="true"/>
        </w:rPr>
        <w:t>أ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Fonts w:cs="Noto Naskh Arabic;serif"/>
          <w:color w:val="1B3A2F"/>
          <w:szCs w:val="24"/>
          <w:rtl w:val="true"/>
        </w:rPr>
        <w:t>وَمِمَّا رَزَقْنَٰهُمْ</w:t>
      </w:r>
      <w:r>
        <w:rPr>
          <w:rtl w:val="true"/>
        </w:rPr>
        <w:t xml:space="preserve"> أصل الكلمة </w:t>
      </w:r>
      <w:r>
        <w:rPr>
          <w:rtl w:val="true"/>
        </w:rPr>
        <w:t>«</w:t>
      </w:r>
      <w:r>
        <w:rPr>
          <w:rtl w:val="true"/>
        </w:rPr>
        <w:t>مِن ما</w:t>
      </w:r>
      <w:r>
        <w:rPr>
          <w:rtl w:val="true"/>
        </w:rPr>
        <w:t>»</w:t>
      </w:r>
      <w:r>
        <w:rPr>
          <w:rtl w:val="true"/>
        </w:rPr>
        <w:t xml:space="preserve">، فلماذا لا نرى النون في المصحف، وما حكمها؟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ind w:firstLine="992" w:left="709" w:right="0"/>
        <w:rPr/>
      </w:pPr>
      <w:r>
        <w:rPr>
          <w:bCs/>
          <w:color w:val="B08A3E"/>
          <w:rtl w:val="true"/>
        </w:rPr>
        <w:t>ب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Fonts w:cs="Noto Naskh Arabic;serif"/>
          <w:color w:val="1B3A2F"/>
          <w:szCs w:val="24"/>
          <w:rtl w:val="true"/>
        </w:rPr>
        <w:t>أَنۢبِئْهُم</w:t>
      </w:r>
      <w:r>
        <w:rPr>
          <w:rtl w:val="true"/>
        </w:rPr>
        <w:t xml:space="preserve"> كُتبت ميم صغيرة فوق النون ولم تُكتب حركة</w:t>
      </w:r>
      <w:r>
        <w:rPr>
          <w:rtl w:val="true"/>
        </w:rPr>
        <w:t xml:space="preserve">. </w:t>
      </w:r>
      <w:r>
        <w:rPr>
          <w:rtl w:val="true"/>
        </w:rPr>
        <w:t xml:space="preserve">ماذا تُفيدك هذه الميم عند القراءة؟ </w:t>
      </w:r>
    </w:p>
    <w:tbl>
      <w:tblPr>
        <w:bidiVisual w:val="true"/>
        <w:tblW w:w="55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45"/>
        <w:gridCol w:w="256"/>
      </w:tblGrid>
      <w:tr>
        <w:trPr/>
        <w:tc>
          <w:tcPr>
            <w:tcW w:w="524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الدرس الأول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أحكام النون الساكنة والتنوين — نسخة الأسئلة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٢</w:t>
            </w:r>
          </w:p>
        </w:tc>
      </w:tr>
    </w:tbl>
    <w:p>
      <w:pPr>
        <w:pStyle w:val="BodyText"/>
        <w:bidi w:val="1"/>
        <w:ind w:hanging="0" w:left="0" w:right="0"/>
        <w:rPr/>
      </w:pPr>
      <w:r>
        <w:rPr>
          <w:rtl w:val="true"/>
        </w:rPr>
        <w:t>كتاب التجويد — الدرس الأولالدرس الأول</w:t>
      </w:r>
      <w:r>
        <w:rPr>
          <w:rtl w:val="true"/>
        </w:rPr>
        <w:t xml:space="preserve">: </w:t>
      </w:r>
      <w:r>
        <w:rPr>
          <w:rtl w:val="true"/>
        </w:rPr>
        <w:t>أحكام النون الساكنة والتنوين — نسخة الأسئلة</w:t>
      </w:r>
    </w:p>
    <w:p>
      <w:pPr>
        <w:pStyle w:val="Heading2"/>
        <w:bidi w:val="1"/>
        <w:ind w:hanging="0" w:left="227" w:right="227"/>
        <w:rPr/>
      </w:pPr>
      <w:r>
        <w:rPr/>
        <w:t>٦</w:t>
      </w:r>
      <w:r>
        <w:rPr>
          <w:rtl w:val="true"/>
        </w:rPr>
        <w:t xml:space="preserve">. </w:t>
      </w:r>
      <w:r>
        <w:rPr>
          <w:rtl w:val="true"/>
        </w:rPr>
        <w:t xml:space="preserve">موقف أداء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٤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"/>
        <w:bidi w:val="1"/>
        <w:ind w:hanging="0" w:left="0" w:right="0"/>
        <w:rPr>
          <w:shd w:fill="FFFFFF" w:val="clear"/>
        </w:rPr>
      </w:pPr>
      <w:r>
        <w:rPr>
          <w:shd w:fill="FFFFFF" w:val="clear"/>
          <w:rtl w:val="true"/>
        </w:rPr>
        <w:t>قرأ طالب</w:t>
      </w:r>
      <w:r>
        <w:rPr>
          <w:shd w:fill="FFFFFF" w:val="clear"/>
          <w:rtl w:val="true"/>
        </w:rPr>
        <w:t xml:space="preserve">: </w:t>
      </w:r>
      <w:r>
        <w:rPr>
          <w:rFonts w:cs="Noto Naskh Arabic;serif"/>
          <w:color w:val="1B3A2F"/>
          <w:szCs w:val="24"/>
          <w:shd w:fill="FFFFFF" w:val="clear"/>
          <w:rtl w:val="true"/>
        </w:rPr>
        <w:t>عَلَىٰ هُدًۭى مِّن رَّبِّهِمْ</w:t>
      </w:r>
      <w:r>
        <w:rPr>
          <w:shd w:fill="FFFFFF" w:val="clear"/>
          <w:rtl w:val="true"/>
        </w:rPr>
        <w:t xml:space="preserve"> فغَنَّ في الموضعين غنةً واحدة الطول، ثم قال</w:t>
      </w:r>
      <w:r>
        <w:rPr>
          <w:shd w:fill="FFFFFF" w:val="clear"/>
          <w:rtl w:val="true"/>
        </w:rPr>
        <w:t>: «</w:t>
      </w:r>
      <w:r>
        <w:rPr>
          <w:shd w:fill="FFFFFF" w:val="clear"/>
          <w:rtl w:val="true"/>
        </w:rPr>
        <w:t>أدغمتُ في الموضعين فاستوى الحكم</w:t>
      </w:r>
      <w:r>
        <w:rPr>
          <w:shd w:fill="FFFFFF" w:val="clear"/>
          <w:rtl w:val="true"/>
        </w:rPr>
        <w:t>».</w:t>
      </w:r>
    </w:p>
    <w:p>
      <w:pPr>
        <w:pStyle w:val="BodyTextqn"/>
        <w:bidi w:val="1"/>
        <w:rPr/>
      </w:pPr>
      <w:r>
        <w:rPr>
          <w:rtl w:val="true"/>
        </w:rPr>
        <w:t>أ</w:t>
      </w:r>
      <w:r>
        <w:rPr>
          <w:rtl w:val="true"/>
        </w:rPr>
        <w:t xml:space="preserve">. </w:t>
      </w:r>
      <w:r>
        <w:rPr>
          <w:rtl w:val="true"/>
        </w:rPr>
        <w:t>ما حكم كل موضع على حدة؟</w:t>
      </w:r>
    </w:p>
    <w:p>
      <w:pPr>
        <w:pStyle w:val="BodyTextqn"/>
        <w:bidi w:val="1"/>
        <w:ind w:hanging="0" w:left="113" w:right="113"/>
        <w:rPr/>
      </w:pPr>
      <w:r>
        <w:rPr>
          <w:rtl w:val="true"/>
        </w:rPr>
        <w:t>ب</w:t>
      </w:r>
      <w:r>
        <w:rPr>
          <w:rtl w:val="true"/>
        </w:rPr>
        <w:t xml:space="preserve">. </w:t>
      </w:r>
      <w:r>
        <w:rPr>
          <w:rtl w:val="true"/>
        </w:rPr>
        <w:t>في أي الموضعين كان نطقه خطأ، وما الخطأ تحديدًا؟</w:t>
      </w:r>
    </w:p>
    <w:p>
      <w:pPr>
        <w:pStyle w:val="Heading2"/>
        <w:bidi w:val="1"/>
        <w:ind w:hanging="0" w:left="227" w:right="227"/>
        <w:rPr/>
      </w:pPr>
      <w:r>
        <w:rPr/>
        <w:t>٧</w:t>
      </w:r>
      <w:r>
        <w:rPr>
          <w:rtl w:val="true"/>
        </w:rPr>
        <w:t xml:space="preserve">. </w:t>
      </w:r>
      <w:r>
        <w:rPr>
          <w:rtl w:val="true"/>
        </w:rPr>
        <w:t xml:space="preserve">الغنة ومقدارها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qn"/>
        <w:bidi w:val="1"/>
        <w:rPr/>
      </w:pPr>
      <w:r>
        <w:rPr>
          <w:rtl w:val="true"/>
        </w:rPr>
        <w:t>رتِّب الأحكام الأربعة من حيث وجود الغنة، واذكر مقدارها عند من يقدّرها بالحركات</w:t>
      </w:r>
      <w:r>
        <w:rPr>
          <w:rtl w:val="true"/>
        </w:rPr>
        <w:t>.</w:t>
      </w:r>
    </w:p>
    <w:p>
      <w:pPr>
        <w:pStyle w:val="Heading2"/>
        <w:bidi w:val="1"/>
        <w:ind w:hanging="0" w:left="227" w:right="227"/>
        <w:rPr/>
      </w:pPr>
      <w:r>
        <w:rPr/>
        <w:t>٨</w:t>
      </w:r>
      <w:r>
        <w:rPr>
          <w:rtl w:val="true"/>
        </w:rPr>
        <w:t xml:space="preserve">. </w:t>
      </w:r>
      <w:r>
        <w:rPr>
          <w:rtl w:val="true"/>
        </w:rPr>
        <w:t xml:space="preserve">تطبيق حر </w:t>
      </w:r>
      <w:r>
        <w:rPr>
          <w:bCs w:val="false"/>
          <w:iCs w:val="false"/>
          <w:caps w:val="false"/>
          <w:smallCaps w:val="false"/>
          <w:color w:val="7A6A52"/>
          <w:szCs w:val="18"/>
        </w:rPr>
        <w:t>٣</w:t>
      </w:r>
      <w:r>
        <w:rPr>
          <w:bCs w:val="false"/>
          <w:iCs w:val="false"/>
          <w:caps w:val="false"/>
          <w:smallCaps w:val="false"/>
          <w:color w:val="7A6A52"/>
          <w:szCs w:val="18"/>
          <w:rtl w:val="true"/>
        </w:rPr>
        <w:t xml:space="preserve"> درجات</w:t>
      </w:r>
    </w:p>
    <w:p>
      <w:pPr>
        <w:pStyle w:val="BodyTextqn"/>
        <w:bidi w:val="1"/>
        <w:rPr/>
      </w:pPr>
      <w:r>
        <w:rPr>
          <w:rtl w:val="true"/>
        </w:rPr>
        <w:t>من سورة واحدة قصيرة يختارها معلّمك، استخرج موضعًا لكل حكم من الأحكام الأربعة، واكتب رقم الآية</w:t>
      </w:r>
      <w:r>
        <w:rPr>
          <w:rtl w:val="true"/>
        </w:rPr>
        <w:t>.</w:t>
      </w:r>
    </w:p>
    <w:tbl>
      <w:tblPr>
        <w:bidiVisual w:val="true"/>
        <w:tblW w:w="296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6"/>
        <w:gridCol w:w="792"/>
        <w:gridCol w:w="1434"/>
      </w:tblGrid>
      <w:tr>
        <w:trPr/>
        <w:tc>
          <w:tcPr>
            <w:tcW w:w="736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الحكم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الموضع</w:t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TableHeading"/>
              <w:suppressLineNumbers/>
              <w:shd w:fill="F3F3F1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السورة والآية</w:t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الإظهار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الإدغام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الإقلاب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73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الإخفاء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</w:tbl>
    <w:p>
      <w:pPr>
        <w:pStyle w:val="BodyTextsrc"/>
        <w:bidi w:val="1"/>
        <w:rPr/>
      </w:pPr>
      <w:r>
        <w:rPr>
          <w:rtl w:val="true"/>
        </w:rPr>
        <w:t>المواضع القرآنية في هذه الورقة من نص المصحف العثماني، وأرقامها في نسخة الإجابة</w:t>
      </w:r>
      <w:r>
        <w:rPr>
          <w:rtl w:val="true"/>
        </w:rPr>
        <w:t xml:space="preserve">. </w:t>
      </w:r>
      <w:r>
        <w:rPr>
          <w:rtl w:val="true"/>
        </w:rPr>
        <w:t>الدرجة الكلية</w:t>
      </w:r>
      <w:r>
        <w:rPr>
          <w:rtl w:val="true"/>
        </w:rPr>
        <w:t xml:space="preserve">: </w:t>
      </w:r>
      <w:r>
        <w:rPr/>
        <w:t>٣٠</w:t>
      </w:r>
      <w:r>
        <w:rPr>
          <w:rtl w:val="true"/>
        </w:rPr>
        <w:t xml:space="preserve"> درجة</w:t>
      </w:r>
      <w:r>
        <w:rPr>
          <w:rtl w:val="true"/>
        </w:rPr>
        <w:t>.</w:t>
      </w:r>
    </w:p>
    <w:tbl>
      <w:tblPr>
        <w:bidiVisual w:val="true"/>
        <w:tblW w:w="55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45"/>
        <w:gridCol w:w="256"/>
      </w:tblGrid>
      <w:tr>
        <w:trPr/>
        <w:tc>
          <w:tcPr>
            <w:tcW w:w="524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الدرس الأول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أحكام النون الساكنة والتنوين — نسخة الأسئلة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٣</w:t>
            </w:r>
          </w:p>
        </w:tc>
      </w:tr>
    </w:tbl>
    <w:p>
      <w:pPr>
        <w:pStyle w:val="BodyText"/>
        <w:bidi w:val="1"/>
        <w:spacing w:before="0" w:after="142"/>
        <w:rPr/>
      </w:pPr>
      <w:r>
        <w:rPr>
          <w:rtl w:val="true"/>
        </w:rPr>
      </w:r>
    </w:p>
    <w:sectPr>
      <w:type w:val="nextPage"/>
      <w:pgSz w:w="11906" w:h="16838"/>
      <w:pgMar w:left="1020" w:right="1020" w:gutter="0" w:header="0" w:top="1134" w:footer="0" w:bottom="1020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Kufi Arabic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36" w:before="240" w:after="170"/>
    </w:pPr>
    <w:rPr>
      <w:rFonts w:ascii="Noto Kufi Arabic;sans-serif" w:hAnsi="Noto Kufi Arabic;sans-serif" w:eastAsia="Noto Kufi Arabic;sans-serif" w:cs="Noto Kufi Arabic;sans-serif"/>
      <w:b/>
      <w:bCs/>
      <w:color w:val="1B3A2F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227" w:after="113"/>
      <w:ind w:left="227" w:right="227"/>
      <w:outlineLvl w:val="1"/>
    </w:pPr>
    <w:rPr>
      <w:rFonts w:ascii="Noto Kufi Arabic;sans-serif" w:hAnsi="Noto Kufi Arabic;sans-serif" w:eastAsia="Noto Kufi Arabic;sans-serif" w:cs="Noto Kufi Arabic;sans-serif"/>
      <w:b/>
      <w:bCs/>
      <w:color w:val="1B3A2F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27" w:after="85"/>
      <w:ind w:left="227" w:right="227"/>
      <w:outlineLvl w:val="2"/>
    </w:pPr>
    <w:rPr>
      <w:rFonts w:ascii="Noto Kufi Arabic;sans-serif" w:hAnsi="Noto Kufi Arabic;sans-serif" w:eastAsia="Noto Kufi Arabic;sans-serif" w:cs="Noto Kufi Arabic;sans-serif"/>
      <w:b/>
      <w:bCs/>
      <w:color w:val="4A3F2A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142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lede">
    <w:name w:val="Body Text.lede"/>
    <w:basedOn w:val="BodyText"/>
    <w:qFormat/>
    <w:pPr/>
    <w:rPr>
      <w:color w:val="3D3D42"/>
      <w:sz w:val="24"/>
      <w:szCs w:val="24"/>
    </w:rPr>
  </w:style>
  <w:style w:type="paragraph" w:styleId="BodyTexttype">
    <w:name w:val="Body Text.type"/>
    <w:basedOn w:val="BodyText"/>
    <w:qFormat/>
    <w:pPr/>
    <w:rPr>
      <w:rFonts w:ascii="Noto Kufi Arabic;sans-serif" w:hAnsi="Noto Kufi Arabic;sans-serif" w:eastAsia="Noto Kufi Arabic;sans-serif" w:cs="Noto Kufi Arabic;sans-serif"/>
      <w:b w:val="false"/>
      <w:bCs w:val="false"/>
      <w:i w:val="false"/>
      <w:iCs w:val="false"/>
      <w:caps w:val="false"/>
      <w:smallCaps w:val="false"/>
      <w:color w:val="7A6A52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F3F3F1" w:val="clear"/>
      <w:jc w:val="left"/>
    </w:pPr>
    <w:rPr>
      <w:rFonts w:ascii="Noto Kufi Arabic;sans-serif" w:hAnsi="Noto Kufi Arabic;sans-serif" w:eastAsia="Noto Kufi Arabic;sans-serif" w:cs="Noto Kufi Arabic;sans-serif"/>
      <w:b/>
      <w:bCs/>
      <w:color w:val="1B3A2F"/>
      <w:sz w:val="20"/>
      <w:szCs w:val="20"/>
    </w:rPr>
  </w:style>
  <w:style w:type="paragraph" w:styleId="BodyTextqn">
    <w:name w:val="Body Text.qn"/>
    <w:basedOn w:val="BodyText"/>
    <w:qFormat/>
    <w:pPr/>
    <w:rPr>
      <w:rFonts w:ascii="Noto Kufi Arabic;sans-serif" w:hAnsi="Noto Kufi Arabic;sans-serif" w:eastAsia="Noto Kufi Arabic;sans-serif" w:cs="Noto Kufi Arabic;sans-serif"/>
      <w:color w:val="1B3A2F"/>
      <w:sz w:val="22"/>
      <w:szCs w:val="22"/>
    </w:rPr>
  </w:style>
  <w:style w:type="paragraph" w:styleId="BodyTextsrc">
    <w:name w:val="Body Text.src"/>
    <w:basedOn w:val="BodyText"/>
    <w:qFormat/>
    <w:pPr/>
    <w:rPr>
      <w:color w:val="5C5C61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ورقة عمل: أحكام النون الساكنة والتنوين — نسخة الأسئلة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