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ind w:hanging="0" w:left="0" w:right="0"/>
        <w:rPr/>
      </w:pPr>
      <w:r>
        <w:rPr>
          <w:rtl w:val="true"/>
        </w:rPr>
        <w:t>كتاب التجويد — الدرس الأولنموذج الإجابة — الدرس الأول</w:t>
      </w:r>
    </w:p>
    <w:p>
      <w:pPr>
        <w:pStyle w:val="BodyTextkicker"/>
        <w:bidi w:val="1"/>
        <w:rPr/>
      </w:pPr>
      <w:r>
        <w:rPr>
          <w:rtl w:val="true"/>
        </w:rPr>
        <w:t>الدرس الأول من خمسة عشر</w:t>
      </w:r>
    </w:p>
    <w:p>
      <w:pPr>
        <w:pStyle w:val="Heading1"/>
        <w:bidi w:val="1"/>
        <w:rPr/>
      </w:pPr>
      <w:r>
        <w:rPr>
          <w:rtl w:val="true"/>
        </w:rPr>
        <w:t>أحكام النون الساكنة والتنوين</w:t>
      </w:r>
      <w:r>
        <w:rPr>
          <w:rtl w:val="true"/>
        </w:rPr>
        <w:br/>
      </w:r>
      <w:r>
        <w:rPr>
          <w:rtl w:val="true"/>
        </w:rPr>
        <w:t>نموذج الإجابة</w:t>
      </w:r>
    </w:p>
    <w:p>
      <w:pPr>
        <w:pStyle w:val="BodyTextlede"/>
        <w:bidi w:val="1"/>
        <w:rPr/>
      </w:pPr>
      <w:r>
        <w:rPr>
          <w:rtl w:val="true"/>
        </w:rPr>
        <w:t>مع كل سؤال شرطُ قبول الإجابة، لا إجابة واحدة حرفية، حتى يصحّح معلّمان الورقة فتخرج الدرجة واحدة</w:t>
      </w:r>
      <w:r>
        <w:rPr>
          <w:rtl w:val="true"/>
        </w:rPr>
        <w:t>.</w:t>
      </w:r>
    </w:p>
    <w:p>
      <w:pPr>
        <w:pStyle w:val="Heading2"/>
        <w:bidi w:val="1"/>
        <w:ind w:hanging="0" w:left="227" w:right="227"/>
        <w:rPr/>
      </w:pPr>
      <w:r>
        <w:rPr/>
        <w:t>١</w:t>
      </w:r>
      <w:r>
        <w:rPr>
          <w:rtl w:val="true"/>
        </w:rPr>
        <w:t xml:space="preserve">. </w:t>
      </w:r>
      <w:r>
        <w:rPr>
          <w:rtl w:val="true"/>
        </w:rPr>
        <w:t xml:space="preserve">استخراج وتعليل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٦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tbl>
      <w:tblPr>
        <w:bidiVisual w:val="true"/>
        <w:tblW w:w="1115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0"/>
        <w:gridCol w:w="1588"/>
        <w:gridCol w:w="667"/>
        <w:gridCol w:w="7734"/>
      </w:tblGrid>
      <w:tr>
        <w:trPr/>
        <w:tc>
          <w:tcPr>
            <w:tcW w:w="1170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الموضع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الحكم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الحرف</w:t>
            </w:r>
          </w:p>
        </w:tc>
        <w:tc>
          <w:tcPr>
            <w:tcW w:w="7734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السبب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مَنْ ءَامَنَ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إظهار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الهمزة</w:t>
            </w:r>
          </w:p>
        </w:tc>
        <w:tc>
          <w:tcPr>
            <w:tcW w:w="7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الهمزة من حروف الحلق الستة، فتُظهر النون الساكنة بلا غنة ظاهرة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٦٢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فَمَن يَعْمَلْ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إدغام بغنة، ناقص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الياء</w:t>
            </w:r>
          </w:p>
        </w:tc>
        <w:tc>
          <w:tcPr>
            <w:tcW w:w="7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 xml:space="preserve">الياء من 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ينمو</w:t>
            </w:r>
            <w:r>
              <w:rPr>
                <w:rtl w:val="true"/>
              </w:rPr>
              <w:t>»</w:t>
            </w:r>
            <w:r>
              <w:rPr>
                <w:rtl w:val="true"/>
              </w:rPr>
              <w:t>، والإدغام فيها ناقص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يذهب ذات النون وتبقى غنتها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الزلزلة </w:t>
            </w:r>
            <w:r>
              <w:rPr/>
              <w:t>٧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مِّن رَّبِّهِمْ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إدغام بلا غنة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الراء</w:t>
            </w:r>
          </w:p>
        </w:tc>
        <w:tc>
          <w:tcPr>
            <w:tcW w:w="7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الراء واللام يُدغم فيهما بلا غنة، فلا تُمَدّ غنة على النون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٥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أَنۢبِئْهُم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إقلاب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الباء</w:t>
            </w:r>
          </w:p>
        </w:tc>
        <w:tc>
          <w:tcPr>
            <w:tcW w:w="7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النون الساكنة قبل الباء تُقلب ميمًا مخفاة بغنة، وعليها الميم الصغيرة في الرسم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٣٣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يُنفِقُونَ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إخفاء حقيقي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الفاء</w:t>
            </w:r>
          </w:p>
        </w:tc>
        <w:tc>
          <w:tcPr>
            <w:tcW w:w="7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الفاء من الحروف الخمسة عشر الباقية، فتُخفى النون مع الغنة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٣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سَمِيعًۢا بَصِيرًۭا</w:t>
            </w:r>
          </w:p>
        </w:tc>
        <w:tc>
          <w:tcPr>
            <w:tcW w:w="158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إقلاب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الباء</w:t>
            </w:r>
          </w:p>
        </w:tc>
        <w:tc>
          <w:tcPr>
            <w:tcW w:w="7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الحكم للتنوين كما هو للنون الساكنة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تنوين ثم باء، فإقلاب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النساء </w:t>
            </w:r>
            <w:r>
              <w:rPr/>
              <w:t>٥٨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BodyText"/>
        <w:bidi w:val="1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>درجة كاملة لكل صف اكتملت فيه الثلاثة</w:t>
      </w:r>
      <w:r>
        <w:rPr>
          <w:color w:val="4A3F2A"/>
          <w:sz w:val="20"/>
          <w:shd w:fill="FFFFFF" w:val="clear"/>
          <w:rtl w:val="true"/>
        </w:rPr>
        <w:t xml:space="preserve">: </w:t>
      </w:r>
      <w:r>
        <w:rPr>
          <w:color w:val="4A3F2A"/>
          <w:szCs w:val="20"/>
          <w:shd w:fill="FFFFFF" w:val="clear"/>
          <w:rtl w:val="true"/>
        </w:rPr>
        <w:t xml:space="preserve">الحكم والحرف وسببٌ يذكر مجموعةَ الحرف </w:t>
      </w:r>
      <w:r>
        <w:rPr>
          <w:color w:val="4A3F2A"/>
          <w:sz w:val="20"/>
          <w:shd w:fill="FFFFFF" w:val="clear"/>
          <w:rtl w:val="true"/>
        </w:rPr>
        <w:t>(</w:t>
      </w:r>
      <w:r>
        <w:rPr>
          <w:color w:val="4A3F2A"/>
          <w:szCs w:val="20"/>
          <w:shd w:fill="FFFFFF" w:val="clear"/>
          <w:rtl w:val="true"/>
        </w:rPr>
        <w:t xml:space="preserve">حلقي </w:t>
      </w:r>
      <w:r>
        <w:rPr>
          <w:color w:val="4A3F2A"/>
          <w:sz w:val="20"/>
          <w:shd w:fill="FFFFFF" w:val="clear"/>
          <w:rtl w:val="true"/>
        </w:rPr>
        <w:t>/ «</w:t>
      </w:r>
      <w:r>
        <w:rPr>
          <w:color w:val="4A3F2A"/>
          <w:szCs w:val="20"/>
          <w:shd w:fill="FFFFFF" w:val="clear"/>
          <w:rtl w:val="true"/>
        </w:rPr>
        <w:t>ينمو</w:t>
      </w:r>
      <w:r>
        <w:rPr>
          <w:color w:val="4A3F2A"/>
          <w:sz w:val="20"/>
          <w:shd w:fill="FFFFFF" w:val="clear"/>
          <w:rtl w:val="true"/>
        </w:rPr>
        <w:t xml:space="preserve">» / </w:t>
      </w:r>
      <w:r>
        <w:rPr>
          <w:color w:val="4A3F2A"/>
          <w:szCs w:val="20"/>
          <w:shd w:fill="FFFFFF" w:val="clear"/>
          <w:rtl w:val="true"/>
        </w:rPr>
        <w:t xml:space="preserve">الراء واللام </w:t>
      </w:r>
      <w:r>
        <w:rPr>
          <w:color w:val="4A3F2A"/>
          <w:sz w:val="20"/>
          <w:shd w:fill="FFFFFF" w:val="clear"/>
          <w:rtl w:val="true"/>
        </w:rPr>
        <w:t xml:space="preserve">/ </w:t>
      </w:r>
      <w:r>
        <w:rPr>
          <w:color w:val="4A3F2A"/>
          <w:szCs w:val="20"/>
          <w:shd w:fill="FFFFFF" w:val="clear"/>
          <w:rtl w:val="true"/>
        </w:rPr>
        <w:t xml:space="preserve">الباء </w:t>
      </w:r>
      <w:r>
        <w:rPr>
          <w:color w:val="4A3F2A"/>
          <w:sz w:val="20"/>
          <w:shd w:fill="FFFFFF" w:val="clear"/>
          <w:rtl w:val="true"/>
        </w:rPr>
        <w:t xml:space="preserve">/ </w:t>
      </w:r>
      <w:r>
        <w:rPr>
          <w:color w:val="4A3F2A"/>
          <w:szCs w:val="20"/>
          <w:shd w:fill="FFFFFF" w:val="clear"/>
          <w:rtl w:val="true"/>
        </w:rPr>
        <w:t>الباقي</w:t>
      </w:r>
      <w:r>
        <w:rPr>
          <w:color w:val="4A3F2A"/>
          <w:sz w:val="20"/>
          <w:shd w:fill="FFFFFF" w:val="clear"/>
          <w:rtl w:val="true"/>
        </w:rPr>
        <w:t xml:space="preserve">). </w:t>
      </w:r>
      <w:r>
        <w:rPr>
          <w:color w:val="4A3F2A"/>
          <w:szCs w:val="20"/>
          <w:shd w:fill="FFFFFF" w:val="clear"/>
          <w:rtl w:val="true"/>
        </w:rPr>
        <w:t>تُخسم نصف درجة إذا صحّ الحكم وغاب الحرف أو السبب</w:t>
      </w:r>
      <w:r>
        <w:rPr>
          <w:color w:val="4A3F2A"/>
          <w:sz w:val="20"/>
          <w:shd w:fill="FFFFFF" w:val="clear"/>
          <w:rtl w:val="true"/>
        </w:rPr>
        <w:t>.</w:t>
      </w:r>
    </w:p>
    <w:p>
      <w:pPr>
        <w:pStyle w:val="Heading2"/>
        <w:bidi w:val="1"/>
        <w:ind w:hanging="0" w:left="227" w:right="227"/>
        <w:rPr/>
      </w:pPr>
      <w:r>
        <w:rPr/>
        <w:t>٢</w:t>
      </w:r>
      <w:r>
        <w:rPr>
          <w:rtl w:val="true"/>
        </w:rPr>
        <w:t xml:space="preserve">. </w:t>
      </w:r>
      <w:r>
        <w:rPr>
          <w:rtl w:val="true"/>
        </w:rPr>
        <w:t xml:space="preserve">تصحيح خطأ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  <w:rtl w:val="true"/>
        </w:rPr>
        <w:t>أ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الصواب</w:t>
      </w:r>
      <w:r>
        <w:rPr>
          <w:rtl w:val="true"/>
        </w:rPr>
        <w:t xml:space="preserve">: </w:t>
      </w:r>
      <w:r>
        <w:rPr>
          <w:rtl w:val="true"/>
        </w:rPr>
        <w:t xml:space="preserve">إدغام </w:t>
      </w:r>
      <w:r>
        <w:rPr>
          <w:bCs/>
          <w:rtl w:val="true"/>
        </w:rPr>
        <w:t>بلا</w:t>
      </w:r>
      <w:r>
        <w:rPr>
          <w:rtl w:val="true"/>
        </w:rPr>
        <w:t xml:space="preserve"> غنة</w:t>
      </w:r>
      <w:r>
        <w:rPr>
          <w:rtl w:val="true"/>
        </w:rPr>
        <w:t xml:space="preserve">. </w:t>
      </w:r>
      <w:r>
        <w:rPr>
          <w:rtl w:val="true"/>
        </w:rPr>
        <w:t>والخطأ في التعليل</w:t>
      </w:r>
      <w:r>
        <w:rPr>
          <w:rtl w:val="true"/>
        </w:rPr>
        <w:t xml:space="preserve">: </w:t>
      </w:r>
      <w:r>
        <w:rPr>
          <w:rtl w:val="true"/>
        </w:rPr>
        <w:t>الغنة ليست لازمة للنون في كل حال، فالراء واللام يُدغم فيهما بلا غنة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  <w:rtl w:val="true"/>
        </w:rPr>
        <w:t>ب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الصواب</w:t>
      </w:r>
      <w:r>
        <w:rPr>
          <w:rtl w:val="true"/>
        </w:rPr>
        <w:t xml:space="preserve">: </w:t>
      </w:r>
      <w:r>
        <w:rPr>
          <w:rtl w:val="true"/>
        </w:rPr>
        <w:t>إقلاب</w:t>
      </w:r>
      <w:r>
        <w:rPr>
          <w:rtl w:val="true"/>
        </w:rPr>
        <w:t xml:space="preserve">. </w:t>
      </w:r>
      <w:r>
        <w:rPr>
          <w:rtl w:val="true"/>
        </w:rPr>
        <w:t>والخطأ في التعليل</w:t>
      </w:r>
      <w:r>
        <w:rPr>
          <w:rtl w:val="true"/>
        </w:rPr>
        <w:t xml:space="preserve">: </w:t>
      </w:r>
      <w:r>
        <w:rPr>
          <w:rtl w:val="true"/>
        </w:rPr>
        <w:t>الباء ليست من حروف الإخفاء، بل حرف الإقلاب الوحيد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firstLine="992" w:left="709" w:right="0"/>
        <w:rPr/>
      </w:pPr>
      <w:r>
        <w:rPr>
          <w:bCs/>
          <w:color w:val="B08A3E"/>
          <w:rtl w:val="true"/>
        </w:rPr>
        <w:t>ج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لا حكم أصلًا</w:t>
      </w:r>
      <w:r>
        <w:rPr>
          <w:rtl w:val="true"/>
        </w:rPr>
        <w:t xml:space="preserve">: </w:t>
      </w:r>
      <w:r>
        <w:rPr>
          <w:rtl w:val="true"/>
        </w:rPr>
        <w:t xml:space="preserve">النون في </w:t>
      </w:r>
      <w:r>
        <w:rPr>
          <w:rFonts w:cs="Noto Naskh Arabic;serif"/>
          <w:color w:val="1B3A2F"/>
          <w:szCs w:val="24"/>
          <w:rtl w:val="true"/>
        </w:rPr>
        <w:t>رَزَقْنَٰهُمْ</w:t>
      </w:r>
      <w:r>
        <w:rPr>
          <w:rtl w:val="true"/>
        </w:rPr>
        <w:t xml:space="preserve"> متحركة </w:t>
      </w:r>
      <w:r>
        <w:rPr>
          <w:rtl w:val="true"/>
        </w:rPr>
        <w:t>(</w:t>
      </w:r>
      <w:r>
        <w:rPr>
          <w:rtl w:val="true"/>
        </w:rPr>
        <w:t>نَا</w:t>
      </w:r>
      <w:r>
        <w:rPr>
          <w:rtl w:val="true"/>
        </w:rPr>
        <w:t>)</w:t>
      </w:r>
      <w:r>
        <w:rPr>
          <w:rtl w:val="true"/>
        </w:rPr>
        <w:t xml:space="preserve">، والأحكام الأربعة إنما تكون للنون </w:t>
      </w:r>
      <w:r>
        <w:rPr>
          <w:bCs/>
          <w:rtl w:val="true"/>
        </w:rPr>
        <w:t>الساكنة</w:t>
      </w:r>
      <w:r>
        <w:rPr>
          <w:rtl w:val="true"/>
        </w:rPr>
        <w:t xml:space="preserve"> والتنوين</w:t>
      </w:r>
      <w:r>
        <w:rPr>
          <w:rtl w:val="true"/>
        </w:rPr>
        <w:t xml:space="preserve">. </w:t>
      </w:r>
    </w:p>
    <w:p>
      <w:pPr>
        <w:pStyle w:val="BodyText"/>
        <w:bidi w:val="1"/>
        <w:spacing w:before="0" w:after="0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>لا تُحتسب الدرجة بتسمية الحكم الصحيح وحده؛ يلزم أن يُسمّي الطالب الخطأ في التعليل</w:t>
      </w:r>
      <w:r>
        <w:rPr>
          <w:color w:val="4A3F2A"/>
          <w:sz w:val="20"/>
          <w:shd w:fill="FFFFFF" w:val="clear"/>
          <w:rtl w:val="true"/>
        </w:rPr>
        <w:t xml:space="preserve">. </w:t>
      </w:r>
      <w:r>
        <w:rPr>
          <w:color w:val="4A3F2A"/>
          <w:szCs w:val="20"/>
          <w:shd w:fill="FFFFFF" w:val="clear"/>
          <w:rtl w:val="true"/>
        </w:rPr>
        <w:t xml:space="preserve">والفقرة </w:t>
      </w:r>
      <w:r>
        <w:rPr>
          <w:color w:val="4A3F2A"/>
          <w:sz w:val="20"/>
          <w:shd w:fill="FFFFFF" w:val="clear"/>
          <w:rtl w:val="true"/>
        </w:rPr>
        <w:t>(</w:t>
      </w:r>
      <w:r>
        <w:rPr>
          <w:color w:val="4A3F2A"/>
          <w:szCs w:val="20"/>
          <w:shd w:fill="FFFFFF" w:val="clear"/>
          <w:rtl w:val="true"/>
        </w:rPr>
        <w:t>ج</w:t>
      </w:r>
      <w:r>
        <w:rPr>
          <w:color w:val="4A3F2A"/>
          <w:sz w:val="20"/>
          <w:shd w:fill="FFFFFF" w:val="clear"/>
          <w:rtl w:val="true"/>
        </w:rPr>
        <w:t xml:space="preserve">) </w:t>
      </w:r>
      <w:r>
        <w:rPr>
          <w:color w:val="4A3F2A"/>
          <w:szCs w:val="20"/>
          <w:shd w:fill="FFFFFF" w:val="clear"/>
          <w:rtl w:val="true"/>
        </w:rPr>
        <w:t>تُقبل بأي صيغة تذكر أن النون متحركة</w:t>
      </w:r>
      <w:r>
        <w:rPr>
          <w:color w:val="4A3F2A"/>
          <w:sz w:val="20"/>
          <w:shd w:fill="FFFFFF" w:val="clear"/>
          <w:rtl w:val="true"/>
        </w:rPr>
        <w:t>.</w:t>
      </w:r>
    </w:p>
    <w:tbl>
      <w:tblPr>
        <w:bidiVisual w:val="true"/>
        <w:tblW w:w="29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5"/>
        <w:gridCol w:w="256"/>
      </w:tblGrid>
      <w:tr>
        <w:trPr/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نموذج الإجابة — الدرس الأول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</w:t>
            </w:r>
          </w:p>
        </w:tc>
      </w:tr>
    </w:tbl>
    <w:p>
      <w:pPr>
        <w:pStyle w:val="BodyText"/>
        <w:bidi w:val="1"/>
        <w:ind w:hanging="0" w:left="0" w:right="0"/>
        <w:rPr/>
      </w:pPr>
      <w:r>
        <w:rPr>
          <w:rtl w:val="true"/>
        </w:rPr>
        <w:t>كتاب التجويد — الدرس الأولنموذج الإجابة — الدرس الأول</w:t>
      </w:r>
    </w:p>
    <w:p>
      <w:pPr>
        <w:pStyle w:val="Heading2"/>
        <w:bidi w:val="1"/>
        <w:ind w:hanging="0" w:left="227" w:right="227"/>
        <w:rPr/>
      </w:pPr>
      <w:r>
        <w:rPr/>
        <w:t>٣</w:t>
      </w:r>
      <w:r>
        <w:rPr>
          <w:rtl w:val="true"/>
        </w:rPr>
        <w:t xml:space="preserve">. </w:t>
      </w:r>
      <w:r>
        <w:rPr>
          <w:rtl w:val="true"/>
        </w:rPr>
        <w:t xml:space="preserve">مقارنة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٤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tbl>
      <w:tblPr>
        <w:bidiVisual w:val="true"/>
        <w:tblW w:w="900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5"/>
        <w:gridCol w:w="2537"/>
        <w:gridCol w:w="4375"/>
      </w:tblGrid>
      <w:tr>
        <w:trPr/>
        <w:tc>
          <w:tcPr>
            <w:tcW w:w="2095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وجه المقارنة</w:t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فَمَن يَعْمَلْ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مِن نُّطْفَةٍ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نوع الإدغام</w:t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ناقص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كامل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ما الذي يبقى من النون؟</w:t>
            </w:r>
          </w:p>
        </w:tc>
        <w:tc>
          <w:tcPr>
            <w:tcW w:w="25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تبقى الغنة ويذهب ذاتها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لا يبقى منها شيء، تدخل في النون الثانية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القاعدة المفرِّقة</w:t>
            </w:r>
          </w:p>
        </w:tc>
        <w:tc>
          <w:tcPr>
            <w:tcW w:w="6912" w:type="dxa"/>
            <w:gridSpan w:val="2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الإدغام في الواو والياء ناقص، وفي النون والميم كامل، والغنة حاضرة في الأربعة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BodyText"/>
        <w:bidi w:val="1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 xml:space="preserve">درجتان للتصنيف الصحيح </w:t>
      </w:r>
      <w:r>
        <w:rPr>
          <w:color w:val="4A3F2A"/>
          <w:sz w:val="20"/>
          <w:shd w:fill="FFFFFF" w:val="clear"/>
          <w:rtl w:val="true"/>
        </w:rPr>
        <w:t>(</w:t>
      </w:r>
      <w:r>
        <w:rPr>
          <w:color w:val="4A3F2A"/>
          <w:szCs w:val="20"/>
          <w:shd w:fill="FFFFFF" w:val="clear"/>
          <w:rtl w:val="true"/>
        </w:rPr>
        <w:t xml:space="preserve">ناقص </w:t>
      </w:r>
      <w:r>
        <w:rPr>
          <w:color w:val="4A3F2A"/>
          <w:sz w:val="20"/>
          <w:shd w:fill="FFFFFF" w:val="clear"/>
          <w:rtl w:val="true"/>
        </w:rPr>
        <w:t xml:space="preserve">/ </w:t>
      </w:r>
      <w:r>
        <w:rPr>
          <w:color w:val="4A3F2A"/>
          <w:szCs w:val="20"/>
          <w:shd w:fill="FFFFFF" w:val="clear"/>
          <w:rtl w:val="true"/>
        </w:rPr>
        <w:t>كامل</w:t>
      </w:r>
      <w:r>
        <w:rPr>
          <w:color w:val="4A3F2A"/>
          <w:sz w:val="20"/>
          <w:shd w:fill="FFFFFF" w:val="clear"/>
          <w:rtl w:val="true"/>
        </w:rPr>
        <w:t>)</w:t>
      </w:r>
      <w:r>
        <w:rPr>
          <w:color w:val="4A3F2A"/>
          <w:szCs w:val="20"/>
          <w:shd w:fill="FFFFFF" w:val="clear"/>
          <w:rtl w:val="true"/>
        </w:rPr>
        <w:t>، ودرجتان لقاعدةٍ تذكر الحرفين في كل قسم</w:t>
      </w:r>
      <w:r>
        <w:rPr>
          <w:color w:val="4A3F2A"/>
          <w:sz w:val="20"/>
          <w:shd w:fill="FFFFFF" w:val="clear"/>
          <w:rtl w:val="true"/>
        </w:rPr>
        <w:t xml:space="preserve">. </w:t>
      </w:r>
      <w:r>
        <w:rPr>
          <w:color w:val="4A3F2A"/>
          <w:szCs w:val="20"/>
          <w:shd w:fill="FFFFFF" w:val="clear"/>
          <w:rtl w:val="true"/>
        </w:rPr>
        <w:t xml:space="preserve">تُقبل عبارة </w:t>
      </w:r>
      <w:r>
        <w:rPr>
          <w:color w:val="4A3F2A"/>
          <w:sz w:val="20"/>
          <w:shd w:fill="FFFFFF" w:val="clear"/>
          <w:rtl w:val="true"/>
        </w:rPr>
        <w:t>«</w:t>
      </w:r>
      <w:r>
        <w:rPr>
          <w:color w:val="4A3F2A"/>
          <w:szCs w:val="20"/>
          <w:shd w:fill="FFFFFF" w:val="clear"/>
          <w:rtl w:val="true"/>
        </w:rPr>
        <w:t>الواو والياء ناقص والنون والميم كامل</w:t>
      </w:r>
      <w:r>
        <w:rPr>
          <w:color w:val="4A3F2A"/>
          <w:sz w:val="20"/>
          <w:shd w:fill="FFFFFF" w:val="clear"/>
          <w:rtl w:val="true"/>
        </w:rPr>
        <w:t xml:space="preserve">» </w:t>
      </w:r>
      <w:r>
        <w:rPr>
          <w:color w:val="4A3F2A"/>
          <w:szCs w:val="20"/>
          <w:shd w:fill="FFFFFF" w:val="clear"/>
          <w:rtl w:val="true"/>
        </w:rPr>
        <w:t>بأي ترتيب</w:t>
      </w:r>
      <w:r>
        <w:rPr>
          <w:color w:val="4A3F2A"/>
          <w:sz w:val="20"/>
          <w:shd w:fill="FFFFFF" w:val="clear"/>
          <w:rtl w:val="true"/>
        </w:rPr>
        <w:t>.</w:t>
      </w:r>
    </w:p>
    <w:p>
      <w:pPr>
        <w:pStyle w:val="Heading2"/>
        <w:bidi w:val="1"/>
        <w:ind w:hanging="0" w:left="227" w:right="227"/>
        <w:rPr/>
      </w:pPr>
      <w:r>
        <w:rPr/>
        <w:t>٤</w:t>
      </w:r>
      <w:r>
        <w:rPr>
          <w:rtl w:val="true"/>
        </w:rPr>
        <w:t xml:space="preserve">. </w:t>
      </w:r>
      <w:r>
        <w:rPr>
          <w:rtl w:val="true"/>
        </w:rPr>
        <w:t>تمييز</w:t>
      </w:r>
      <w:r>
        <w:rPr>
          <w:rtl w:val="true"/>
        </w:rPr>
        <w:t xml:space="preserve">: </w:t>
      </w:r>
      <w:r>
        <w:rPr>
          <w:rtl w:val="true"/>
        </w:rPr>
        <w:t xml:space="preserve">أين لا حكم؟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٤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tbl>
      <w:tblPr>
        <w:bidiVisual w:val="true"/>
        <w:tblW w:w="74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7"/>
        <w:gridCol w:w="1249"/>
        <w:gridCol w:w="5391"/>
      </w:tblGrid>
      <w:tr>
        <w:trPr/>
        <w:tc>
          <w:tcPr>
            <w:tcW w:w="837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الموضع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النوع</w:t>
            </w:r>
          </w:p>
        </w:tc>
        <w:tc>
          <w:tcPr>
            <w:tcW w:w="5391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الحكم</w:t>
            </w:r>
          </w:p>
        </w:tc>
      </w:tr>
      <w:tr>
        <w:trPr/>
        <w:tc>
          <w:tcPr>
            <w:tcW w:w="8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كُنتُمْ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نون ساكنة</w:t>
            </w:r>
          </w:p>
        </w:tc>
        <w:tc>
          <w:tcPr>
            <w:tcW w:w="539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إخفاء، لأن بعدها التاء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٣٣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8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يَوْمًۭا لَّا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تنوين</w:t>
            </w:r>
          </w:p>
        </w:tc>
        <w:tc>
          <w:tcPr>
            <w:tcW w:w="539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إدغام بلا غنة، لأن بعده اللام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٤٨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8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رَزَقْنَٰهُمْ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لا هذا ولا ذاك</w:t>
            </w:r>
          </w:p>
        </w:tc>
        <w:tc>
          <w:tcPr>
            <w:tcW w:w="539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لا حكم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النون متحركة، فليست نونًا ساكنة ولا تنوينًا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٣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8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عَن نَّفْسٍۢ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نون ساكنة</w:t>
            </w:r>
          </w:p>
        </w:tc>
        <w:tc>
          <w:tcPr>
            <w:tcW w:w="539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إدغام بغنة كامل، لأن بعدها نون</w:t>
            </w:r>
            <w:r>
              <w:rPr>
                <w:rtl w:val="true"/>
              </w:rPr>
              <w:t>. (</w:t>
            </w:r>
            <w:r>
              <w:rPr>
                <w:rtl w:val="true"/>
              </w:rPr>
              <w:t xml:space="preserve">البقرة </w:t>
            </w:r>
            <w:r>
              <w:rPr/>
              <w:t>٤٨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BodyText"/>
        <w:bidi w:val="1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>درجة لكل صف، ويلزم في الصف الثالث تعليلٌ يذكر حركة النون</w:t>
      </w:r>
      <w:r>
        <w:rPr>
          <w:color w:val="4A3F2A"/>
          <w:sz w:val="20"/>
          <w:shd w:fill="FFFFFF" w:val="clear"/>
          <w:rtl w:val="true"/>
        </w:rPr>
        <w:t xml:space="preserve">. </w:t>
      </w:r>
      <w:r>
        <w:rPr>
          <w:color w:val="4A3F2A"/>
          <w:szCs w:val="20"/>
          <w:shd w:fill="FFFFFF" w:val="clear"/>
          <w:rtl w:val="true"/>
        </w:rPr>
        <w:t xml:space="preserve">وتُقبل </w:t>
      </w:r>
      <w:r>
        <w:rPr>
          <w:color w:val="4A3F2A"/>
          <w:sz w:val="20"/>
          <w:shd w:fill="FFFFFF" w:val="clear"/>
          <w:rtl w:val="true"/>
        </w:rPr>
        <w:t>«</w:t>
      </w:r>
      <w:r>
        <w:rPr>
          <w:color w:val="4A3F2A"/>
          <w:szCs w:val="20"/>
          <w:shd w:fill="FFFFFF" w:val="clear"/>
          <w:rtl w:val="true"/>
        </w:rPr>
        <w:t>إدغام متماثلين</w:t>
      </w:r>
      <w:r>
        <w:rPr>
          <w:color w:val="4A3F2A"/>
          <w:sz w:val="20"/>
          <w:shd w:fill="FFFFFF" w:val="clear"/>
          <w:rtl w:val="true"/>
        </w:rPr>
        <w:t xml:space="preserve">» </w:t>
      </w:r>
      <w:r>
        <w:rPr>
          <w:color w:val="4A3F2A"/>
          <w:szCs w:val="20"/>
          <w:shd w:fill="FFFFFF" w:val="clear"/>
          <w:rtl w:val="true"/>
        </w:rPr>
        <w:t>في الصف الرابع مع الغنة</w:t>
      </w:r>
      <w:r>
        <w:rPr>
          <w:color w:val="4A3F2A"/>
          <w:sz w:val="20"/>
          <w:shd w:fill="FFFFFF" w:val="clear"/>
          <w:rtl w:val="true"/>
        </w:rPr>
        <w:t>.</w:t>
      </w:r>
    </w:p>
    <w:p>
      <w:pPr>
        <w:pStyle w:val="Heading2"/>
        <w:bidi w:val="1"/>
        <w:ind w:hanging="0" w:left="227" w:right="227"/>
        <w:rPr/>
      </w:pPr>
      <w:r>
        <w:rPr/>
        <w:t>٥</w:t>
      </w:r>
      <w:r>
        <w:rPr>
          <w:rtl w:val="true"/>
        </w:rPr>
        <w:t xml:space="preserve">. </w:t>
      </w:r>
      <w:r>
        <w:rPr>
          <w:rtl w:val="true"/>
        </w:rPr>
        <w:t xml:space="preserve">تعليل رسم المصحف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 w:right="0"/>
        <w:rPr/>
      </w:pPr>
      <w:r>
        <w:rPr>
          <w:bCs/>
          <w:color w:val="B08A3E"/>
          <w:rtl w:val="true"/>
        </w:rPr>
        <w:t>أ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النون أُدغمت في الميم إدغامًا كاملًا بغنة، فكُتبت ميمًا مشدّدة ولم تُرسم النون</w:t>
      </w:r>
      <w:r>
        <w:rPr>
          <w:rtl w:val="true"/>
        </w:rPr>
        <w:t xml:space="preserve">: </w:t>
      </w:r>
      <w:r>
        <w:rPr>
          <w:rFonts w:cs="Noto Naskh Arabic;serif"/>
          <w:color w:val="1B3A2F"/>
          <w:szCs w:val="24"/>
          <w:rtl w:val="true"/>
        </w:rPr>
        <w:t>وَمِمَّا رَزَقْنَٰهُمْ</w:t>
      </w:r>
      <w:r>
        <w:rPr>
          <w:rtl w:val="true"/>
        </w:rPr>
        <w:t xml:space="preserve"> أصلها </w:t>
      </w:r>
      <w:r>
        <w:rPr>
          <w:rtl w:val="true"/>
        </w:rPr>
        <w:t>«</w:t>
      </w:r>
      <w:r>
        <w:rPr>
          <w:rtl w:val="true"/>
        </w:rPr>
        <w:t>مِن ما</w:t>
      </w:r>
      <w:r>
        <w:rPr>
          <w:rtl w:val="true"/>
        </w:rPr>
        <w:t>». (</w:t>
      </w:r>
      <w:r>
        <w:rPr>
          <w:rtl w:val="true"/>
        </w:rPr>
        <w:t xml:space="preserve">البقرة </w:t>
      </w:r>
      <w:r>
        <w:rPr/>
        <w:t>٣</w:t>
      </w:r>
      <w:r>
        <w:rPr>
          <w:rtl w:val="true"/>
        </w:rPr>
        <w:t xml:space="preserve">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4" w:leader="none"/>
        </w:tabs>
        <w:bidi w:val="1"/>
        <w:ind w:firstLine="992" w:left="794" w:right="0"/>
        <w:rPr/>
      </w:pPr>
      <w:r>
        <w:rPr>
          <w:bCs/>
          <w:color w:val="B08A3E"/>
          <w:rtl w:val="true"/>
        </w:rPr>
        <w:t>ب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الميم الصغيرة علامةُ الإقلاب</w:t>
      </w:r>
      <w:r>
        <w:rPr>
          <w:rtl w:val="true"/>
        </w:rPr>
        <w:t xml:space="preserve">: </w:t>
      </w:r>
      <w:r>
        <w:rPr>
          <w:rtl w:val="true"/>
        </w:rPr>
        <w:t>تُقرأ النون ميمًا مخفاة بغنة، وخلوُّ النون من الحركة والسكون معًا يدلّ على أنها لا تُنطق نونًا</w:t>
      </w:r>
      <w:r>
        <w:rPr>
          <w:rtl w:val="true"/>
        </w:rPr>
        <w:t xml:space="preserve">. </w:t>
      </w:r>
    </w:p>
    <w:p>
      <w:pPr>
        <w:pStyle w:val="BodyText"/>
        <w:bidi w:val="1"/>
        <w:spacing w:before="0" w:after="0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 xml:space="preserve">في </w:t>
      </w:r>
      <w:r>
        <w:rPr>
          <w:color w:val="4A3F2A"/>
          <w:sz w:val="20"/>
          <w:shd w:fill="FFFFFF" w:val="clear"/>
          <w:rtl w:val="true"/>
        </w:rPr>
        <w:t>(</w:t>
      </w:r>
      <w:r>
        <w:rPr>
          <w:color w:val="4A3F2A"/>
          <w:szCs w:val="20"/>
          <w:shd w:fill="FFFFFF" w:val="clear"/>
          <w:rtl w:val="true"/>
        </w:rPr>
        <w:t>أ</w:t>
      </w:r>
      <w:r>
        <w:rPr>
          <w:color w:val="4A3F2A"/>
          <w:sz w:val="20"/>
          <w:shd w:fill="FFFFFF" w:val="clear"/>
          <w:rtl w:val="true"/>
        </w:rPr>
        <w:t xml:space="preserve">) </w:t>
      </w:r>
      <w:r>
        <w:rPr>
          <w:color w:val="4A3F2A"/>
          <w:szCs w:val="20"/>
          <w:shd w:fill="FFFFFF" w:val="clear"/>
          <w:rtl w:val="true"/>
        </w:rPr>
        <w:t xml:space="preserve">يلزم ذكر الإدغام الكامل أو دخول النون في الميم؛ ولا تُقبل </w:t>
      </w:r>
      <w:r>
        <w:rPr>
          <w:color w:val="4A3F2A"/>
          <w:sz w:val="20"/>
          <w:shd w:fill="FFFFFF" w:val="clear"/>
          <w:rtl w:val="true"/>
        </w:rPr>
        <w:t>«</w:t>
      </w:r>
      <w:r>
        <w:rPr>
          <w:color w:val="4A3F2A"/>
          <w:szCs w:val="20"/>
          <w:shd w:fill="FFFFFF" w:val="clear"/>
          <w:rtl w:val="true"/>
        </w:rPr>
        <w:t>حُذفت تخفيفًا</w:t>
      </w:r>
      <w:r>
        <w:rPr>
          <w:color w:val="4A3F2A"/>
          <w:sz w:val="20"/>
          <w:shd w:fill="FFFFFF" w:val="clear"/>
          <w:rtl w:val="true"/>
        </w:rPr>
        <w:t xml:space="preserve">» </w:t>
      </w:r>
      <w:r>
        <w:rPr>
          <w:color w:val="4A3F2A"/>
          <w:szCs w:val="20"/>
          <w:shd w:fill="FFFFFF" w:val="clear"/>
          <w:rtl w:val="true"/>
        </w:rPr>
        <w:t>وحدها</w:t>
      </w:r>
      <w:r>
        <w:rPr>
          <w:color w:val="4A3F2A"/>
          <w:sz w:val="20"/>
          <w:shd w:fill="FFFFFF" w:val="clear"/>
          <w:rtl w:val="true"/>
        </w:rPr>
        <w:t xml:space="preserve">. </w:t>
      </w:r>
      <w:r>
        <w:rPr>
          <w:color w:val="4A3F2A"/>
          <w:szCs w:val="20"/>
          <w:shd w:fill="FFFFFF" w:val="clear"/>
          <w:rtl w:val="true"/>
        </w:rPr>
        <w:t xml:space="preserve">وفي </w:t>
      </w:r>
      <w:r>
        <w:rPr>
          <w:color w:val="4A3F2A"/>
          <w:sz w:val="20"/>
          <w:shd w:fill="FFFFFF" w:val="clear"/>
          <w:rtl w:val="true"/>
        </w:rPr>
        <w:t>(</w:t>
      </w:r>
      <w:r>
        <w:rPr>
          <w:color w:val="4A3F2A"/>
          <w:szCs w:val="20"/>
          <w:shd w:fill="FFFFFF" w:val="clear"/>
          <w:rtl w:val="true"/>
        </w:rPr>
        <w:t>ب</w:t>
      </w:r>
      <w:r>
        <w:rPr>
          <w:color w:val="4A3F2A"/>
          <w:sz w:val="20"/>
          <w:shd w:fill="FFFFFF" w:val="clear"/>
          <w:rtl w:val="true"/>
        </w:rPr>
        <w:t xml:space="preserve">) </w:t>
      </w:r>
      <w:r>
        <w:rPr>
          <w:color w:val="4A3F2A"/>
          <w:szCs w:val="20"/>
          <w:shd w:fill="FFFFFF" w:val="clear"/>
          <w:rtl w:val="true"/>
        </w:rPr>
        <w:t>يلزم ربط العلامة بالنطق، لا وصف شكلها</w:t>
      </w:r>
      <w:r>
        <w:rPr>
          <w:color w:val="4A3F2A"/>
          <w:sz w:val="20"/>
          <w:shd w:fill="FFFFFF" w:val="clear"/>
          <w:rtl w:val="true"/>
        </w:rPr>
        <w:t>.</w:t>
      </w:r>
    </w:p>
    <w:tbl>
      <w:tblPr>
        <w:bidiVisual w:val="true"/>
        <w:tblW w:w="29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5"/>
        <w:gridCol w:w="256"/>
      </w:tblGrid>
      <w:tr>
        <w:trPr/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نموذج الإجابة — الدرس الأول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٢</w:t>
            </w:r>
          </w:p>
        </w:tc>
      </w:tr>
    </w:tbl>
    <w:p>
      <w:pPr>
        <w:pStyle w:val="BodyText"/>
        <w:bidi w:val="1"/>
        <w:ind w:hanging="0" w:left="0" w:right="0"/>
        <w:rPr/>
      </w:pPr>
      <w:r>
        <w:rPr>
          <w:rtl w:val="true"/>
        </w:rPr>
        <w:t>كتاب التجويد — الدرس الأولنموذج الإجابة — الدرس الأول</w:t>
      </w:r>
    </w:p>
    <w:p>
      <w:pPr>
        <w:pStyle w:val="Heading2"/>
        <w:bidi w:val="1"/>
        <w:ind w:hanging="0" w:left="227" w:right="227"/>
        <w:rPr/>
      </w:pPr>
      <w:r>
        <w:rPr/>
        <w:t>٦</w:t>
      </w:r>
      <w:r>
        <w:rPr>
          <w:rtl w:val="true"/>
        </w:rPr>
        <w:t xml:space="preserve">. </w:t>
      </w:r>
      <w:r>
        <w:rPr>
          <w:rtl w:val="true"/>
        </w:rPr>
        <w:t xml:space="preserve">موقف أداء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٤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"/>
        <w:bidi w:val="1"/>
        <w:ind w:hanging="0" w:left="0" w:right="0"/>
        <w:rPr/>
      </w:pPr>
      <w:r>
        <w:rPr>
          <w:rtl w:val="true"/>
        </w:rPr>
        <w:t>أ</w:t>
      </w:r>
      <w:r>
        <w:rPr>
          <w:rtl w:val="true"/>
        </w:rPr>
        <w:t xml:space="preserve">. </w:t>
      </w:r>
      <w:r>
        <w:rPr>
          <w:rFonts w:cs="Noto Naskh Arabic;serif"/>
          <w:color w:val="1B3A2F"/>
          <w:szCs w:val="24"/>
          <w:rtl w:val="true"/>
        </w:rPr>
        <w:t>هُدًۭى مِّن</w:t>
      </w:r>
      <w:r>
        <w:rPr>
          <w:rtl w:val="true"/>
        </w:rPr>
        <w:t xml:space="preserve">: </w:t>
      </w:r>
      <w:r>
        <w:rPr>
          <w:rtl w:val="true"/>
        </w:rPr>
        <w:t>تنوين ثم ميم، فإدغام بغنة كامل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Fonts w:cs="Noto Naskh Arabic;serif"/>
          <w:color w:val="1B3A2F"/>
          <w:szCs w:val="24"/>
          <w:rtl w:val="true"/>
        </w:rPr>
        <w:t>مِّن رَّبِّهِمْ</w:t>
      </w:r>
      <w:r>
        <w:rPr>
          <w:rtl w:val="true"/>
        </w:rPr>
        <w:t xml:space="preserve">: </w:t>
      </w:r>
      <w:r>
        <w:rPr>
          <w:rtl w:val="true"/>
        </w:rPr>
        <w:t>نون ساكنة ثم راء، فإدغام بلا غنة</w:t>
      </w:r>
      <w:r>
        <w:rPr>
          <w:rtl w:val="true"/>
        </w:rPr>
        <w:t>. (</w:t>
      </w:r>
      <w:r>
        <w:rPr>
          <w:rtl w:val="true"/>
        </w:rPr>
        <w:t xml:space="preserve">البقرة </w:t>
      </w:r>
      <w:r>
        <w:rPr/>
        <w:t>٥</w:t>
      </w:r>
      <w:r>
        <w:rPr>
          <w:rtl w:val="true"/>
        </w:rPr>
        <w:t>)</w:t>
      </w:r>
    </w:p>
    <w:p>
      <w:pPr>
        <w:pStyle w:val="BodyText"/>
        <w:bidi w:val="1"/>
        <w:rPr/>
      </w:pPr>
      <w:r>
        <w:rPr>
          <w:rtl w:val="true"/>
        </w:rPr>
        <w:t>ب</w:t>
      </w:r>
      <w:r>
        <w:rPr>
          <w:rtl w:val="true"/>
        </w:rPr>
        <w:t xml:space="preserve">. </w:t>
      </w:r>
      <w:r>
        <w:rPr>
          <w:rtl w:val="true"/>
        </w:rPr>
        <w:t>الخطأ في الموضع الثاني</w:t>
      </w:r>
      <w:r>
        <w:rPr>
          <w:rtl w:val="true"/>
        </w:rPr>
        <w:t xml:space="preserve">: </w:t>
      </w:r>
      <w:r>
        <w:rPr>
          <w:rtl w:val="true"/>
        </w:rPr>
        <w:t>غَنَّ في موضع لا غنة فيه</w:t>
      </w:r>
      <w:r>
        <w:rPr>
          <w:rtl w:val="true"/>
        </w:rPr>
        <w:t xml:space="preserve">. </w:t>
      </w:r>
      <w:r>
        <w:rPr>
          <w:rtl w:val="true"/>
        </w:rPr>
        <w:t xml:space="preserve">وتعليله </w:t>
      </w:r>
      <w:r>
        <w:rPr>
          <w:rtl w:val="true"/>
        </w:rPr>
        <w:t>«</w:t>
      </w:r>
      <w:r>
        <w:rPr>
          <w:rtl w:val="true"/>
        </w:rPr>
        <w:t>أدغمتُ فاستوى الحكم</w:t>
      </w:r>
      <w:r>
        <w:rPr>
          <w:rtl w:val="true"/>
        </w:rPr>
        <w:t xml:space="preserve">» </w:t>
      </w:r>
      <w:r>
        <w:rPr>
          <w:rtl w:val="true"/>
        </w:rPr>
        <w:t>فاسد، لأن الإدغام قسمان</w:t>
      </w:r>
      <w:r>
        <w:rPr>
          <w:rtl w:val="true"/>
        </w:rPr>
        <w:t xml:space="preserve">: </w:t>
      </w:r>
      <w:r>
        <w:rPr>
          <w:rtl w:val="true"/>
        </w:rPr>
        <w:t xml:space="preserve">بغنة في </w:t>
      </w:r>
      <w:r>
        <w:rPr>
          <w:rtl w:val="true"/>
        </w:rPr>
        <w:t>«</w:t>
      </w:r>
      <w:r>
        <w:rPr>
          <w:rtl w:val="true"/>
        </w:rPr>
        <w:t>ينمو</w:t>
      </w:r>
      <w:r>
        <w:rPr>
          <w:rtl w:val="true"/>
        </w:rPr>
        <w:t xml:space="preserve">» </w:t>
      </w:r>
      <w:r>
        <w:rPr>
          <w:rtl w:val="true"/>
        </w:rPr>
        <w:t>وبلا غنة في الراء واللام</w:t>
      </w:r>
      <w:r>
        <w:rPr>
          <w:rtl w:val="true"/>
        </w:rPr>
        <w:t>.</w:t>
      </w:r>
    </w:p>
    <w:p>
      <w:pPr>
        <w:pStyle w:val="BodyText"/>
        <w:bidi w:val="1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>درجتان للحكمين، ودرجتان لتحديد الموضع الثاني مع ذكر أن الغنة هي الزائدة</w:t>
      </w:r>
      <w:r>
        <w:rPr>
          <w:color w:val="4A3F2A"/>
          <w:sz w:val="20"/>
          <w:shd w:fill="FFFFFF" w:val="clear"/>
          <w:rtl w:val="true"/>
        </w:rPr>
        <w:t xml:space="preserve">. </w:t>
      </w:r>
      <w:r>
        <w:rPr>
          <w:color w:val="4A3F2A"/>
          <w:szCs w:val="20"/>
          <w:shd w:fill="FFFFFF" w:val="clear"/>
          <w:rtl w:val="true"/>
        </w:rPr>
        <w:t xml:space="preserve">لا تُقبل إجابة تقول </w:t>
      </w:r>
      <w:r>
        <w:rPr>
          <w:color w:val="4A3F2A"/>
          <w:sz w:val="20"/>
          <w:shd w:fill="FFFFFF" w:val="clear"/>
          <w:rtl w:val="true"/>
        </w:rPr>
        <w:t>«</w:t>
      </w:r>
      <w:r>
        <w:rPr>
          <w:color w:val="4A3F2A"/>
          <w:szCs w:val="20"/>
          <w:shd w:fill="FFFFFF" w:val="clear"/>
          <w:rtl w:val="true"/>
        </w:rPr>
        <w:t>الخطأ في الاثنين</w:t>
      </w:r>
      <w:r>
        <w:rPr>
          <w:color w:val="4A3F2A"/>
          <w:sz w:val="20"/>
          <w:shd w:fill="FFFFFF" w:val="clear"/>
          <w:rtl w:val="true"/>
        </w:rPr>
        <w:t>».</w:t>
      </w:r>
    </w:p>
    <w:p>
      <w:pPr>
        <w:pStyle w:val="Heading2"/>
        <w:bidi w:val="1"/>
        <w:ind w:hanging="0" w:left="227" w:right="227"/>
        <w:rPr/>
      </w:pPr>
      <w:r>
        <w:rPr/>
        <w:t>٧</w:t>
      </w:r>
      <w:r>
        <w:rPr>
          <w:rtl w:val="true"/>
        </w:rPr>
        <w:t xml:space="preserve">. </w:t>
      </w:r>
      <w:r>
        <w:rPr>
          <w:rtl w:val="true"/>
        </w:rPr>
        <w:t xml:space="preserve">الغنة ومقدارها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"/>
        <w:bidi w:val="1"/>
        <w:rPr/>
      </w:pPr>
      <w:r>
        <w:rPr>
          <w:rtl w:val="true"/>
        </w:rPr>
        <w:t>الإدغام بغنة والإقلاب والإخفاء</w:t>
      </w:r>
      <w:r>
        <w:rPr>
          <w:rtl w:val="true"/>
        </w:rPr>
        <w:t xml:space="preserve">: </w:t>
      </w:r>
      <w:r>
        <w:rPr>
          <w:rtl w:val="true"/>
        </w:rPr>
        <w:t>فيها غنة</w:t>
      </w:r>
      <w:r>
        <w:rPr>
          <w:rtl w:val="true"/>
        </w:rPr>
        <w:t xml:space="preserve">. </w:t>
      </w:r>
      <w:r>
        <w:rPr>
          <w:rtl w:val="true"/>
        </w:rPr>
        <w:t>والإظهار</w:t>
      </w:r>
      <w:r>
        <w:rPr>
          <w:rtl w:val="true"/>
        </w:rPr>
        <w:t xml:space="preserve">: </w:t>
      </w:r>
      <w:r>
        <w:rPr>
          <w:rtl w:val="true"/>
        </w:rPr>
        <w:t>لا غنة فيه</w:t>
      </w:r>
      <w:r>
        <w:rPr>
          <w:rtl w:val="true"/>
        </w:rPr>
        <w:t xml:space="preserve">. </w:t>
      </w:r>
      <w:r>
        <w:rPr>
          <w:rtl w:val="true"/>
        </w:rPr>
        <w:t>والإدغام بلا غنة</w:t>
      </w:r>
      <w:r>
        <w:rPr>
          <w:rtl w:val="true"/>
        </w:rPr>
        <w:t xml:space="preserve">: </w:t>
      </w:r>
      <w:r>
        <w:rPr>
          <w:rtl w:val="true"/>
        </w:rPr>
        <w:t>استُثني من الإدغام لذلك</w:t>
      </w:r>
      <w:r>
        <w:rPr>
          <w:rtl w:val="true"/>
        </w:rPr>
        <w:t xml:space="preserve">. </w:t>
      </w:r>
      <w:r>
        <w:rPr>
          <w:rtl w:val="true"/>
        </w:rPr>
        <w:t>ومقدار الغنة عند من يقدّرها</w:t>
      </w:r>
      <w:r>
        <w:rPr>
          <w:rtl w:val="true"/>
        </w:rPr>
        <w:t xml:space="preserve">: </w:t>
      </w:r>
      <w:r>
        <w:rPr>
          <w:rtl w:val="true"/>
        </w:rPr>
        <w:t>حركتان</w:t>
      </w:r>
      <w:r>
        <w:rPr>
          <w:rtl w:val="true"/>
        </w:rPr>
        <w:t>.</w:t>
      </w:r>
    </w:p>
    <w:p>
      <w:pPr>
        <w:pStyle w:val="BodyText"/>
        <w:bidi w:val="1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>درجتان لقسمة الأحكام قسمةً صحيحة بين ما فيه غنة وما لا غنة فيه، ودرجة لذكر الحركتين</w:t>
      </w:r>
      <w:r>
        <w:rPr>
          <w:color w:val="4A3F2A"/>
          <w:sz w:val="20"/>
          <w:shd w:fill="FFFFFF" w:val="clear"/>
          <w:rtl w:val="true"/>
        </w:rPr>
        <w:t xml:space="preserve">. </w:t>
      </w:r>
      <w:r>
        <w:rPr>
          <w:color w:val="4A3F2A"/>
          <w:szCs w:val="20"/>
          <w:shd w:fill="FFFFFF" w:val="clear"/>
          <w:rtl w:val="true"/>
        </w:rPr>
        <w:t>يُقبل أن يذكر الطالب أن غنة النون والميم المشدّدتين أكمل</w:t>
      </w:r>
      <w:r>
        <w:rPr>
          <w:color w:val="4A3F2A"/>
          <w:sz w:val="20"/>
          <w:shd w:fill="FFFFFF" w:val="clear"/>
          <w:rtl w:val="true"/>
        </w:rPr>
        <w:t>.</w:t>
      </w:r>
    </w:p>
    <w:p>
      <w:pPr>
        <w:pStyle w:val="Heading2"/>
        <w:bidi w:val="1"/>
        <w:ind w:hanging="0" w:left="227" w:right="227"/>
        <w:rPr/>
      </w:pPr>
      <w:r>
        <w:rPr/>
        <w:t>٨</w:t>
      </w:r>
      <w:r>
        <w:rPr>
          <w:rtl w:val="true"/>
        </w:rPr>
        <w:t xml:space="preserve">. </w:t>
      </w:r>
      <w:r>
        <w:rPr>
          <w:rtl w:val="true"/>
        </w:rPr>
        <w:t xml:space="preserve">تطبيق حر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"/>
        <w:bidi w:val="1"/>
        <w:rPr/>
      </w:pPr>
      <w:r>
        <w:rPr>
          <w:rtl w:val="true"/>
        </w:rPr>
        <w:t>تُصحَّح من سورة الطالب نفسها</w:t>
      </w:r>
      <w:r>
        <w:rPr>
          <w:rtl w:val="true"/>
        </w:rPr>
        <w:t xml:space="preserve">. </w:t>
      </w:r>
      <w:r>
        <w:rPr>
          <w:rtl w:val="true"/>
        </w:rPr>
        <w:t>يُقبل الموضع إذا تحقّق فيه شرطان</w:t>
      </w:r>
      <w:r>
        <w:rPr>
          <w:rtl w:val="true"/>
        </w:rPr>
        <w:t xml:space="preserve">: </w:t>
      </w:r>
      <w:r>
        <w:rPr>
          <w:rtl w:val="true"/>
        </w:rPr>
        <w:t>أن يكون قبل الحرف نونٌ ساكنة أو تنوين، وأن يكون الحرف من مجموعة الحكم المذكور</w:t>
      </w:r>
      <w:r>
        <w:rPr>
          <w:rtl w:val="true"/>
        </w:rPr>
        <w:t xml:space="preserve">. </w:t>
      </w:r>
      <w:r>
        <w:rPr>
          <w:rtl w:val="true"/>
        </w:rPr>
        <w:t>وأشهر ما يخطئ فيه الطلبة أربعة</w:t>
      </w:r>
      <w:r>
        <w:rPr>
          <w:rtl w:val="true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 w:right="0"/>
        <w:rPr/>
      </w:pPr>
      <w:r>
        <w:rPr>
          <w:bCs/>
          <w:color w:val="B08A3E"/>
        </w:rPr>
        <w:t>١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عدّ النون المتحركة حكمًا </w:t>
      </w:r>
      <w:r>
        <w:rPr>
          <w:rtl w:val="true"/>
        </w:rPr>
        <w:t>(</w:t>
      </w:r>
      <w:r>
        <w:rPr>
          <w:rtl w:val="true"/>
        </w:rPr>
        <w:t xml:space="preserve">مثل </w:t>
      </w:r>
      <w:r>
        <w:rPr>
          <w:rFonts w:cs="Noto Naskh Arabic;serif"/>
          <w:color w:val="1B3A2F"/>
          <w:szCs w:val="24"/>
          <w:rtl w:val="true"/>
        </w:rPr>
        <w:t>رَزَقْنَٰهُمْ</w:t>
      </w:r>
      <w:r>
        <w:rPr>
          <w:rtl w:val="true"/>
        </w:rPr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٢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عدّ الميم الساكنة من هذا الدرس، وحكمها في درس الميم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٣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جعل النون المشدّدة إدغامًا، وإنما هي غنة لازمة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4" w:leader="none"/>
        </w:tabs>
        <w:bidi w:val="1"/>
        <w:ind w:firstLine="992" w:left="794" w:right="0"/>
        <w:rPr/>
      </w:pPr>
      <w:r>
        <w:rPr>
          <w:bCs/>
          <w:color w:val="B08A3E"/>
        </w:rPr>
        <w:t>٤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اعتبار الباء من حروف الإخفاء، وهي حرف الإقلاب وحده</w:t>
      </w:r>
      <w:r>
        <w:rPr>
          <w:rtl w:val="true"/>
        </w:rPr>
        <w:t xml:space="preserve">. </w:t>
      </w:r>
    </w:p>
    <w:p>
      <w:pPr>
        <w:pStyle w:val="BodyText"/>
        <w:bidi w:val="1"/>
        <w:ind w:hanging="0" w:left="0" w:right="0"/>
        <w:rPr>
          <w:shd w:fill="FFFFFF" w:val="clear"/>
        </w:rPr>
      </w:pPr>
      <w:r>
        <w:rPr>
          <w:bCs/>
          <w:shd w:fill="FFFFFF" w:val="clear"/>
          <w:rtl w:val="true"/>
        </w:rPr>
        <w:t>شرط القبول</w:t>
      </w:r>
      <w:r>
        <w:rPr>
          <w:b/>
          <w:shd w:fill="FFFFFF" w:val="clear"/>
          <w:rtl w:val="true"/>
        </w:rPr>
        <w:t>:</w:t>
      </w:r>
      <w:r>
        <w:rPr>
          <w:shd w:fill="FFFFFF" w:val="clear"/>
          <w:rtl w:val="true"/>
        </w:rPr>
        <w:t xml:space="preserve"> </w:t>
      </w:r>
      <w:r>
        <w:rPr>
          <w:color w:val="4A3F2A"/>
          <w:szCs w:val="20"/>
          <w:shd w:fill="FFFFFF" w:val="clear"/>
          <w:rtl w:val="true"/>
        </w:rPr>
        <w:t>درجة لكل حكمين صحيحين بموضعهما ورقم آيتهما؛ ولا تُحتسب إجابة بلا رقم آية</w:t>
      </w:r>
      <w:r>
        <w:rPr>
          <w:color w:val="4A3F2A"/>
          <w:sz w:val="20"/>
          <w:shd w:fill="FFFFFF" w:val="clear"/>
          <w:rtl w:val="true"/>
        </w:rPr>
        <w:t>.</w:t>
      </w:r>
    </w:p>
    <w:p>
      <w:pPr>
        <w:pStyle w:val="BodyTextsrc"/>
        <w:bidi w:val="1"/>
        <w:rPr/>
      </w:pPr>
      <w:r>
        <w:rPr>
          <w:rtl w:val="true"/>
        </w:rPr>
        <w:t>نص المواضع من المصحف العثماني، وأرقام الآيات مثبتة مع كل موضع</w:t>
      </w:r>
      <w:r>
        <w:rPr>
          <w:rtl w:val="true"/>
        </w:rPr>
        <w:t xml:space="preserve">. </w:t>
      </w:r>
      <w:r>
        <w:rPr>
          <w:rtl w:val="true"/>
        </w:rPr>
        <w:t>المجموع</w:t>
      </w:r>
      <w:r>
        <w:rPr>
          <w:rtl w:val="true"/>
        </w:rPr>
        <w:t xml:space="preserve">: </w:t>
      </w:r>
      <w:r>
        <w:rPr/>
        <w:t>٣٠</w:t>
      </w:r>
      <w:r>
        <w:rPr>
          <w:rtl w:val="true"/>
        </w:rPr>
        <w:t xml:space="preserve"> درجة</w:t>
      </w:r>
      <w:r>
        <w:rPr>
          <w:rtl w:val="true"/>
        </w:rPr>
        <w:t>.</w:t>
      </w:r>
    </w:p>
    <w:tbl>
      <w:tblPr>
        <w:bidiVisual w:val="true"/>
        <w:tblW w:w="29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5"/>
        <w:gridCol w:w="256"/>
      </w:tblGrid>
      <w:tr>
        <w:trPr/>
        <w:tc>
          <w:tcPr>
            <w:tcW w:w="269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نموذج الإجابة — الدرس الأول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٣</w:t>
            </w:r>
          </w:p>
        </w:tc>
      </w:tr>
    </w:tbl>
    <w:p>
      <w:pPr>
        <w:pStyle w:val="BodyText"/>
        <w:bidi w:val="1"/>
        <w:spacing w:before="0" w:after="142"/>
        <w:rPr/>
      </w:pPr>
      <w:r>
        <w:rPr>
          <w:rtl w:val="true"/>
        </w:rPr>
      </w:r>
    </w:p>
    <w:sectPr>
      <w:type w:val="nextPage"/>
      <w:pgSz w:w="11906" w:h="16838"/>
      <w:pgMar w:left="1020" w:right="1020" w:gutter="0" w:header="0" w:top="1134" w:footer="0" w:bottom="1020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Kufi Arabic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36" w:before="240" w:after="170"/>
    </w:pPr>
    <w:rPr>
      <w:rFonts w:ascii="Noto Kufi Arabic;sans-serif" w:hAnsi="Noto Kufi Arabic;sans-serif" w:eastAsia="Noto Kufi Arabic;sans-serif" w:cs="Noto Kufi Arabic;sans-serif"/>
      <w:b/>
      <w:bCs/>
      <w:color w:val="1B3A2F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227" w:after="113"/>
      <w:ind w:left="227" w:right="227"/>
      <w:outlineLvl w:val="1"/>
    </w:pPr>
    <w:rPr>
      <w:rFonts w:ascii="Noto Kufi Arabic;sans-serif" w:hAnsi="Noto Kufi Arabic;sans-serif" w:eastAsia="Noto Kufi Arabic;sans-serif" w:cs="Noto Kufi Arabic;sans-serif"/>
      <w:b/>
      <w:bCs/>
      <w:color w:val="1B3A2F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27" w:after="85"/>
      <w:ind w:left="227" w:right="227"/>
      <w:outlineLvl w:val="2"/>
    </w:pPr>
    <w:rPr>
      <w:rFonts w:ascii="Noto Kufi Arabic;sans-serif" w:hAnsi="Noto Kufi Arabic;sans-serif" w:eastAsia="Noto Kufi Arabic;sans-serif" w:cs="Noto Kufi Arabic;sans-serif"/>
      <w:b/>
      <w:bCs/>
      <w:color w:val="4A3F2A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142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kicker">
    <w:name w:val="Body Text.kicker"/>
    <w:basedOn w:val="BodyText"/>
    <w:qFormat/>
    <w:pPr/>
    <w:rPr>
      <w:rFonts w:ascii="Noto Kufi Arabic;sans-serif" w:hAnsi="Noto Kufi Arabic;sans-serif" w:eastAsia="Noto Kufi Arabic;sans-serif" w:cs="Noto Kufi Arabic;sans-serif"/>
      <w:b w:val="false"/>
      <w:bCs w:val="false"/>
      <w:i w:val="false"/>
      <w:iCs w:val="false"/>
      <w:caps w:val="false"/>
      <w:smallCaps w:val="false"/>
      <w:color w:val="7A6A52"/>
      <w:sz w:val="19"/>
      <w:szCs w:val="19"/>
    </w:rPr>
  </w:style>
  <w:style w:type="paragraph" w:styleId="BodyTextlede">
    <w:name w:val="Body Text.lede"/>
    <w:basedOn w:val="BodyText"/>
    <w:qFormat/>
    <w:pPr/>
    <w:rPr>
      <w:color w:val="3D3D42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hd w:fill="F3F3F1" w:val="clear"/>
      <w:jc w:val="left"/>
    </w:pPr>
    <w:rPr>
      <w:rFonts w:ascii="Noto Kufi Arabic;sans-serif" w:hAnsi="Noto Kufi Arabic;sans-serif" w:eastAsia="Noto Kufi Arabic;sans-serif" w:cs="Noto Kufi Arabic;sans-serif"/>
      <w:b/>
      <w:bCs/>
      <w:color w:val="1B3A2F"/>
      <w:sz w:val="20"/>
      <w:szCs w:val="20"/>
    </w:rPr>
  </w:style>
  <w:style w:type="paragraph" w:styleId="BodyTextsrc">
    <w:name w:val="Body Text.src"/>
    <w:basedOn w:val="BodyText"/>
    <w:qFormat/>
    <w:pPr/>
    <w:rPr>
      <w:color w:val="5C5C61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ورقة عمل: أحكام النون الساكنة والتنوين — نموذج الإجابة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