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38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8"/>
        <w:gridCol w:w="1873"/>
      </w:tblGrid>
      <w:tr>
        <w:trPr/>
        <w:tc>
          <w:tcPr>
            <w:tcW w:w="194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برنامج التربية الأسرية</w:t>
            </w:r>
          </w:p>
        </w:tc>
        <w:tc>
          <w:tcPr>
            <w:tcW w:w="1873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دليل القائم بالتدريس</w:t>
            </w:r>
          </w:p>
        </w:tc>
      </w:tr>
    </w:tbl>
    <w:p>
      <w:pPr>
        <w:pStyle w:val="BodyTextkicker"/>
        <w:bidi w:val="1"/>
        <w:rPr/>
      </w:pPr>
      <w:r>
        <w:rPr>
          <w:rtl w:val="true"/>
        </w:rPr>
        <w:t>الإطار التأسيسي</w:t>
      </w:r>
    </w:p>
    <w:p>
      <w:pPr>
        <w:pStyle w:val="Heading1"/>
        <w:bidi w:val="1"/>
        <w:rPr/>
      </w:pPr>
      <w:r>
        <w:rPr>
          <w:rtl w:val="true"/>
        </w:rPr>
        <w:t>كيف يُدرّس هذا البرنامج،</w:t>
      </w:r>
      <w:r>
        <w:rPr>
          <w:rtl w:val="true"/>
        </w:rPr>
        <w:br/>
      </w:r>
      <w:r>
        <w:rPr>
          <w:rtl w:val="true"/>
        </w:rPr>
        <w:t>ولماذا بهذا الترتيب</w:t>
      </w:r>
    </w:p>
    <w:p>
      <w:pPr>
        <w:pStyle w:val="BodyTextlede"/>
        <w:bidi w:val="1"/>
        <w:rPr/>
      </w:pPr>
      <w:r>
        <w:rPr>
          <w:rtl w:val="true"/>
        </w:rPr>
        <w:t>البرنامج يُدرّب على مهارات تُؤدّى في البيت، لا على معلومات تُستظهر في ورقة</w:t>
      </w:r>
      <w:r>
        <w:rPr>
          <w:rtl w:val="true"/>
        </w:rPr>
        <w:t xml:space="preserve">. </w:t>
      </w:r>
      <w:r>
        <w:rPr>
          <w:rtl w:val="true"/>
        </w:rPr>
        <w:t>ولذلك بُني على نموذج التلمذة المعرفية</w:t>
      </w:r>
      <w:r>
        <w:rPr>
          <w:rtl w:val="true"/>
        </w:rPr>
        <w:t xml:space="preserve">: </w:t>
      </w:r>
      <w:r>
        <w:rPr>
          <w:rtl w:val="true"/>
        </w:rPr>
        <w:t>المعلم يؤدّي المهارة أمام الطلاب ويُفكّر بصوت مسموع وهو يؤدّيها، ثم يتراجع تدريجيًا حتى يؤدّيها الطالب وحده</w:t>
      </w:r>
      <w:r>
        <w:rPr>
          <w:rtl w:val="true"/>
        </w:rPr>
        <w:t>.</w:t>
      </w:r>
    </w:p>
    <w:p>
      <w:pPr>
        <w:pStyle w:val="Heading2"/>
        <w:bidi w:val="1"/>
        <w:rPr/>
      </w:pPr>
      <w:r>
        <w:rPr/>
        <w:t>١</w:t>
      </w:r>
      <w:r>
        <w:rPr>
          <w:rtl w:val="true"/>
        </w:rPr>
        <w:t xml:space="preserve">. </w:t>
      </w:r>
      <w:r>
        <w:rPr>
          <w:rtl w:val="true"/>
        </w:rPr>
        <w:t>مراحل التلمذة المعرفية الست، وما تعنيه في حصة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7"/>
        <w:gridCol w:w="4531"/>
        <w:gridCol w:w="2534"/>
        <w:gridCol w:w="2557"/>
      </w:tblGrid>
      <w:tr>
        <w:trPr/>
        <w:tc>
          <w:tcPr>
            <w:tcW w:w="1717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المرحلة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دور القائم بالتدريس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دور الطالب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الشاهد على حدوثها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النمذجة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يؤدّي الحوار أمام الصف ويُعلن تفكيره</w:t>
            </w:r>
            <w:r>
              <w:rPr>
                <w:rtl w:val="true"/>
              </w:rPr>
              <w:t>: «</w:t>
            </w:r>
            <w:r>
              <w:rPr>
                <w:rtl w:val="true"/>
              </w:rPr>
              <w:t>كدت أقول أنت، فأخّرتها</w:t>
            </w:r>
            <w:r>
              <w:rPr>
                <w:rtl w:val="true"/>
              </w:rPr>
              <w:t>».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يلاحظ ويسجّل الجمل التي سمعها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قائمة جمل مكتوبة بخط الطالب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التدريب المُرشِد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يمرّ على الثنائيات ويصحّح في اللحظة بملاحظة واحدة لكل طالب</w:t>
            </w:r>
            <w:r>
              <w:rPr>
                <w:rtl w:val="true"/>
              </w:rPr>
              <w:t>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يؤدّي الموقف مع زميله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ملاحظة مكتوبة في ورقة الطالب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السقالات ثم الانسحاب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بداية الجملة في الموقف الأول، ونصفها في الثاني، ولا شيء في الثالث</w:t>
            </w:r>
            <w:r>
              <w:rPr>
                <w:rtl w:val="true"/>
              </w:rPr>
              <w:t>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يُكمل ما نقص، ثم يبدأ من الصفر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اكتمال الموقف الثالث بلا مساعدة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الإفصاح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يسأل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 xml:space="preserve">لماذا اخترت هذه الصيغة؟ ولا يقبل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لأنها أحسن</w:t>
            </w:r>
            <w:r>
              <w:rPr>
                <w:rtl w:val="true"/>
              </w:rPr>
              <w:t>».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يُعلّل اختياره بالقاعدة لا بالذوق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تعليل يذكر الحاجة أو الطلب المحدد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التأمل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يقارن أداء الطالب بأداء النمذجة، لا بأداء زملائه</w:t>
            </w:r>
            <w:r>
              <w:rPr>
                <w:rtl w:val="true"/>
              </w:rPr>
              <w:t>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يُسمّي الفرق ويكتبه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أسئلة التأمل في دليل الطالب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الاستكشاف</w:t>
            </w:r>
          </w:p>
        </w:tc>
        <w:tc>
          <w:tcPr>
            <w:tcW w:w="453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يُكلّفه بموقف من بيته هو، ويترك له الاختيار</w:t>
            </w:r>
            <w:r>
              <w:rPr>
                <w:rtl w:val="true"/>
              </w:rPr>
              <w:t>.</w:t>
            </w:r>
          </w:p>
        </w:tc>
        <w:tc>
          <w:tcPr>
            <w:tcW w:w="2534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ينقل المهارة إلى موقف لم يُدرّب عليه</w:t>
            </w:r>
            <w:r>
              <w:rPr>
                <w:rtl w:val="true"/>
              </w:rPr>
              <w:t>.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مهمة ملف الإنجاز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BodyTextsrc"/>
        <w:bidi w:val="1"/>
        <w:ind w:hanging="0" w:left="0" w:right="0"/>
        <w:rPr/>
      </w:pPr>
      <w:r>
        <w:rPr>
          <w:rtl w:val="true"/>
        </w:rPr>
        <w:t>المرجع، والمصطلحات العربية مثبتة في جدول مصطلحات بآخر الدليل</w:t>
      </w:r>
      <w:r>
        <w:rPr>
          <w:rtl w:val="true"/>
        </w:rPr>
        <w:t>:</w:t>
      </w:r>
    </w:p>
    <w:p>
      <w:pPr>
        <w:pStyle w:val="BodyText"/>
        <w:bidi w:val="1"/>
        <w:rPr/>
      </w:pPr>
      <w:r>
        <w:rPr/>
        <w:t>Collins, A., Brown, J. S., &amp; Holum, A. "Cognitive Apprenticeship: Making Thinking Visible", American Educator 15(3), 1991</w:t>
      </w:r>
      <w:r>
        <w:rPr>
          <w:rtl w:val="true"/>
        </w:rPr>
        <w:t>.</w:t>
        <w:br/>
      </w:r>
      <w:r>
        <w:rPr/>
        <w:t>Collins, Brown &amp; Newman, "Cognitive Apprenticeship", in Knowing, Learning, and Instruction, 1989</w:t>
      </w:r>
      <w:r>
        <w:rPr>
          <w:rtl w:val="true"/>
        </w:rPr>
        <w:t>.</w:t>
      </w:r>
    </w:p>
    <w:p>
      <w:pPr>
        <w:pStyle w:val="Heading3"/>
        <w:bidi w:val="1"/>
        <w:spacing w:before="170" w:after="170"/>
        <w:ind w:hanging="0" w:left="397" w:right="397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قاعدة تحكم كل الموضوعات الأربعة</w:t>
      </w:r>
    </w:p>
    <w:p>
      <w:pPr>
        <w:pStyle w:val="BodyText"/>
        <w:bidi w:val="1"/>
        <w:spacing w:before="170" w:after="170"/>
        <w:ind w:hanging="0" w:left="170" w:right="170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لا يُنتقل إلى مرحلة قبل ظهور شاهدها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وإذا غاب الشاهد تُعاد المرحلة بموقف آخر، ولا يُعاد شرحها بالكلام نفسه؛ فغياب الشاهد دليل على أن المهارة لم تُرَ، لا على أن الشرح لم يُسمع</w:t>
      </w:r>
      <w:r>
        <w:rPr>
          <w:bdr w:val="single" w:sz="20" w:space="11" w:color="B08A3E"/>
          <w:shd w:fill="FAF7F0" w:val="clear"/>
          <w:rtl w:val="true"/>
        </w:rPr>
        <w:t>.</w:t>
      </w:r>
    </w:p>
    <w:tbl>
      <w:tblPr>
        <w:bidiVisual w:val="true"/>
        <w:tblW w:w="17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2"/>
        <w:gridCol w:w="256"/>
      </w:tblGrid>
      <w:tr>
        <w:trPr/>
        <w:tc>
          <w:tcPr>
            <w:tcW w:w="152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الإطار التأسيسي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</w:tr>
    </w:tbl>
    <w:p>
      <w:pPr>
        <w:pStyle w:val="Heading2"/>
        <w:bidi w:val="1"/>
        <w:rPr/>
      </w:pPr>
      <w:r>
        <w:rPr/>
        <w:t>٢</w:t>
      </w:r>
      <w:r>
        <w:rPr>
          <w:rtl w:val="true"/>
        </w:rPr>
        <w:t xml:space="preserve">. </w:t>
      </w:r>
      <w:r>
        <w:rPr>
          <w:rtl w:val="true"/>
        </w:rPr>
        <w:t>خطة تدريس الموضوع الأول</w:t>
      </w:r>
      <w:r>
        <w:rPr>
          <w:rtl w:val="true"/>
        </w:rPr>
        <w:t xml:space="preserve">: </w:t>
      </w:r>
      <w:r>
        <w:rPr>
          <w:rtl w:val="true"/>
        </w:rPr>
        <w:t>الحوار في البيت</w:t>
      </w:r>
    </w:p>
    <w:p>
      <w:pPr>
        <w:pStyle w:val="BodyText"/>
        <w:bidi w:val="1"/>
        <w:rPr/>
      </w:pPr>
      <w:r>
        <w:rPr>
          <w:rtl w:val="true"/>
        </w:rPr>
        <w:t xml:space="preserve">حصتان، </w:t>
      </w:r>
      <w:r>
        <w:rPr/>
        <w:t>٤٥</w:t>
      </w:r>
      <w:r>
        <w:rPr>
          <w:rtl w:val="true"/>
        </w:rPr>
        <w:t xml:space="preserve"> دقيقة لكل حصة</w:t>
      </w:r>
      <w:r>
        <w:rPr>
          <w:rtl w:val="true"/>
        </w:rPr>
        <w:t xml:space="preserve">. </w:t>
      </w:r>
      <w:r>
        <w:rPr>
          <w:rtl w:val="true"/>
        </w:rPr>
        <w:t xml:space="preserve">الأرقام في عمود الزمن مجموعها </w:t>
      </w:r>
      <w:r>
        <w:rPr/>
        <w:t>٩٠</w:t>
      </w:r>
      <w:r>
        <w:rPr>
          <w:rtl w:val="true"/>
        </w:rPr>
        <w:t xml:space="preserve"> دقيقة، وهي قابلة للضغط إلى حصة واحدة بحذف الموقف الثالث من السقالات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2"/>
        <w:gridCol w:w="1081"/>
        <w:gridCol w:w="7861"/>
        <w:gridCol w:w="1765"/>
      </w:tblGrid>
      <w:tr>
        <w:trPr/>
        <w:tc>
          <w:tcPr>
            <w:tcW w:w="632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الزمن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المرحلة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ما يحدث في الصف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الأدوات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٥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تهيئة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يُعرض موقف سعد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ورقة عمل </w:t>
            </w:r>
            <w:r>
              <w:rPr/>
              <w:t>٢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ويُسأل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من منكم مرّ بشيء قريب منه؟ تُجمع الأجوبة بلا تعليق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صفحة </w:t>
            </w:r>
            <w:r>
              <w:rPr/>
              <w:t>٣</w:t>
            </w:r>
            <w:r>
              <w:rPr>
                <w:rtl w:val="true"/>
              </w:rPr>
              <w:t xml:space="preserve"> من دليل الطالب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١٢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النمذجة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يؤدّي القائم بالتدريس الموقف نفسه مرتين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مرة تُغلق الحوار ومرة تُبقيه مفتوحًا، ويُعلن تفكيره بين الجملتين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لا شيء، الأداء شفهي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١٠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الإفصاح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يُستخرج من الطلاب الفرق بين الأدائين، ويُكتب على السبورة في عمودين، ثم يُسمّى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 xml:space="preserve">صيغة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أنت</w:t>
            </w:r>
            <w:r>
              <w:rPr>
                <w:rtl w:val="true"/>
              </w:rPr>
              <w:t xml:space="preserve">» </w:t>
            </w:r>
            <w:r>
              <w:rPr>
                <w:rtl w:val="true"/>
              </w:rPr>
              <w:t xml:space="preserve">وصيغة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أنا</w:t>
            </w:r>
            <w:r>
              <w:rPr>
                <w:rtl w:val="true"/>
              </w:rPr>
              <w:t>».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سبورة، عمودان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١٥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السقالات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ورقة عمل </w:t>
            </w:r>
            <w:r>
              <w:rPr/>
              <w:t>١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العبارة الأولى تُعاد صياغتها جماعيًا، والثانية والثالثة في ثنائيات ببداية جملة معطاة، والرابعة والخامسة فرديًا بلا مساعدة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ورقة عمل </w:t>
            </w:r>
            <w:r>
              <w:rPr/>
              <w:t>١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١٨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التدريب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ثنائيات تؤدّي ثلاثة مواقف بتبديل الأدوار</w:t>
            </w:r>
            <w:r>
              <w:rPr>
                <w:rtl w:val="true"/>
              </w:rPr>
              <w:t xml:space="preserve">. </w:t>
            </w:r>
            <w:r>
              <w:rPr>
                <w:rtl w:val="true"/>
              </w:rPr>
              <w:t>يمرّ القائم بالتدريس بملاحظة واحدة مكتوبة لكل طالب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بطاقات المواقف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١٥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السقالات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ورقة عمل </w:t>
            </w:r>
            <w:r>
              <w:rPr/>
              <w:t>٢</w:t>
            </w:r>
            <w:r>
              <w:rPr>
                <w:rtl w:val="true"/>
              </w:rPr>
              <w:t xml:space="preserve"> فرديًا، ثم تُقارن إجابتان مختلفتان للسؤال الثاني أمام الصف دون تسمية صاحبيهما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ورقة عمل </w:t>
            </w:r>
            <w:r>
              <w:rPr/>
              <w:t>٢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١٠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التأمل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يُجيب كل طالب عن سؤال التأمل الأول كتابةً، ولا تُقرأ الأجوبة على الصف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 xml:space="preserve">صفحة </w:t>
            </w:r>
            <w:r>
              <w:rPr/>
              <w:t>٤</w:t>
            </w:r>
          </w:p>
        </w:tc>
      </w:tr>
      <w:tr>
        <w:trPr/>
        <w:tc>
          <w:tcPr>
            <w:tcW w:w="63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٥</w:t>
            </w:r>
            <w:r>
              <w:rPr>
                <w:rtl w:val="true"/>
              </w:rPr>
              <w:t xml:space="preserve"> د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الاستكشاف</w:t>
            </w:r>
          </w:p>
        </w:tc>
        <w:tc>
          <w:tcPr>
            <w:tcW w:w="7861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تُشرح مهمة ملف الإنجاز وشروطها، ويُحدّد موعد التسليم، ويُنبّه على شرط عدم تسجيل كلام أحد دون علمه</w:t>
            </w:r>
            <w:r>
              <w:rPr>
                <w:rtl w:val="true"/>
              </w:rPr>
              <w:t>.</w:t>
            </w:r>
          </w:p>
        </w:tc>
        <w:tc>
          <w:tcPr>
            <w:tcW w:w="176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سلم التقدير</w:t>
            </w:r>
          </w:p>
        </w:tc>
      </w:tr>
    </w:tbl>
    <w:p>
      <w:pPr>
        <w:pStyle w:val="Heading3"/>
        <w:bidi w:val="1"/>
        <w:spacing w:before="227" w:after="227"/>
        <w:ind w:hanging="0" w:left="454" w:right="454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ثلاثة مواضع يتعطّل فيها هذا الدرس عادة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227" w:after="227"/>
        <w:ind w:firstLine="992" w:left="794" w:right="227"/>
        <w:rPr>
          <w:bdr w:val="single" w:sz="20" w:space="11" w:color="B08A3E"/>
          <w:shd w:fill="FAF7F0" w:val="clear"/>
        </w:rPr>
      </w:pPr>
      <w:r>
        <w:rPr>
          <w:bCs/>
          <w:color w:val="B08A3E"/>
          <w:bdr w:val="single" w:sz="20" w:space="11" w:color="B08A3E"/>
          <w:shd w:fill="FAF7F0" w:val="clear"/>
        </w:rPr>
        <w:t>١</w:t>
      </w:r>
      <w:r>
        <w:rPr>
          <w:b/>
          <w:color w:val="B08A3E"/>
          <w:bdr w:val="single" w:sz="20" w:space="11" w:color="B08A3E"/>
          <w:shd w:fill="FAF7F0" w:val="clear"/>
          <w:rtl w:val="true"/>
        </w:rPr>
        <w:t>.</w:t>
      </w:r>
      <w:r>
        <w:rPr>
          <w:bCs/>
          <w:bdr w:val="single" w:sz="20" w:space="11" w:color="B08A3E"/>
          <w:shd w:fill="FAF7F0" w:val="clear"/>
          <w:rtl w:val="true"/>
        </w:rPr>
        <w:t>النمذجة تتحول إلى محاضرة</w:t>
      </w:r>
      <w:r>
        <w:rPr>
          <w:b/>
          <w:bdr w:val="single" w:sz="20" w:space="11" w:color="B08A3E"/>
          <w:shd w:fill="FAF7F0" w:val="clear"/>
          <w:rtl w:val="true"/>
        </w:rPr>
        <w:t>.</w:t>
      </w:r>
      <w:r>
        <w:rPr>
          <w:bdr w:val="single" w:sz="20" w:space="11" w:color="B08A3E"/>
          <w:shd w:fill="FAF7F0" w:val="clear"/>
          <w:rtl w:val="true"/>
        </w:rPr>
        <w:t xml:space="preserve"> </w:t>
      </w:r>
      <w:r>
        <w:rPr>
          <w:bdr w:val="single" w:sz="20" w:space="11" w:color="B08A3E"/>
          <w:shd w:fill="FAF7F0" w:val="clear"/>
          <w:rtl w:val="true"/>
        </w:rPr>
        <w:t>إن تجاوز الشرح النظري ثلاث دقائق فقد الطالب الأداء الذي جاء ليراه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الحل</w:t>
      </w:r>
      <w:r>
        <w:rPr>
          <w:bdr w:val="single" w:sz="20" w:space="11" w:color="B08A3E"/>
          <w:shd w:fill="FAF7F0" w:val="clear"/>
          <w:rtl w:val="true"/>
        </w:rPr>
        <w:t xml:space="preserve">: </w:t>
      </w:r>
      <w:r>
        <w:rPr>
          <w:bdr w:val="single" w:sz="20" w:space="11" w:color="B08A3E"/>
          <w:shd w:fill="FAF7F0" w:val="clear"/>
          <w:rtl w:val="true"/>
        </w:rPr>
        <w:t>أدِّ الموقف، ثم اشرح من داخل الأداء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227" w:after="227"/>
        <w:ind w:firstLine="992" w:left="794" w:right="227"/>
        <w:rPr>
          <w:bdr w:val="single" w:sz="20" w:space="11" w:color="B08A3E"/>
          <w:shd w:fill="FAF7F0" w:val="clear"/>
        </w:rPr>
      </w:pPr>
      <w:r>
        <w:rPr>
          <w:bCs/>
          <w:color w:val="B08A3E"/>
          <w:bdr w:val="single" w:sz="20" w:space="11" w:color="B08A3E"/>
          <w:shd w:fill="FAF7F0" w:val="clear"/>
        </w:rPr>
        <w:t>٢</w:t>
      </w:r>
      <w:r>
        <w:rPr>
          <w:b/>
          <w:color w:val="B08A3E"/>
          <w:bdr w:val="single" w:sz="20" w:space="11" w:color="B08A3E"/>
          <w:shd w:fill="FAF7F0" w:val="clear"/>
          <w:rtl w:val="true"/>
        </w:rPr>
        <w:t>.</w:t>
      </w:r>
      <w:r>
        <w:rPr>
          <w:bCs/>
          <w:bdr w:val="single" w:sz="20" w:space="11" w:color="B08A3E"/>
          <w:shd w:fill="FAF7F0" w:val="clear"/>
          <w:rtl w:val="true"/>
        </w:rPr>
        <w:t>طالب يروي خلافًا أسريًا حقيقيًا ومؤلمًا</w:t>
      </w:r>
      <w:r>
        <w:rPr>
          <w:b/>
          <w:bdr w:val="single" w:sz="20" w:space="11" w:color="B08A3E"/>
          <w:shd w:fill="FAF7F0" w:val="clear"/>
          <w:rtl w:val="true"/>
        </w:rPr>
        <w:t>.</w:t>
      </w:r>
      <w:r>
        <w:rPr>
          <w:bdr w:val="single" w:sz="20" w:space="11" w:color="B08A3E"/>
          <w:shd w:fill="FAF7F0" w:val="clear"/>
          <w:rtl w:val="true"/>
        </w:rPr>
        <w:t xml:space="preserve"> </w:t>
      </w:r>
      <w:r>
        <w:rPr>
          <w:bdr w:val="single" w:sz="20" w:space="11" w:color="B08A3E"/>
          <w:shd w:fill="FAF7F0" w:val="clear"/>
          <w:rtl w:val="true"/>
        </w:rPr>
        <w:t>لا يُناقش في الصف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تُشكر مشاركته، ويُحوّل الحديث إلى المهارة، ويُتابع معه على انفراد وفق سياسة الإحالة في البرنامج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4" w:leader="none"/>
        </w:tabs>
        <w:bidi w:val="1"/>
        <w:spacing w:before="227" w:after="227"/>
        <w:ind w:firstLine="992" w:left="794" w:right="227"/>
        <w:rPr>
          <w:bdr w:val="single" w:sz="20" w:space="11" w:color="B08A3E"/>
          <w:shd w:fill="FAF7F0" w:val="clear"/>
        </w:rPr>
      </w:pPr>
      <w:r>
        <w:rPr>
          <w:bCs/>
          <w:color w:val="B08A3E"/>
          <w:bdr w:val="single" w:sz="20" w:space="11" w:color="B08A3E"/>
          <w:shd w:fill="FAF7F0" w:val="clear"/>
        </w:rPr>
        <w:t>٣</w:t>
      </w:r>
      <w:r>
        <w:rPr>
          <w:b/>
          <w:color w:val="B08A3E"/>
          <w:bdr w:val="single" w:sz="20" w:space="11" w:color="B08A3E"/>
          <w:shd w:fill="FAF7F0" w:val="clear"/>
          <w:rtl w:val="true"/>
        </w:rPr>
        <w:t>.</w:t>
      </w:r>
      <w:r>
        <w:rPr>
          <w:bCs/>
          <w:bdr w:val="single" w:sz="20" w:space="11" w:color="B08A3E"/>
          <w:shd w:fill="FAF7F0" w:val="clear"/>
          <w:rtl w:val="true"/>
        </w:rPr>
        <w:t>الثنائيات تضحك ولا تؤدّي</w:t>
      </w:r>
      <w:r>
        <w:rPr>
          <w:b/>
          <w:bdr w:val="single" w:sz="20" w:space="11" w:color="B08A3E"/>
          <w:shd w:fill="FAF7F0" w:val="clear"/>
          <w:rtl w:val="true"/>
        </w:rPr>
        <w:t>.</w:t>
      </w:r>
      <w:r>
        <w:rPr>
          <w:bdr w:val="single" w:sz="20" w:space="11" w:color="B08A3E"/>
          <w:shd w:fill="FAF7F0" w:val="clear"/>
          <w:rtl w:val="true"/>
        </w:rPr>
        <w:t xml:space="preserve"> </w:t>
      </w:r>
      <w:r>
        <w:rPr>
          <w:bdr w:val="single" w:sz="20" w:space="11" w:color="B08A3E"/>
          <w:shd w:fill="FAF7F0" w:val="clear"/>
          <w:rtl w:val="true"/>
        </w:rPr>
        <w:t>يُعطى كل ثنائي دورًا مكتوبًا لا يُرتجل منه، وتُقلّص المدة إلى ثلاث دقائق للموقف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</w:p>
    <w:tbl>
      <w:tblPr>
        <w:bidiVisual w:val="true"/>
        <w:tblW w:w="211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8"/>
        <w:gridCol w:w="256"/>
      </w:tblGrid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خطة الموضوع الأول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</w:tr>
    </w:tbl>
    <w:p>
      <w:pPr>
        <w:pStyle w:val="Heading2"/>
        <w:bidi w:val="1"/>
        <w:rPr/>
      </w:pPr>
      <w:r>
        <w:rPr/>
        <w:t>٣</w:t>
      </w:r>
      <w:r>
        <w:rPr>
          <w:rtl w:val="true"/>
        </w:rPr>
        <w:t xml:space="preserve">. </w:t>
      </w:r>
      <w:r>
        <w:rPr>
          <w:rtl w:val="true"/>
        </w:rPr>
        <w:t>أداة ملاحظة الأداء داخل الحصة</w:t>
      </w:r>
    </w:p>
    <w:p>
      <w:pPr>
        <w:pStyle w:val="BodyText"/>
        <w:bidi w:val="1"/>
        <w:rPr/>
      </w:pPr>
      <w:r>
        <w:rPr>
          <w:rtl w:val="true"/>
        </w:rPr>
        <w:t>تُعلَّم خانة واحدة لكل طالب أثناء مرحلة التدريب</w:t>
      </w:r>
      <w:r>
        <w:rPr>
          <w:rtl w:val="true"/>
        </w:rPr>
        <w:t xml:space="preserve">. </w:t>
      </w:r>
      <w:r>
        <w:rPr>
          <w:rtl w:val="true"/>
        </w:rPr>
        <w:t>الغرض توجيه الملاحظة، لا إصدار درجة</w:t>
      </w:r>
      <w:r>
        <w:rPr>
          <w:rtl w:val="true"/>
        </w:rPr>
        <w:t>.</w:t>
      </w:r>
    </w:p>
    <w:tbl>
      <w:tblPr>
        <w:bidiVisual w:val="true"/>
        <w:tblW w:w="105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76"/>
        <w:gridCol w:w="553"/>
        <w:gridCol w:w="1452"/>
        <w:gridCol w:w="5185"/>
      </w:tblGrid>
      <w:tr>
        <w:trPr/>
        <w:tc>
          <w:tcPr>
            <w:tcW w:w="3376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السلوك الملاحظ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ظهر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ظهر بمساعدة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الملاحظة الموجّهة التي تُقال له</w:t>
            </w:r>
          </w:p>
        </w:tc>
      </w:tr>
      <w:tr>
        <w:trPr/>
        <w:tc>
          <w:tcPr>
            <w:tcW w:w="337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أكمل الطرف الآخر جملته دون مقاطعة</w:t>
            </w:r>
            <w:r>
              <w:rPr>
                <w:rtl w:val="true"/>
              </w:rPr>
              <w:t>.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انتظرتَ حتى أكمل، لاحظ أنه أضاف سببًا في آخر جملته</w:t>
            </w:r>
            <w:r>
              <w:rPr>
                <w:rtl w:val="true"/>
              </w:rPr>
              <w:t>.»</w:t>
            </w:r>
          </w:p>
        </w:tc>
      </w:tr>
      <w:tr>
        <w:trPr/>
        <w:tc>
          <w:tcPr>
            <w:tcW w:w="337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أعاد كلام الطرف الآخر قبل الرد</w:t>
            </w:r>
            <w:r>
              <w:rPr>
                <w:rtl w:val="true"/>
              </w:rPr>
              <w:t>.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أعِد ما سمعتَه بجملة واحدة قبل أن تردّ</w:t>
            </w:r>
            <w:r>
              <w:rPr>
                <w:rtl w:val="true"/>
              </w:rPr>
              <w:t>.»</w:t>
            </w:r>
          </w:p>
        </w:tc>
      </w:tr>
      <w:tr>
        <w:trPr/>
        <w:tc>
          <w:tcPr>
            <w:tcW w:w="337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بدأ بالحاجة لا بتقييم الشخص</w:t>
            </w:r>
            <w:r>
              <w:rPr>
                <w:rtl w:val="true"/>
              </w:rPr>
              <w:t>.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ابدأ بـ</w:t>
            </w:r>
            <w:r>
              <w:rPr>
                <w:rtl w:val="true"/>
              </w:rPr>
              <w:t xml:space="preserve">: </w:t>
            </w:r>
            <w:r>
              <w:rPr>
                <w:rtl w:val="true"/>
              </w:rPr>
              <w:t>أنا أحتاج… ثم اذكر طلبك</w:t>
            </w:r>
            <w:r>
              <w:rPr>
                <w:rtl w:val="true"/>
              </w:rPr>
              <w:t>.»</w:t>
            </w:r>
          </w:p>
        </w:tc>
      </w:tr>
      <w:tr>
        <w:trPr/>
        <w:tc>
          <w:tcPr>
            <w:tcW w:w="337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انتهى بطلب واحد محدد</w:t>
            </w:r>
            <w:r>
              <w:rPr>
                <w:rtl w:val="true"/>
              </w:rPr>
              <w:t>.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☐</w:t>
            </w:r>
          </w:p>
        </w:tc>
        <w:tc>
          <w:tcPr>
            <w:tcW w:w="5185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ما الطلب الواحد الذي تريده منه الآن؟</w:t>
            </w:r>
            <w:r>
              <w:rPr>
                <w:rtl w:val="true"/>
              </w:rPr>
              <w:t>»</w:t>
            </w:r>
          </w:p>
        </w:tc>
      </w:tr>
    </w:tbl>
    <w:p>
      <w:pPr>
        <w:pStyle w:val="Heading2"/>
        <w:bidi w:val="1"/>
        <w:rPr/>
      </w:pPr>
      <w:r>
        <w:rPr/>
        <w:t>٤</w:t>
      </w:r>
      <w:r>
        <w:rPr>
          <w:rtl w:val="true"/>
        </w:rPr>
        <w:t xml:space="preserve">. </w:t>
      </w:r>
      <w:r>
        <w:rPr>
          <w:rtl w:val="true"/>
        </w:rPr>
        <w:t>مفتاح الإجابة</w:t>
      </w:r>
      <w:r>
        <w:rPr>
          <w:rtl w:val="true"/>
        </w:rPr>
        <w:t xml:space="preserve">: </w:t>
      </w:r>
      <w:r>
        <w:rPr>
          <w:rtl w:val="true"/>
        </w:rPr>
        <w:t xml:space="preserve">ورقة عمل </w:t>
      </w:r>
      <w:r>
        <w:rPr/>
        <w:t>١</w:t>
      </w:r>
    </w:p>
    <w:p>
      <w:pPr>
        <w:pStyle w:val="BodyText"/>
        <w:bidi w:val="1"/>
        <w:rPr/>
      </w:pPr>
      <w:r>
        <w:rPr>
          <w:rtl w:val="true"/>
        </w:rPr>
        <w:t>الإجابة الصحيحة ليست واحدة</w:t>
      </w:r>
      <w:r>
        <w:rPr>
          <w:rtl w:val="true"/>
        </w:rPr>
        <w:t xml:space="preserve">. </w:t>
      </w:r>
      <w:r>
        <w:rPr>
          <w:rtl w:val="true"/>
        </w:rPr>
        <w:t>يُقبل كل جواب تحقّق فيه شرطان</w:t>
      </w:r>
      <w:r>
        <w:rPr>
          <w:rtl w:val="true"/>
        </w:rPr>
        <w:t xml:space="preserve">: </w:t>
      </w:r>
      <w:r>
        <w:rPr>
          <w:rtl w:val="true"/>
        </w:rPr>
        <w:t>يبدأ بالحاجة، وينتهي بطلب واحد محدد قابل للتنفيذ</w:t>
      </w:r>
      <w:r>
        <w:rPr>
          <w:rtl w:val="true"/>
        </w:rPr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"/>
        <w:gridCol w:w="2760"/>
        <w:gridCol w:w="8319"/>
      </w:tblGrid>
      <w:tr>
        <w:trPr/>
        <w:tc>
          <w:tcPr>
            <w:tcW w:w="260" w:type="dxa"/>
            <w:tcBorders/>
            <w:vAlign w:val="center"/>
          </w:tcPr>
          <w:p>
            <w:pPr>
              <w:pStyle w:val="TableHeading"/>
              <w:bidi w:val="1"/>
              <w:spacing w:before="0" w:after="142"/>
              <w:ind w:hanging="0" w:left="0" w:right="0"/>
              <w:rPr/>
            </w:pPr>
            <w:r>
              <w:rPr>
                <w:rtl w:val="true"/>
              </w:rPr>
              <w:t>م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العبارة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Heading"/>
              <w:suppressLineNumbers/>
              <w:shd w:fill="1B3A2F" w:val="clear"/>
              <w:bidi w:val="1"/>
              <w:spacing w:before="0" w:after="142"/>
              <w:jc w:val="left"/>
              <w:rPr/>
            </w:pPr>
            <w:r>
              <w:rPr>
                <w:rtl w:val="true"/>
              </w:rPr>
              <w:t>نموذج إجابة مقبولة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١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أنتم لا تسألون عني أبدًا</w:t>
            </w:r>
            <w:r>
              <w:rPr>
                <w:rtl w:val="true"/>
              </w:rPr>
              <w:t>.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أحتاج أن نجلس عشر دقائق بعد العشاء، هل نجعلها كل يوم خميس؟</w:t>
            </w:r>
            <w:r>
              <w:rPr>
                <w:rtl w:val="true"/>
              </w:rPr>
              <w:t>»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٢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كل مرة تدخل غرفتي بدون إذن</w:t>
            </w:r>
            <w:r>
              <w:rPr>
                <w:rtl w:val="true"/>
              </w:rPr>
              <w:t>.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يهمّني أن تكون غرفتي مكانًا أهدأ فيه، أرجو أن تطرق الباب قبل الدخول</w:t>
            </w:r>
            <w:r>
              <w:rPr>
                <w:rtl w:val="true"/>
              </w:rPr>
              <w:t>.»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أنت لا تفهم شيئًا من كلامي</w:t>
            </w:r>
            <w:r>
              <w:rPr>
                <w:rtl w:val="true"/>
              </w:rPr>
              <w:t>.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أشعر أني لم أوصّل فكرتي، أعيدها بطريقة ثانية وقل لي ما وصلك منها</w:t>
            </w:r>
            <w:r>
              <w:rPr>
                <w:rtl w:val="true"/>
              </w:rPr>
              <w:t>.»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٤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خلاص، لا أريد أن أتكلم معك</w:t>
            </w:r>
            <w:r>
              <w:rPr>
                <w:rtl w:val="true"/>
              </w:rPr>
              <w:t>.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أنا منزعج الآن ولا أريد أن أقول ما أندم عليه، نكمل بعد العشاء</w:t>
            </w:r>
            <w:r>
              <w:rPr>
                <w:rtl w:val="true"/>
              </w:rPr>
              <w:t>.» (</w:t>
            </w:r>
            <w:r>
              <w:rPr>
                <w:rtl w:val="true"/>
              </w:rPr>
              <w:t>تأجيل بوقت محدد، لا انسحاب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٥</w:t>
            </w:r>
          </w:p>
        </w:tc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دائمًا تقارنني بأخي</w:t>
            </w:r>
            <w:r>
              <w:rPr>
                <w:rtl w:val="true"/>
              </w:rPr>
              <w:t>.</w:t>
            </w:r>
          </w:p>
        </w:tc>
        <w:tc>
          <w:tcPr>
            <w:tcW w:w="831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«</w:t>
            </w:r>
            <w:r>
              <w:rPr>
                <w:rtl w:val="true"/>
              </w:rPr>
              <w:t>المقارنة تُضعفني بدل أن تدفعني، قل لي ما تريد أن أحسّنه أنا وسأعمل عليه</w:t>
            </w:r>
            <w:r>
              <w:rPr>
                <w:rtl w:val="true"/>
              </w:rPr>
              <w:t>.»</w:t>
            </w:r>
          </w:p>
        </w:tc>
      </w:tr>
    </w:tbl>
    <w:tbl>
      <w:tblPr>
        <w:bidiVisual w:val="true"/>
        <w:tblW w:w="375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6"/>
        <w:gridCol w:w="256"/>
      </w:tblGrid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أدوات التقويم ومفتاح ورقة العمل الأولى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٣</w:t>
            </w:r>
          </w:p>
        </w:tc>
      </w:tr>
    </w:tbl>
    <w:p>
      <w:pPr>
        <w:pStyle w:val="Heading2"/>
        <w:bidi w:val="1"/>
        <w:rPr/>
      </w:pPr>
      <w:r>
        <w:rPr/>
        <w:t>٥</w:t>
      </w:r>
      <w:r>
        <w:rPr>
          <w:rtl w:val="true"/>
        </w:rPr>
        <w:t xml:space="preserve">. </w:t>
      </w:r>
      <w:r>
        <w:rPr>
          <w:rtl w:val="true"/>
        </w:rPr>
        <w:t>مفتاح الإجابة</w:t>
      </w:r>
      <w:r>
        <w:rPr>
          <w:rtl w:val="true"/>
        </w:rPr>
        <w:t xml:space="preserve">: </w:t>
      </w:r>
      <w:r>
        <w:rPr>
          <w:rtl w:val="true"/>
        </w:rPr>
        <w:t xml:space="preserve">ورقة عمل </w:t>
      </w:r>
      <w:r>
        <w:rPr/>
        <w:t>٢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١</w:t>
      </w:r>
      <w:r>
        <w:rPr>
          <w:b/>
          <w:color w:val="B08A3E"/>
          <w:rtl w:val="true"/>
        </w:rPr>
        <w:t>.</w:t>
      </w:r>
      <w:r>
        <w:rPr>
          <w:rtl w:val="true"/>
        </w:rPr>
        <w:t xml:space="preserve">انقطع الحوار في الخطوة الأولى </w:t>
      </w:r>
      <w:r>
        <w:rPr>
          <w:rtl w:val="true"/>
        </w:rPr>
        <w:t>(</w:t>
      </w:r>
      <w:r>
        <w:rPr>
          <w:rtl w:val="true"/>
        </w:rPr>
        <w:t>اسمع</w:t>
      </w:r>
      <w:r>
        <w:rPr>
          <w:rtl w:val="true"/>
        </w:rPr>
        <w:t>)</w:t>
      </w:r>
      <w:r>
        <w:rPr>
          <w:rtl w:val="true"/>
        </w:rPr>
        <w:t>، لا في الطلب</w:t>
      </w:r>
      <w:r>
        <w:rPr>
          <w:rtl w:val="true"/>
        </w:rPr>
        <w:t xml:space="preserve">. </w:t>
      </w:r>
      <w:r>
        <w:rPr>
          <w:rtl w:val="true"/>
        </w:rPr>
        <w:t xml:space="preserve">فالأب طلب والابن ردّ بتقييم عام </w:t>
      </w:r>
      <w:r>
        <w:rPr>
          <w:rtl w:val="true"/>
        </w:rPr>
        <w:t>(«</w:t>
      </w:r>
      <w:r>
        <w:rPr>
          <w:rtl w:val="true"/>
        </w:rPr>
        <w:t>دائمًا</w:t>
      </w:r>
      <w:r>
        <w:rPr>
          <w:rtl w:val="true"/>
        </w:rPr>
        <w:t>»)</w:t>
      </w:r>
      <w:r>
        <w:rPr>
          <w:rtl w:val="true"/>
        </w:rPr>
        <w:t xml:space="preserve">، فردّ الأب بتقييم أعم </w:t>
      </w:r>
      <w:r>
        <w:rPr>
          <w:rtl w:val="true"/>
        </w:rPr>
        <w:t>(«</w:t>
      </w:r>
      <w:r>
        <w:rPr>
          <w:rtl w:val="true"/>
        </w:rPr>
        <w:t>الدراسة أهم من أهلك</w:t>
      </w:r>
      <w:r>
        <w:rPr>
          <w:rtl w:val="true"/>
        </w:rPr>
        <w:t>»)</w:t>
      </w:r>
      <w:r>
        <w:rPr>
          <w:rtl w:val="true"/>
        </w:rPr>
        <w:t>، فصار الموضوع هو الولاء لا موعد المساعدة</w:t>
      </w:r>
      <w:r>
        <w:rPr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spacing w:before="0" w:after="0"/>
        <w:ind w:firstLine="992" w:left="794" w:right="0"/>
        <w:rPr/>
      </w:pPr>
      <w:r>
        <w:rPr>
          <w:bCs/>
          <w:color w:val="B08A3E"/>
        </w:rPr>
        <w:t>٢</w:t>
      </w:r>
      <w:r>
        <w:rPr>
          <w:b/>
          <w:color w:val="B08A3E"/>
          <w:rtl w:val="true"/>
        </w:rPr>
        <w:t>.</w:t>
      </w:r>
      <w:r>
        <w:rPr>
          <w:rtl w:val="true"/>
        </w:rPr>
        <w:t>يُقبل كل جواب يحفظ الأمرين بوقت محدد، مثل</w:t>
      </w:r>
      <w:r>
        <w:rPr>
          <w:rtl w:val="true"/>
        </w:rPr>
        <w:t>: «</w:t>
      </w:r>
      <w:r>
        <w:rPr>
          <w:rtl w:val="true"/>
        </w:rPr>
        <w:t>أبي، بقي لي عشر دقائق في المراجعة، أنتهي وأجيك على طول</w:t>
      </w:r>
      <w:r>
        <w:rPr>
          <w:rtl w:val="true"/>
        </w:rPr>
        <w:t xml:space="preserve">.»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4" w:leader="none"/>
        </w:tabs>
        <w:bidi w:val="1"/>
        <w:ind w:firstLine="992" w:left="794" w:right="0"/>
        <w:rPr/>
      </w:pPr>
      <w:r>
        <w:rPr>
          <w:bCs/>
          <w:color w:val="B08A3E"/>
        </w:rPr>
        <w:t>٣</w:t>
      </w:r>
      <w:r>
        <w:rPr>
          <w:b/>
          <w:color w:val="B08A3E"/>
          <w:rtl w:val="true"/>
        </w:rPr>
        <w:t>.</w:t>
      </w:r>
      <w:r>
        <w:rPr>
          <w:rtl w:val="true"/>
        </w:rPr>
        <w:t>الأب كان يحتاج أن يرى اهتمامًا لا أن يُنجز عملًا؛ ولذلك لم يُطمئنه تأجيلٌ بلا وعد</w:t>
      </w:r>
      <w:r>
        <w:rPr>
          <w:rtl w:val="true"/>
        </w:rPr>
        <w:t xml:space="preserve">. </w:t>
      </w:r>
      <w:r>
        <w:rPr>
          <w:rtl w:val="true"/>
        </w:rPr>
        <w:t>ويُقبل أي جواب يسمّي حاجة غير مُعلنة ويُسندها إلى جملة من الموقف</w:t>
      </w:r>
      <w:r>
        <w:rPr>
          <w:rtl w:val="true"/>
        </w:rPr>
        <w:t xml:space="preserve">. </w:t>
      </w:r>
    </w:p>
    <w:p>
      <w:pPr>
        <w:pStyle w:val="Heading3"/>
        <w:bidi w:val="1"/>
        <w:spacing w:before="227" w:after="227"/>
        <w:ind w:hanging="0" w:left="454" w:right="454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نموذج</w:t>
      </w:r>
    </w:p>
    <w:p>
      <w:pPr>
        <w:pStyle w:val="BodyText"/>
        <w:bidi w:val="1"/>
        <w:spacing w:before="227" w:after="227"/>
        <w:ind w:hanging="0" w:left="227" w:right="227"/>
        <w:rPr>
          <w:bdr w:val="single" w:sz="20" w:space="11" w:color="B08A3E"/>
          <w:shd w:fill="FAF7F0" w:val="clear"/>
        </w:rPr>
      </w:pPr>
      <w:r>
        <w:rPr>
          <w:bdr w:val="single" w:sz="20" w:space="11" w:color="B08A3E"/>
          <w:shd w:fill="FAF7F0" w:val="clear"/>
          <w:rtl w:val="true"/>
        </w:rPr>
        <w:t>هذه الصفحات نموذج إخراج وتطوير محتوى</w:t>
      </w:r>
      <w:r>
        <w:rPr>
          <w:bdr w:val="single" w:sz="20" w:space="11" w:color="B08A3E"/>
          <w:shd w:fill="FAF7F0" w:val="clear"/>
          <w:rtl w:val="true"/>
        </w:rPr>
        <w:t xml:space="preserve">. </w:t>
      </w:r>
      <w:r>
        <w:rPr>
          <w:bdr w:val="single" w:sz="20" w:space="11" w:color="B08A3E"/>
          <w:shd w:fill="FAF7F0" w:val="clear"/>
          <w:rtl w:val="true"/>
        </w:rPr>
        <w:t>تُستبدل موضوعاتها ونصوصها بمادة البرنامج وملف التوجيهات، ويبقى التنسيق والبنية والربط بين الأهداف والأنشطة والتقويم كما هو في الملف النهائي</w:t>
      </w:r>
      <w:r>
        <w:rPr>
          <w:bdr w:val="single" w:sz="20" w:space="11" w:color="B08A3E"/>
          <w:shd w:fill="FAF7F0" w:val="clear"/>
          <w:rtl w:val="true"/>
        </w:rPr>
        <w:t>.</w:t>
      </w:r>
    </w:p>
    <w:tbl>
      <w:tblPr>
        <w:bidiVisual w:val="true"/>
        <w:tblW w:w="24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9"/>
        <w:gridCol w:w="256"/>
      </w:tblGrid>
      <w:tr>
        <w:trPr/>
        <w:tc>
          <w:tcPr>
            <w:tcW w:w="2179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>
                <w:rtl w:val="true"/>
              </w:rPr>
              <w:t>مفتاح ورقة العمل الثانية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1"/>
              <w:spacing w:before="0" w:after="142"/>
              <w:rPr/>
            </w:pPr>
            <w:r>
              <w:rPr/>
              <w:t>٤</w:t>
            </w:r>
          </w:p>
        </w:tc>
      </w:tr>
    </w:tbl>
    <w:p>
      <w:pPr>
        <w:pStyle w:val="BodyText"/>
        <w:bidi w:val="1"/>
        <w:spacing w:before="0" w:after="142"/>
        <w:rPr/>
      </w:pPr>
      <w:r>
        <w:rPr>
          <w:rtl w:val="true"/>
        </w:rPr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bidi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Kufi Arabic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36" w:before="240" w:after="170"/>
    </w:pPr>
    <w:rPr>
      <w:rFonts w:ascii="Noto Kufi Arabic;sans-serif" w:hAnsi="Noto Kufi Arabic;sans-serif" w:eastAsia="Noto Kufi Arabic;sans-serif" w:cs="Noto Kufi Arabic;sans-serif"/>
      <w:b/>
      <w:bCs/>
      <w:color w:val="1B3A2F"/>
      <w:sz w:val="44"/>
      <w:szCs w:val="44"/>
    </w:rPr>
  </w:style>
  <w:style w:type="paragraph" w:styleId="Heading2">
    <w:name w:val="heading 2"/>
    <w:basedOn w:val="Heading"/>
    <w:next w:val="BodyText"/>
    <w:qFormat/>
    <w:pPr>
      <w:spacing w:before="397" w:after="142"/>
      <w:ind w:left="397" w:right="397"/>
      <w:outlineLvl w:val="1"/>
    </w:pPr>
    <w:rPr>
      <w:rFonts w:ascii="Noto Kufi Arabic;sans-serif" w:hAnsi="Noto Kufi Arabic;sans-serif" w:eastAsia="Noto Kufi Arabic;sans-serif" w:cs="Noto Kufi Arabic;sans-serif"/>
      <w:b/>
      <w:bCs/>
      <w:color w:val="1B3A2F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27" w:after="85"/>
      <w:ind w:left="227" w:right="227"/>
      <w:outlineLvl w:val="2"/>
    </w:pPr>
    <w:rPr>
      <w:rFonts w:ascii="Noto Kufi Arabic;sans-serif" w:hAnsi="Noto Kufi Arabic;sans-serif" w:eastAsia="Noto Kufi Arabic;sans-serif" w:cs="Noto Kufi Arabic;sans-serif"/>
      <w:b/>
      <w:bCs/>
      <w:color w:val="4A3F2A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142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B3A2F" w:val="clear"/>
      <w:jc w:val="left"/>
    </w:pPr>
    <w:rPr>
      <w:rFonts w:ascii="Noto Kufi Arabic;sans-serif" w:hAnsi="Noto Kufi Arabic;sans-serif" w:eastAsia="Noto Kufi Arabic;sans-serif" w:cs="Noto Kufi Arabic;sans-serif"/>
      <w:b/>
      <w:bCs/>
      <w:color w:val="FFFFFF"/>
      <w:sz w:val="20"/>
      <w:szCs w:val="20"/>
    </w:rPr>
  </w:style>
  <w:style w:type="paragraph" w:styleId="BodyTextkicker">
    <w:name w:val="Body Text.kicker"/>
    <w:basedOn w:val="BodyText"/>
    <w:qFormat/>
    <w:pPr/>
    <w:rPr>
      <w:rFonts w:ascii="Noto Kufi Arabic;sans-serif" w:hAnsi="Noto Kufi Arabic;sans-serif" w:eastAsia="Noto Kufi Arabic;sans-serif" w:cs="Noto Kufi Arabic;sans-serif"/>
      <w:b w:val="false"/>
      <w:bCs w:val="false"/>
      <w:i w:val="false"/>
      <w:iCs w:val="false"/>
      <w:caps w:val="false"/>
      <w:smallCaps w:val="false"/>
      <w:color w:val="7A6A52"/>
      <w:sz w:val="19"/>
      <w:szCs w:val="19"/>
    </w:rPr>
  </w:style>
  <w:style w:type="paragraph" w:styleId="BodyTextlede">
    <w:name w:val="Body Text.lede"/>
    <w:basedOn w:val="BodyText"/>
    <w:qFormat/>
    <w:pPr/>
    <w:rPr>
      <w:color w:val="3D3D42"/>
      <w:sz w:val="24"/>
      <w:szCs w:val="24"/>
    </w:rPr>
  </w:style>
  <w:style w:type="paragraph" w:styleId="BodyTextsrc">
    <w:name w:val="Body Text.src"/>
    <w:basedOn w:val="BodyText"/>
    <w:qFormat/>
    <w:pPr/>
    <w:rPr>
      <w:color w:val="5C5C61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دليل القائم بالتدريس: نموذج من الموضوع الأول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