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ind w:hanging="0" w:left="0" w:right="0"/>
        <w:rPr>
          <w:color w:val="8A8A8A"/>
          <w:szCs w:val="17"/>
          <w:shd w:fill="FFFFFF" w:val="clear"/>
        </w:rPr>
      </w:pPr>
      <w:r>
        <w:rPr>
          <w:color w:val="8A8A8A"/>
          <w:szCs w:val="17"/>
          <w:shd w:fill="FFFFFF" w:val="clear"/>
          <w:rtl w:val="true"/>
        </w:rPr>
        <w:t>الفصل الأولتعريف المشروع</w:t>
      </w:r>
    </w:p>
    <w:p>
      <w:pPr>
        <w:pStyle w:val="BodyTextkicker"/>
        <w:bidi w:val="1"/>
        <w:rPr>
          <w:shd w:fill="FFFFFF" w:val="clear"/>
        </w:rPr>
      </w:pPr>
      <w:r>
        <w:rPr>
          <w:shd w:fill="FFFFFF" w:val="clear"/>
          <w:rtl w:val="true"/>
        </w:rPr>
        <w:t>الفصل الأول</w:t>
      </w:r>
    </w:p>
    <w:p>
      <w:pPr>
        <w:pStyle w:val="Heading1"/>
        <w:bidi w:val="1"/>
        <w:rPr>
          <w:shd w:fill="FFFFFF" w:val="clear"/>
        </w:rPr>
      </w:pPr>
      <w:r>
        <w:rPr>
          <w:shd w:fill="FFFFFF" w:val="clear"/>
          <w:rtl w:val="true"/>
        </w:rPr>
        <w:t>تعريف المشروع</w:t>
      </w:r>
      <w:r>
        <w:rPr>
          <w:shd w:fill="FFFFFF" w:val="clear"/>
          <w:rtl w:val="true"/>
        </w:rPr>
        <w:t xml:space="preserve">: </w:t>
      </w:r>
      <w:r>
        <w:rPr>
          <w:shd w:fill="FFFFFF" w:val="clear"/>
          <w:rtl w:val="true"/>
        </w:rPr>
        <w:t>ما الذي يجعل العمل مشروعاً؟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>المشروع عملٌ محدَّد المدة، له تاريخ بداية وتاريخ نهاية، يُنفَّذ مرة واحدة لتقديم منتج أو خدمة، بهدف إحداث تغيير نافع أو إضافة قيمة جديدة</w:t>
      </w:r>
      <w:r>
        <w:rPr>
          <w:shd w:fill="FFFFFF" w:val="clear"/>
          <w:rtl w:val="true"/>
        </w:rPr>
        <w:t>.</w:t>
      </w:r>
    </w:p>
    <w:p>
      <w:pPr>
        <w:pStyle w:val="BodyTextind"/>
        <w:bidi w:val="1"/>
        <w:rPr>
          <w:shd w:fill="FFFFFF" w:val="clear"/>
        </w:rPr>
      </w:pPr>
      <w:r>
        <w:rPr>
          <w:shd w:fill="FFFFFF" w:val="clear"/>
          <w:rtl w:val="true"/>
        </w:rPr>
        <w:t>ويختلف المشروع، وهو عملٌ مؤقت يُنجَز مرة واحدة، عن العمليات الإدارية والتشغيلية التي تتكرر بصورة دائمة أو شبه دائمة لتقديم المنتج أو الخدمة نفسها مرة بعد مرة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>ولا تحتاج إدارة المشاريع بالضرورة إلى ما تحتاجه إدارة العمليات الدائمة من مهارات فنية أو فلسفة عمل؛ ومن هنا جاءت الحاجة إلى إدارة المشاريع علماً قائماً بذاته</w:t>
      </w:r>
      <w:r>
        <w:rPr>
          <w:shd w:fill="FFFFFF" w:val="clear"/>
          <w:rtl w:val="true"/>
        </w:rPr>
        <w:t>.</w:t>
      </w:r>
    </w:p>
    <w:p>
      <w:pPr>
        <w:pStyle w:val="Heading2"/>
        <w:bidi w:val="1"/>
        <w:rPr>
          <w:shd w:fill="FFFFFF" w:val="clear"/>
        </w:rPr>
      </w:pPr>
      <w:r>
        <w:rPr>
          <w:shd w:fill="FFFFFF" w:val="clear"/>
          <w:rtl w:val="true"/>
        </w:rPr>
        <w:t>تعريفات المشروع في المراجع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 xml:space="preserve">عرَّف هيرسون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1992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>المشروع بأنه</w:t>
      </w:r>
      <w:r>
        <w:rPr>
          <w:shd w:fill="FFFFFF" w:val="clear"/>
          <w:rtl w:val="true"/>
        </w:rPr>
        <w:t>:</w:t>
      </w:r>
    </w:p>
    <w:p>
      <w:pPr>
        <w:pStyle w:val="BlockQuotation"/>
        <w:bidi w:val="1"/>
        <w:rPr>
          <w:shd w:fill="FFFFFF" w:val="clear"/>
        </w:rPr>
      </w:pP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أي سلسلة من الأنشطة أو المهام التي لها أهداف محددة، ويجب أن تُنجَز وفق مواصفات محددة، ولها بداية ونهاية محددتان، ولها تمويل، وتستعمل موارد مختلفة من مال ووقت ومعدات وعمالة</w:t>
      </w:r>
      <w:r>
        <w:rPr>
          <w:shd w:fill="FFFFFF" w:val="clear"/>
          <w:rtl w:val="true"/>
        </w:rPr>
        <w:t>».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 xml:space="preserve">ونسب بريمان وآخرون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1995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 xml:space="preserve">إلى ليش وتيرنر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1990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>تعريف المشروع بأنه</w:t>
      </w:r>
      <w:r>
        <w:rPr>
          <w:shd w:fill="FFFFFF" w:val="clear"/>
          <w:rtl w:val="true"/>
        </w:rPr>
        <w:t>:</w:t>
      </w:r>
    </w:p>
    <w:p>
      <w:pPr>
        <w:pStyle w:val="BlockQuotation"/>
        <w:bidi w:val="1"/>
        <w:rPr>
          <w:shd w:fill="FFFFFF" w:val="clear"/>
        </w:rPr>
      </w:pP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وحدة استثمار صناعي جديدة لها معالم مميزة أو متفردة، تنشأ من الموازنة بين الوقت والتكلفة</w:t>
      </w:r>
      <w:r>
        <w:rPr>
          <w:shd w:fill="FFFFFF" w:val="clear"/>
          <w:rtl w:val="true"/>
        </w:rPr>
        <w:t>».</w:t>
      </w:r>
    </w:p>
    <w:p>
      <w:pPr>
        <w:pStyle w:val="BodyText"/>
        <w:bidi w:val="1"/>
        <w:spacing w:before="0" w:after="0"/>
        <w:ind w:hanging="0" w:left="0" w:right="0"/>
        <w:jc w:val="center"/>
        <w:rPr>
          <w:color w:val="777777"/>
          <w:szCs w:val="19"/>
          <w:shd w:fill="FFFFFF" w:val="clear"/>
        </w:rPr>
      </w:pPr>
      <w:r>
        <w:rPr>
          <w:color w:val="777777"/>
          <w:szCs w:val="19"/>
          <w:shd w:fill="FFFFFF" w:val="clear"/>
        </w:rPr>
        <w:t>١٣</w:t>
      </w:r>
    </w:p>
    <w:p>
      <w:pPr>
        <w:pStyle w:val="BodyText"/>
        <w:bidi w:val="1"/>
        <w:ind w:hanging="0" w:left="0" w:right="0"/>
        <w:rPr>
          <w:color w:val="8A8A8A"/>
          <w:szCs w:val="17"/>
          <w:shd w:fill="FFFFFF" w:val="clear"/>
        </w:rPr>
      </w:pPr>
      <w:r>
        <w:rPr>
          <w:color w:val="8A8A8A"/>
          <w:szCs w:val="17"/>
          <w:shd w:fill="FFFFFF" w:val="clear"/>
          <w:rtl w:val="true"/>
        </w:rPr>
        <w:t>الفصل الأولتعريف المشروع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 xml:space="preserve">ووفقاً للمواصفة الدولية </w:t>
      </w:r>
      <w:r>
        <w:rPr>
          <w:shd w:fill="FFFFFF" w:val="clear"/>
        </w:rPr>
        <w:t>ISO 9000:2000</w:t>
      </w:r>
      <w:r>
        <w:rPr>
          <w:shd w:fill="FFFFFF" w:val="clear"/>
          <w:rtl w:val="true"/>
        </w:rPr>
        <w:t>‏</w:t>
      </w:r>
      <w:r>
        <w:rPr>
          <w:shd w:fill="FFFFFF" w:val="clear"/>
          <w:rtl w:val="true"/>
        </w:rPr>
        <w:t>، المشروع</w:t>
      </w:r>
      <w:r>
        <w:rPr>
          <w:shd w:fill="FFFFFF" w:val="clear"/>
          <w:rtl w:val="true"/>
        </w:rPr>
        <w:t>:</w:t>
      </w:r>
    </w:p>
    <w:p>
      <w:pPr>
        <w:pStyle w:val="BlockQuotation"/>
        <w:bidi w:val="1"/>
        <w:rPr>
          <w:shd w:fill="FFFFFF" w:val="clear"/>
        </w:rPr>
      </w:pP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عملية فريدة تتكون من مجموعة من الأنشطة المنسَّقة والمتحكَّم بها، لها تاريخ بدء وتاريخ انتهاء، تُنفَّذ لتحقيق هدف مطابق لمتطلبات محددة، بما في ذلك قيود الوقت والتكلفة والموارد</w:t>
      </w:r>
      <w:r>
        <w:rPr>
          <w:shd w:fill="FFFFFF" w:val="clear"/>
          <w:rtl w:val="true"/>
        </w:rPr>
        <w:t>».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 xml:space="preserve">ووفقاً لدليل الكفاءات الصادر عن الرابطة الدولية لإدارة المشاريع </w:t>
      </w:r>
      <w:r>
        <w:rPr>
          <w:shd w:fill="FFFFFF" w:val="clear"/>
        </w:rPr>
        <w:t>IPMA/ICB</w:t>
      </w:r>
      <w:r>
        <w:rPr>
          <w:shd w:fill="FFFFFF" w:val="clear"/>
          <w:rtl w:val="true"/>
        </w:rPr>
        <w:t>‏ (</w:t>
      </w:r>
      <w:r>
        <w:rPr>
          <w:shd w:fill="FFFFFF" w:val="clear"/>
        </w:rPr>
        <w:t>2006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>، المشروع</w:t>
      </w:r>
      <w:r>
        <w:rPr>
          <w:shd w:fill="FFFFFF" w:val="clear"/>
          <w:rtl w:val="true"/>
        </w:rPr>
        <w:t>:</w:t>
      </w:r>
    </w:p>
    <w:p>
      <w:pPr>
        <w:pStyle w:val="BlockQuotation"/>
        <w:bidi w:val="1"/>
        <w:rPr>
          <w:shd w:fill="FFFFFF" w:val="clear"/>
        </w:rPr>
      </w:pP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عملية مقيَّدة بالوقت والتكلفة، تهدف إلى تحقيق مجموعة من المخرجات المحددة التي تستوفي معايير الجودة والمتطلبات</w:t>
      </w:r>
      <w:r>
        <w:rPr>
          <w:shd w:fill="FFFFFF" w:val="clear"/>
          <w:rtl w:val="true"/>
        </w:rPr>
        <w:t>».</w:t>
      </w:r>
    </w:p>
    <w:p>
      <w:pPr>
        <w:pStyle w:val="BodyTextind"/>
        <w:bidi w:val="1"/>
        <w:rPr>
          <w:shd w:fill="FFFFFF" w:val="clear"/>
        </w:rPr>
      </w:pPr>
      <w:r>
        <w:rPr>
          <w:shd w:fill="FFFFFF" w:val="clear"/>
          <w:rtl w:val="true"/>
        </w:rPr>
        <w:t>ويجمع هذه التعريفات، على تباين مصادرها، أربعة عناصر لا يخلو منها مشروع</w:t>
      </w:r>
      <w:r>
        <w:rPr>
          <w:shd w:fill="FFFFFF" w:val="clear"/>
          <w:rtl w:val="true"/>
        </w:rPr>
        <w:t xml:space="preserve">: </w:t>
      </w:r>
      <w:r>
        <w:rPr>
          <w:shd w:fill="FFFFFF" w:val="clear"/>
          <w:rtl w:val="true"/>
        </w:rPr>
        <w:t>حدٌّ زمني له بداية ونهاية، ومخرجات محددة مسبقاً، وقيود على الوقت والتكلفة والموارد، ومعيار للجودة يُحكم به على النتيجة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>وما لم تتوافر هذه العناصر الأربعة فنحن أمام عملية تشغيلية مستمرة، لا أمام مشروع</w:t>
      </w:r>
      <w:r>
        <w:rPr>
          <w:shd w:fill="FFFFFF" w:val="clear"/>
          <w:rtl w:val="true"/>
        </w:rPr>
        <w:t>.</w:t>
      </w:r>
    </w:p>
    <w:p>
      <w:pPr>
        <w:pStyle w:val="Heading2"/>
        <w:bidi w:val="1"/>
        <w:rPr>
          <w:shd w:fill="FFFFFF" w:val="clear"/>
        </w:rPr>
      </w:pPr>
      <w:r>
        <w:rPr>
          <w:shd w:fill="FFFFFF" w:val="clear"/>
          <w:rtl w:val="true"/>
        </w:rPr>
        <w:t>نشأة إدارة المشاريع</w:t>
      </w:r>
    </w:p>
    <w:p>
      <w:pPr>
        <w:pStyle w:val="BodyTextfirst"/>
        <w:bidi w:val="1"/>
        <w:ind w:hanging="0" w:left="0" w:right="0"/>
        <w:rPr>
          <w:shd w:fill="FFFFFF" w:val="clear"/>
        </w:rPr>
      </w:pPr>
      <w:r>
        <w:rPr>
          <w:shd w:fill="FFFFFF" w:val="clear"/>
          <w:rtl w:val="true"/>
        </w:rPr>
        <w:t>عُرفت الإدارة علماً له قواعده وأسسه ومدارسه منذ أواخر القرن التاسع عشر وخلال القرن العشرين، وشارك في إثراء هذا العلم عددٌ من الباحثين كان لدراساتهم وتجاربهم أثرٌ واضحٌ فيه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 xml:space="preserve">ومن روّاده تشارلز بابيج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Charles Babbage</w:t>
      </w:r>
      <w:r>
        <w:rPr>
          <w:shd w:fill="FFFFFF" w:val="clear"/>
          <w:rtl w:val="true"/>
        </w:rPr>
        <w:t>)‏</w:t>
      </w:r>
      <w:r>
        <w:rPr>
          <w:shd w:fill="FFFFFF" w:val="clear"/>
          <w:rtl w:val="true"/>
        </w:rPr>
        <w:t xml:space="preserve">، الذي عرض أفكاره الإدارية في كتابه المنشور عام </w:t>
      </w:r>
      <w:r>
        <w:rPr>
          <w:shd w:fill="FFFFFF" w:val="clear"/>
        </w:rPr>
        <w:t>١٨٣٢</w:t>
      </w:r>
      <w:r>
        <w:rPr>
          <w:shd w:fill="FFFFFF" w:val="clear"/>
          <w:rtl w:val="true"/>
        </w:rPr>
        <w:t xml:space="preserve"> بعنوان </w:t>
      </w: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في اقتصاديات الآلات والمصنوعات</w:t>
      </w:r>
      <w:r>
        <w:rPr>
          <w:shd w:fill="FFFFFF" w:val="clear"/>
          <w:rtl w:val="true"/>
        </w:rPr>
        <w:t>»</w:t>
      </w:r>
      <w:r>
        <w:rPr>
          <w:color w:val="8A6A2F"/>
          <w:sz w:val="18"/>
          <w:shd w:fill="FFFFFF" w:val="clear"/>
          <w:rtl w:val="true"/>
        </w:rPr>
        <w:t>(</w:t>
      </w:r>
      <w:r>
        <w:rPr>
          <w:color w:val="8A6A2F"/>
          <w:szCs w:val="18"/>
          <w:shd w:fill="FFFFFF" w:val="clear"/>
        </w:rPr>
        <w:t>١</w:t>
      </w:r>
      <w:r>
        <w:rPr>
          <w:color w:val="8A6A2F"/>
          <w:sz w:val="18"/>
          <w:shd w:fill="FFFFFF" w:val="clear"/>
          <w:rtl w:val="true"/>
        </w:rPr>
        <w:t>)</w:t>
      </w:r>
      <w:r>
        <w:rPr>
          <w:shd w:fill="FFFFFF" w:val="clear"/>
          <w:rtl w:val="true"/>
        </w:rPr>
        <w:t>.</w:t>
      </w:r>
    </w:p>
    <w:p>
      <w:pPr>
        <w:pStyle w:val="BodyText"/>
        <w:bidi w:val="0"/>
        <w:spacing w:before="0" w:after="0"/>
        <w:ind w:hanging="0" w:left="0" w:right="0"/>
        <w:rPr>
          <w:shd w:fill="FFFFFF" w:val="clear"/>
        </w:rPr>
      </w:pPr>
      <w:r>
        <w:rPr>
          <w:shd w:fill="FFFFFF" w:val="clear"/>
        </w:rPr>
        <w:t>(</w:t>
      </w:r>
      <w:r>
        <w:rPr>
          <w:shd w:fill="FFFFFF" w:val="clear"/>
        </w:rPr>
        <w:t>١</w:t>
      </w:r>
      <w:r>
        <w:rPr>
          <w:shd w:fill="FFFFFF" w:val="clear"/>
        </w:rPr>
        <w:t xml:space="preserve">) </w:t>
      </w:r>
      <w:r>
        <w:rPr>
          <w:shd w:fill="FFFFFF" w:val="clear"/>
          <w:rtl w:val="true"/>
        </w:rPr>
        <w:t>العنوان الأصلي</w:t>
      </w:r>
      <w:r>
        <w:rPr>
          <w:shd w:fill="FFFFFF" w:val="clear"/>
        </w:rPr>
        <w:t>: On the Economy of Machinery and Manufactures</w:t>
      </w:r>
      <w:r>
        <w:rPr>
          <w:shd w:fill="FFFFFF" w:val="clear"/>
          <w:rtl w:val="true"/>
        </w:rPr>
        <w:t>‏</w:t>
      </w:r>
      <w:r>
        <w:rPr>
          <w:shd w:fill="FFFFFF" w:val="clear"/>
          <w:rtl w:val="true"/>
        </w:rPr>
        <w:t xml:space="preserve">، لندن، </w:t>
      </w:r>
      <w:r>
        <w:rPr>
          <w:shd w:fill="FFFFFF" w:val="clear"/>
        </w:rPr>
        <w:t>١٨٣٢</w:t>
      </w:r>
      <w:r>
        <w:rPr>
          <w:shd w:fill="FFFFFF" w:val="clear"/>
        </w:rPr>
        <w:t>.</w:t>
      </w:r>
    </w:p>
    <w:p>
      <w:pPr>
        <w:pStyle w:val="BodyText"/>
        <w:bidi w:val="1"/>
        <w:spacing w:before="0" w:after="0"/>
        <w:ind w:hanging="0" w:left="0" w:right="0"/>
        <w:jc w:val="center"/>
        <w:rPr>
          <w:color w:val="777777"/>
          <w:szCs w:val="19"/>
          <w:shd w:fill="FFFFFF" w:val="clear"/>
        </w:rPr>
      </w:pPr>
      <w:r>
        <w:rPr>
          <w:color w:val="777777"/>
          <w:szCs w:val="19"/>
          <w:shd w:fill="FFFFFF" w:val="clear"/>
        </w:rPr>
        <w:t>١٤</w:t>
      </w:r>
    </w:p>
    <w:p>
      <w:pPr>
        <w:pStyle w:val="BodyText"/>
        <w:bidi w:val="1"/>
        <w:ind w:hanging="0" w:left="0" w:right="0"/>
        <w:rPr>
          <w:color w:val="8A8A8A"/>
          <w:szCs w:val="17"/>
          <w:shd w:fill="FFFFFF" w:val="clear"/>
        </w:rPr>
      </w:pPr>
      <w:r>
        <w:rPr>
          <w:color w:val="8A8A8A"/>
          <w:szCs w:val="17"/>
          <w:shd w:fill="FFFFFF" w:val="clear"/>
          <w:rtl w:val="true"/>
        </w:rPr>
        <w:t>ملحقمعجم المصطلحات المعتمد</w:t>
      </w:r>
    </w:p>
    <w:p>
      <w:pPr>
        <w:pStyle w:val="BodyTextkicker"/>
        <w:bidi w:val="1"/>
        <w:rPr>
          <w:shd w:fill="FFFFFF" w:val="clear"/>
        </w:rPr>
      </w:pPr>
      <w:r>
        <w:rPr>
          <w:shd w:fill="FFFFFF" w:val="clear"/>
          <w:rtl w:val="true"/>
        </w:rPr>
        <w:t>ملحق أ</w:t>
      </w:r>
    </w:p>
    <w:p>
      <w:pPr>
        <w:pStyle w:val="Heading1"/>
        <w:bidi w:val="1"/>
        <w:rPr>
          <w:shd w:fill="FFFFFF" w:val="clear"/>
        </w:rPr>
      </w:pPr>
      <w:r>
        <w:rPr>
          <w:shd w:fill="FFFFFF" w:val="clear"/>
          <w:rtl w:val="true"/>
        </w:rPr>
        <w:t>معجم المصطلحات المعتمد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>يثبَّت في الكتاب مقابلٌ عربي واحد لكل مصطلح، وتُهمل البدائل حتى لا يظن القارئ أنها مفاهيم مختلفة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>هذا الجدول هو المرجع عند أي خلاف في المتن</w:t>
      </w:r>
      <w:r>
        <w:rPr>
          <w:shd w:fill="FFFFFF" w:val="clear"/>
          <w:rtl w:val="true"/>
        </w:rPr>
        <w:t>.</w:t>
      </w:r>
    </w:p>
    <w:tbl>
      <w:tblPr>
        <w:bidiVisual w:val="true"/>
        <w:tblW w:w="108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3"/>
        <w:gridCol w:w="2277"/>
        <w:gridCol w:w="6898"/>
      </w:tblGrid>
      <w:tr>
        <w:trPr/>
        <w:tc>
          <w:tcPr>
            <w:tcW w:w="1633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rPr/>
            </w:pPr>
            <w:r>
              <w:rPr>
                <w:rtl w:val="true"/>
              </w:rPr>
              <w:t>المصطلح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rPr/>
            </w:pPr>
            <w:r>
              <w:rPr>
                <w:rtl w:val="true"/>
              </w:rPr>
              <w:t>المقابل المعتمد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Heading"/>
              <w:suppressLineNumbers/>
              <w:shd w:fill="F4EFE4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بدائل مهملة، وسبب الإهمال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Stakeholders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أصحاب المصلحة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الجهات المعنية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تُفهم جهاتٍ رسمية فقط، و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أصحاب الشأن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غير شائع في المراجع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Resources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الموارد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المصادر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تعني مراجع المعلومات، فتلتبس على القارئ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Deliverables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المخرجات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الإنجازات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تعني ما تحقق فعلاً، لا ما يجب تسليمه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Scope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نطاق العمل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المجال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و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الحدود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أوسع من المعنى المقصود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Milestone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محطة رئيسة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معلم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تلتبس بمعلم المدرسة في القراءة السريعة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Risk / Issue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 xml:space="preserve">خطر محتمل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مشكلة قائمة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الخلط بينهما أشهر خطأ في الكتب العربية؛ الأول لم يقع بعد والثاني واقع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Baseline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خط الأساس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المرجع المعتمد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يلتبس بمراجع الكتاب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/>
              <w:t>Project Charter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ميثاق المشروع</w:t>
            </w:r>
          </w:p>
        </w:tc>
        <w:tc>
          <w:tcPr>
            <w:tcW w:w="689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وثيقة إطلاق المشروع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وصفٌ لا مصطلح</w:t>
            </w:r>
          </w:p>
        </w:tc>
      </w:tr>
    </w:tbl>
    <w:p>
      <w:pPr>
        <w:pStyle w:val="BodyText"/>
        <w:bidi w:val="1"/>
        <w:spacing w:lineRule="auto" w:line="408" w:before="0" w:after="0"/>
        <w:ind w:hanging="0" w:left="0" w:right="0"/>
        <w:rPr>
          <w:color w:val="6A6A6A"/>
          <w:shd w:fill="FFFFFF" w:val="clear"/>
        </w:rPr>
      </w:pPr>
      <w:r>
        <w:rPr>
          <w:color w:val="6A6A6A"/>
          <w:szCs w:val="19"/>
          <w:shd w:fill="FFFFFF" w:val="clear"/>
          <w:rtl w:val="true"/>
        </w:rPr>
        <w:t>تُضاف إلى الجدول كل كلمة يتردد فيها المتن، ويُعاد البحث عنها في الملف كاملاً قبل التسليم حتى لا تبقى نسخة واحدة بالمقابل القديم</w:t>
      </w:r>
      <w:r>
        <w:rPr>
          <w:color w:val="6A6A6A"/>
          <w:sz w:val="19"/>
          <w:shd w:fill="FFFFFF" w:val="clear"/>
          <w:rtl w:val="true"/>
        </w:rPr>
        <w:t>.</w:t>
      </w:r>
    </w:p>
    <w:p>
      <w:pPr>
        <w:pStyle w:val="BodyText"/>
        <w:bidi w:val="1"/>
        <w:spacing w:before="0" w:after="0"/>
        <w:ind w:hanging="0" w:left="0" w:right="0"/>
        <w:jc w:val="center"/>
        <w:rPr>
          <w:color w:val="777777"/>
          <w:szCs w:val="19"/>
          <w:shd w:fill="FFFFFF" w:val="clear"/>
        </w:rPr>
      </w:pPr>
      <w:r>
        <w:rPr>
          <w:color w:val="777777"/>
          <w:szCs w:val="19"/>
          <w:shd w:fill="FFFFFF" w:val="clear"/>
        </w:rPr>
        <w:t>١٥</w:t>
      </w:r>
    </w:p>
    <w:p>
      <w:pPr>
        <w:pStyle w:val="BodyText"/>
        <w:bidi w:val="1"/>
        <w:ind w:hanging="0" w:left="0" w:right="0"/>
        <w:rPr>
          <w:color w:val="8A8A8A"/>
          <w:szCs w:val="17"/>
          <w:shd w:fill="FFFFFF" w:val="clear"/>
        </w:rPr>
      </w:pPr>
      <w:r>
        <w:rPr>
          <w:color w:val="8A8A8A"/>
          <w:szCs w:val="17"/>
          <w:shd w:fill="FFFFFF" w:val="clear"/>
          <w:rtl w:val="true"/>
        </w:rPr>
        <w:t>ملحقورقة الأسلوب</w:t>
      </w:r>
    </w:p>
    <w:p>
      <w:pPr>
        <w:pStyle w:val="BodyTextkicker"/>
        <w:bidi w:val="1"/>
        <w:rPr>
          <w:shd w:fill="FFFFFF" w:val="clear"/>
        </w:rPr>
      </w:pPr>
      <w:r>
        <w:rPr>
          <w:shd w:fill="FFFFFF" w:val="clear"/>
          <w:rtl w:val="true"/>
        </w:rPr>
        <w:t>ملحق ب</w:t>
      </w:r>
    </w:p>
    <w:p>
      <w:pPr>
        <w:pStyle w:val="Heading1"/>
        <w:bidi w:val="1"/>
        <w:rPr>
          <w:shd w:fill="FFFFFF" w:val="clear"/>
        </w:rPr>
      </w:pPr>
      <w:r>
        <w:rPr>
          <w:shd w:fill="FFFFFF" w:val="clear"/>
          <w:rtl w:val="true"/>
        </w:rPr>
        <w:t>ورقة الأسلوب المتفق عليها</w:t>
      </w:r>
    </w:p>
    <w:p>
      <w:pPr>
        <w:pStyle w:val="BodyTextfirst"/>
        <w:bidi w:val="1"/>
        <w:rPr>
          <w:shd w:fill="FFFFFF" w:val="clear"/>
        </w:rPr>
      </w:pPr>
      <w:r>
        <w:rPr>
          <w:shd w:fill="FFFFFF" w:val="clear"/>
          <w:rtl w:val="true"/>
        </w:rPr>
        <w:t>قواعد تُطبَّق على الكتاب كله، وتُراجع آلياً قبل التسليم بحيث لا تعتمد على الذاكرة</w:t>
      </w:r>
      <w:r>
        <w:rPr>
          <w:shd w:fill="FFFFFF" w:val="clear"/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 xml:space="preserve">الاقتباس بين علامتي </w:t>
      </w:r>
      <w:r>
        <w:rPr>
          <w:shd w:fill="FFFFFF" w:val="clear"/>
          <w:rtl w:val="true"/>
        </w:rPr>
        <w:t xml:space="preserve">«…» </w:t>
      </w:r>
      <w:r>
        <w:rPr>
          <w:shd w:fill="FFFFFF" w:val="clear"/>
          <w:rtl w:val="true"/>
        </w:rPr>
        <w:t xml:space="preserve">فقط، ولا تُستخدم العلامة المستقيمة </w:t>
      </w:r>
      <w:r>
        <w:rPr>
          <w:shd w:fill="FFFFFF" w:val="clear"/>
          <w:rtl w:val="true"/>
        </w:rPr>
        <w:t>"…"</w:t>
      </w:r>
      <w:r>
        <w:rPr>
          <w:shd w:fill="FFFFFF" w:val="clear"/>
          <w:rtl w:val="true"/>
        </w:rPr>
        <w:t>، وكل اقتباس يُفتح يُغلق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>التشكيل لا يوضع إلا حيث يزول به لبس في القراءة، أو في الآيات والأحاديث، ولا يوضع زينةً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>الهمزة والتاء المربوطة تُراجعان بالبحث</w:t>
      </w:r>
      <w:r>
        <w:rPr>
          <w:shd w:fill="FFFFFF" w:val="clear"/>
          <w:rtl w:val="true"/>
        </w:rPr>
        <w:t>: «</w:t>
      </w:r>
      <w:r>
        <w:rPr>
          <w:shd w:fill="FFFFFF" w:val="clear"/>
          <w:rtl w:val="true"/>
        </w:rPr>
        <w:t>الانشطة</w:t>
      </w:r>
      <w:r>
        <w:rPr>
          <w:shd w:fill="FFFFFF" w:val="clear"/>
          <w:rtl w:val="true"/>
        </w:rPr>
        <w:t xml:space="preserve">» </w:t>
      </w:r>
      <w:r>
        <w:rPr>
          <w:shd w:fill="FFFFFF" w:val="clear"/>
          <w:rtl w:val="true"/>
        </w:rPr>
        <w:t>و</w:t>
      </w: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محدده</w:t>
      </w:r>
      <w:r>
        <w:rPr>
          <w:shd w:fill="FFFFFF" w:val="clear"/>
          <w:rtl w:val="true"/>
        </w:rPr>
        <w:t xml:space="preserve">» </w:t>
      </w:r>
      <w:r>
        <w:rPr>
          <w:shd w:fill="FFFFFF" w:val="clear"/>
          <w:rtl w:val="true"/>
        </w:rPr>
        <w:t>و</w:t>
      </w: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اموال</w:t>
      </w:r>
      <w:r>
        <w:rPr>
          <w:shd w:fill="FFFFFF" w:val="clear"/>
          <w:rtl w:val="true"/>
        </w:rPr>
        <w:t xml:space="preserve">» </w:t>
      </w:r>
      <w:r>
        <w:rPr>
          <w:shd w:fill="FFFFFF" w:val="clear"/>
          <w:rtl w:val="true"/>
        </w:rPr>
        <w:t>و</w:t>
      </w:r>
      <w:r>
        <w:rPr>
          <w:shd w:fill="FFFFFF" w:val="clear"/>
          <w:rtl w:val="true"/>
        </w:rPr>
        <w:t>«</w:t>
      </w:r>
      <w:r>
        <w:rPr>
          <w:shd w:fill="FFFFFF" w:val="clear"/>
          <w:rtl w:val="true"/>
        </w:rPr>
        <w:t>الي</w:t>
      </w:r>
      <w:r>
        <w:rPr>
          <w:shd w:fill="FFFFFF" w:val="clear"/>
          <w:rtl w:val="true"/>
        </w:rPr>
        <w:t xml:space="preserve">» </w:t>
      </w:r>
      <w:r>
        <w:rPr>
          <w:shd w:fill="FFFFFF" w:val="clear"/>
          <w:rtl w:val="true"/>
        </w:rPr>
        <w:t>ونحوها لا تمر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>لا تُستخدم المسافة غير القابلة للكسر ولا علامة التطويل داخل النص، فهما تُبقيان الكلمة خارج نتائج البحث وتُفسدان ضبط الأسطر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>كل مرجع يُسمَّى في المتن نفسه، ولا يُترك الاسم في الحاشية وحدها، فالقارئ لا يعرف قائل الكلام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firstLine="992" w:left="709"/>
        <w:rPr>
          <w:shd w:fill="FFFFFF" w:val="clear"/>
        </w:rPr>
      </w:pPr>
      <w:r>
        <w:rPr>
          <w:shd w:fill="FFFFFF" w:val="clear"/>
          <w:rtl w:val="true"/>
        </w:rPr>
        <w:t>الأرقام</w:t>
      </w:r>
      <w:r>
        <w:rPr>
          <w:shd w:fill="FFFFFF" w:val="clear"/>
          <w:rtl w:val="true"/>
        </w:rPr>
        <w:t xml:space="preserve">: </w:t>
      </w:r>
      <w:r>
        <w:rPr>
          <w:shd w:fill="FFFFFF" w:val="clear"/>
          <w:rtl w:val="true"/>
        </w:rPr>
        <w:t xml:space="preserve">الهندية </w:t>
      </w:r>
      <w:r>
        <w:rPr>
          <w:shd w:fill="FFFFFF" w:val="clear"/>
        </w:rPr>
        <w:t>١٢٣</w:t>
      </w:r>
      <w:r>
        <w:rPr>
          <w:shd w:fill="FFFFFF" w:val="clear"/>
          <w:rtl w:val="true"/>
        </w:rPr>
        <w:t xml:space="preserve"> في المتن العربي، واللاتينية في أرقام المواصفات وأسماء الإصدارات</w:t>
      </w:r>
      <w:r>
        <w:rPr>
          <w:shd w:fill="FFFFFF" w:val="clear"/>
          <w:rtl w:val="true"/>
        </w:rPr>
        <w:t xml:space="preserve">. </w:t>
      </w:r>
    </w:p>
    <w:p>
      <w:pPr>
        <w:pStyle w:val="BodyText"/>
        <w:bidi w:val="0"/>
        <w:spacing w:lineRule="auto" w:line="408" w:before="0" w:after="0"/>
        <w:ind w:hanging="0" w:left="0" w:right="0"/>
        <w:rPr>
          <w:color w:val="6A6A6A"/>
          <w:shd w:fill="FFFFFF" w:val="clear"/>
        </w:rPr>
      </w:pPr>
      <w:r>
        <w:rPr>
          <w:color w:val="6A6A6A"/>
          <w:szCs w:val="19"/>
          <w:shd w:fill="FFFFFF" w:val="clear"/>
          <w:rtl w:val="true"/>
        </w:rPr>
        <w:t xml:space="preserve">النصوص في الصفحتين الأولى والثانية مأخوذة من مقالة </w:t>
      </w:r>
      <w:r>
        <w:rPr>
          <w:color w:val="6A6A6A"/>
          <w:sz w:val="19"/>
          <w:shd w:fill="FFFFFF" w:val="clear"/>
          <w:rtl w:val="true"/>
        </w:rPr>
        <w:t>«</w:t>
      </w:r>
      <w:r>
        <w:rPr>
          <w:color w:val="6A6A6A"/>
          <w:szCs w:val="19"/>
          <w:shd w:fill="FFFFFF" w:val="clear"/>
          <w:rtl w:val="true"/>
        </w:rPr>
        <w:t>إدارة المشاريع</w:t>
      </w:r>
      <w:r>
        <w:rPr>
          <w:color w:val="6A6A6A"/>
          <w:sz w:val="19"/>
          <w:shd w:fill="FFFFFF" w:val="clear"/>
          <w:rtl w:val="true"/>
        </w:rPr>
        <w:t xml:space="preserve">» </w:t>
      </w:r>
      <w:r>
        <w:rPr>
          <w:color w:val="6A6A6A"/>
          <w:szCs w:val="19"/>
          <w:shd w:fill="FFFFFF" w:val="clear"/>
          <w:rtl w:val="true"/>
        </w:rPr>
        <w:t>في ويكيبيديا العربية ومحرَّرة هنا للعرض، وهي منشورة برخصة</w:t>
      </w:r>
      <w:r>
        <w:rPr>
          <w:color w:val="6A6A6A"/>
          <w:szCs w:val="19"/>
          <w:shd w:fill="FFFFFF" w:val="clear"/>
        </w:rPr>
        <w:t xml:space="preserve"> </w:t>
      </w:r>
      <w:r>
        <w:rPr>
          <w:color w:val="6A6A6A"/>
          <w:sz w:val="19"/>
          <w:shd w:fill="FFFFFF" w:val="clear"/>
        </w:rPr>
        <w:t>CC BY-SA 4.0</w:t>
      </w:r>
      <w:r>
        <w:rPr>
          <w:color w:val="6A6A6A"/>
          <w:sz w:val="19"/>
          <w:shd w:fill="FFFFFF" w:val="clear"/>
          <w:rtl w:val="true"/>
        </w:rPr>
        <w:t>‏</w:t>
      </w:r>
      <w:r>
        <w:rPr>
          <w:color w:val="6A6A6A"/>
          <w:szCs w:val="19"/>
          <w:shd w:fill="FFFFFF" w:val="clear"/>
          <w:rtl w:val="true"/>
        </w:rPr>
        <w:t>، ولذلك تبقى هذه النسخة المحرَّرة تحت الرخصة نفسها</w:t>
      </w:r>
      <w:r>
        <w:rPr>
          <w:color w:val="6A6A6A"/>
          <w:sz w:val="19"/>
          <w:shd w:fill="FFFFFF" w:val="clear"/>
          <w:rtl w:val="true"/>
        </w:rPr>
        <w:t xml:space="preserve">. </w:t>
      </w:r>
      <w:r>
        <w:rPr>
          <w:color w:val="6A6A6A"/>
          <w:szCs w:val="19"/>
          <w:shd w:fill="FFFFFF" w:val="clear"/>
          <w:rtl w:val="true"/>
        </w:rPr>
        <w:t>أما كتابك فيُحرَّر على نصك أنت، فلا تنتقل إليه أي رخصة</w:t>
      </w:r>
      <w:r>
        <w:rPr>
          <w:color w:val="6A6A6A"/>
          <w:sz w:val="19"/>
          <w:shd w:fill="FFFFFF" w:val="clear"/>
        </w:rPr>
        <w:t>.</w:t>
      </w:r>
    </w:p>
    <w:p>
      <w:pPr>
        <w:pStyle w:val="BodyText"/>
        <w:bidi w:val="1"/>
        <w:spacing w:before="0" w:after="0"/>
        <w:ind w:hanging="0" w:left="0" w:right="0"/>
        <w:jc w:val="center"/>
        <w:rPr>
          <w:color w:val="777777"/>
          <w:szCs w:val="19"/>
          <w:shd w:fill="FFFFFF" w:val="clear"/>
        </w:rPr>
      </w:pPr>
      <w:r>
        <w:rPr>
          <w:color w:val="777777"/>
          <w:szCs w:val="19"/>
          <w:shd w:fill="FFFFFF" w:val="clear"/>
        </w:rPr>
        <w:t>١٦</w:t>
      </w:r>
    </w:p>
    <w:sectPr>
      <w:type w:val="nextPage"/>
      <w:pgSz w:w="8787" w:h="13039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miri">
    <w:altName w:val="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miri;serif" w:hAnsi="Amiri;serif" w:eastAsia="Amiri;serif" w:cs="Amiri;serif"/>
      <w:color w:val="1B1B1B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8"/>
      <w:szCs w:val="3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lineRule="auto" w:line="468" w:before="0" w:after="283"/>
    </w:pPr>
    <w:rPr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first">
    <w:name w:val="Body Text.first"/>
    <w:basedOn w:val="BodyText"/>
    <w:qFormat/>
    <w:pPr/>
    <w:rPr/>
  </w:style>
  <w:style w:type="paragraph" w:styleId="BodyTextind">
    <w:name w:val="Body Text.ind"/>
    <w:basedOn w:val="BodyText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BodyTextkicker">
    <w:name w:val="Body Text.kicker"/>
    <w:basedOn w:val="BodyText"/>
    <w:qFormat/>
    <w:pPr/>
    <w:rPr>
      <w:color w:val="8A6A2F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4EFE4" w:val="clear"/>
      <w:jc w:val="center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نموذج صفحات كتاب: تعريف المشروع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