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pPr>
      <w:r>
        <w:rPr>
          <w:rFonts w:ascii="Calibri" w:hAnsi="Calibri"/>
          <w:b/>
          <w:color w:val="1F4D78"/>
          <w:sz w:val="26"/>
        </w:rPr>
        <w:t>EXPEDIA</w:t>
      </w:r>
    </w:p>
    <w:p>
      <w:pPr>
        <w:spacing w:after="80"/>
      </w:pPr>
      <w:r>
        <w:rPr>
          <w:rFonts w:ascii="Calibri" w:hAnsi="Calibri"/>
          <w:b/>
          <w:color w:val="0B2545"/>
          <w:sz w:val="60"/>
        </w:rPr>
        <w:t>Design Specification</w:t>
      </w:r>
    </w:p>
    <w:p>
      <w:pPr>
        <w:spacing w:after="440"/>
      </w:pPr>
      <w:r>
        <w:rPr>
          <w:rFonts w:ascii="Calibri" w:hAnsi="Calibri"/>
          <w:color w:val="5C6773"/>
          <w:sz w:val="30"/>
        </w:rPr>
        <w:t>EDS v2.0 - Atlas-first scientific infrastructure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Document status: </w:t>
            </w:r>
            <w:r>
              <w:rPr>
                <w:rFonts w:ascii="Calibri" w:hAnsi="Calibri"/>
                <w:color w:val="0B2545"/>
                <w:sz w:val="20"/>
              </w:rPr>
              <w:t>Canonical draft. It becomes the project source of truth only after the governance owner accepts the proposed ADRs and release policy.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Document control</w:t>
            </w:r>
          </w:p>
        </w:tc>
        <w:tc>
          <w:tcPr>
            <w:tcW w:type="dxa" w:w="7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Value</w:t>
            </w:r>
          </w:p>
        </w:tc>
      </w:tr>
      <w:tr>
        <w:tc>
          <w:tcPr>
            <w:tcW w:type="dxa" w:w="2200"/>
          </w:tcPr>
          <w:p>
            <w:pPr>
              <w:spacing w:before="0" w:after="0" w:line="252" w:lineRule="auto"/>
              <w:jc w:val="left"/>
            </w:pPr>
            <w:r>
              <w:rPr>
                <w:rFonts w:ascii="Calibri" w:hAnsi="Calibri"/>
                <w:b w:val="0"/>
                <w:sz w:val="18"/>
              </w:rPr>
              <w:t>Purpose</w:t>
            </w:r>
          </w:p>
        </w:tc>
        <w:tc>
          <w:tcPr>
            <w:tcW w:type="dxa" w:w="7160"/>
          </w:tcPr>
          <w:p>
            <w:pPr>
              <w:spacing w:before="0" w:after="0" w:line="252" w:lineRule="auto"/>
              <w:jc w:val="left"/>
            </w:pPr>
            <w:r>
              <w:rPr>
                <w:rFonts w:ascii="Calibri" w:hAnsi="Calibri"/>
                <w:b w:val="0"/>
                <w:sz w:val="18"/>
              </w:rPr>
              <w:t>Normative architecture, data contracts, requirements, and release governance for EXPEDIA.</w:t>
            </w:r>
          </w:p>
        </w:tc>
      </w:tr>
      <w:tr>
        <w:tc>
          <w:tcPr>
            <w:tcW w:type="dxa" w:w="2200"/>
          </w:tcPr>
          <w:p>
            <w:pPr>
              <w:spacing w:before="0" w:after="0" w:line="252" w:lineRule="auto"/>
              <w:jc w:val="left"/>
            </w:pPr>
            <w:r>
              <w:rPr>
                <w:rFonts w:ascii="Calibri" w:hAnsi="Calibri"/>
                <w:b w:val="0"/>
                <w:sz w:val="18"/>
              </w:rPr>
              <w:t>Primary source</w:t>
            </w:r>
          </w:p>
        </w:tc>
        <w:tc>
          <w:tcPr>
            <w:tcW w:type="dxa" w:w="7160"/>
          </w:tcPr>
          <w:p>
            <w:pPr>
              <w:spacing w:before="0" w:after="0" w:line="252" w:lineRule="auto"/>
              <w:jc w:val="left"/>
            </w:pPr>
            <w:r>
              <w:rPr>
                <w:rFonts w:ascii="Calibri" w:hAnsi="Calibri"/>
                <w:b w:val="0"/>
                <w:sz w:val="18"/>
              </w:rPr>
              <w:t>EXPEDIA Project Report - Revision 3, treated as an RFC rather than an approved architecture.</w:t>
            </w:r>
          </w:p>
        </w:tc>
      </w:tr>
      <w:tr>
        <w:tc>
          <w:tcPr>
            <w:tcW w:type="dxa" w:w="2200"/>
          </w:tcPr>
          <w:p>
            <w:pPr>
              <w:spacing w:before="0" w:after="0" w:line="252" w:lineRule="auto"/>
              <w:jc w:val="left"/>
            </w:pPr>
            <w:r>
              <w:rPr>
                <w:rFonts w:ascii="Calibri" w:hAnsi="Calibri"/>
                <w:b w:val="0"/>
                <w:sz w:val="18"/>
              </w:rPr>
              <w:t>Prior specification</w:t>
            </w:r>
          </w:p>
        </w:tc>
        <w:tc>
          <w:tcPr>
            <w:tcW w:type="dxa" w:w="7160"/>
          </w:tcPr>
          <w:p>
            <w:pPr>
              <w:spacing w:before="0" w:after="0" w:line="252" w:lineRule="auto"/>
              <w:jc w:val="left"/>
            </w:pPr>
            <w:r>
              <w:rPr>
                <w:rFonts w:ascii="Calibri" w:hAnsi="Calibri"/>
                <w:b w:val="0"/>
                <w:sz w:val="18"/>
              </w:rPr>
              <w:t>EDS v1.0; its governance, evidence rules, contracts, ADRs, and open-question register are retained and expanded.</w:t>
            </w:r>
          </w:p>
        </w:tc>
      </w:tr>
      <w:tr>
        <w:tc>
          <w:tcPr>
            <w:tcW w:type="dxa" w:w="2200"/>
          </w:tcPr>
          <w:p>
            <w:pPr>
              <w:spacing w:before="0" w:after="0" w:line="252" w:lineRule="auto"/>
              <w:jc w:val="left"/>
            </w:pPr>
            <w:r>
              <w:rPr>
                <w:rFonts w:ascii="Calibri" w:hAnsi="Calibri"/>
                <w:b w:val="0"/>
                <w:sz w:val="18"/>
              </w:rPr>
              <w:t>Evidence boundary</w:t>
            </w:r>
          </w:p>
        </w:tc>
        <w:tc>
          <w:tcPr>
            <w:tcW w:type="dxa" w:w="7160"/>
          </w:tcPr>
          <w:p>
            <w:pPr>
              <w:spacing w:before="0" w:after="0" w:line="252" w:lineRule="auto"/>
              <w:jc w:val="left"/>
            </w:pPr>
            <w:r>
              <w:rPr>
                <w:rFonts w:ascii="Calibri" w:hAnsi="Calibri"/>
                <w:b w:val="0"/>
                <w:sz w:val="18"/>
              </w:rPr>
              <w:t>Reported implementation is not independently code-audited here. Planned and Experimental work is not presented as validated.</w:t>
            </w:r>
          </w:p>
        </w:tc>
      </w:tr>
      <w:tr>
        <w:tc>
          <w:tcPr>
            <w:tcW w:type="dxa" w:w="2200"/>
          </w:tcPr>
          <w:p>
            <w:pPr>
              <w:spacing w:before="0" w:after="0" w:line="252" w:lineRule="auto"/>
              <w:jc w:val="left"/>
            </w:pPr>
            <w:r>
              <w:rPr>
                <w:rFonts w:ascii="Calibri" w:hAnsi="Calibri"/>
                <w:b w:val="0"/>
                <w:sz w:val="18"/>
              </w:rPr>
              <w:t>Normative terms</w:t>
            </w:r>
          </w:p>
        </w:tc>
        <w:tc>
          <w:tcPr>
            <w:tcW w:type="dxa" w:w="7160"/>
          </w:tcPr>
          <w:p>
            <w:pPr>
              <w:spacing w:before="0" w:after="0" w:line="252" w:lineRule="auto"/>
              <w:jc w:val="left"/>
            </w:pPr>
            <w:r>
              <w:rPr>
                <w:rFonts w:ascii="Calibri" w:hAnsi="Calibri"/>
                <w:b w:val="0"/>
                <w:sz w:val="18"/>
              </w:rPr>
              <w:t xml:space="preserve">MUST = requirement; SHOULD = strong recommendation; MAY = permitted option. </w:t>
            </w:r>
          </w:p>
        </w:tc>
      </w:tr>
      <w:tr>
        <w:tc>
          <w:tcPr>
            <w:tcW w:type="dxa" w:w="2200"/>
          </w:tcPr>
          <w:p>
            <w:pPr>
              <w:spacing w:before="0" w:after="0" w:line="252" w:lineRule="auto"/>
              <w:jc w:val="left"/>
            </w:pPr>
            <w:r>
              <w:rPr>
                <w:rFonts w:ascii="Calibri" w:hAnsi="Calibri"/>
                <w:b w:val="0"/>
                <w:sz w:val="18"/>
              </w:rPr>
              <w:t>Prepared</w:t>
            </w:r>
          </w:p>
        </w:tc>
        <w:tc>
          <w:tcPr>
            <w:tcW w:type="dxa" w:w="7160"/>
          </w:tcPr>
          <w:p>
            <w:pPr>
              <w:spacing w:before="0" w:after="0" w:line="252" w:lineRule="auto"/>
              <w:jc w:val="left"/>
            </w:pPr>
            <w:r>
              <w:rPr>
                <w:rFonts w:ascii="Calibri" w:hAnsi="Calibri"/>
                <w:b w:val="0"/>
                <w:sz w:val="18"/>
              </w:rPr>
              <w:t>16 July 2026</w:t>
            </w:r>
          </w:p>
        </w:tc>
      </w:tr>
    </w:tbl>
    <w:p>
      <w:pPr>
        <w:spacing w:after="40"/>
      </w:pPr>
    </w:p>
    <w:p>
      <w:pPr>
        <w:pStyle w:val="Heading2"/>
        <w:keepLines/>
      </w:pPr>
      <w:r>
        <w:rPr>
          <w:rFonts w:ascii="Calibri" w:hAnsi="Calibri"/>
          <w:i w:val="0"/>
          <w:sz w:val="26"/>
        </w:rPr>
        <w:t>Project Constitution</w:t>
      </w:r>
    </w:p>
    <w:p>
      <w:pPr>
        <w:keepLines w:val="0"/>
      </w:pPr>
      <w:r>
        <w:rPr>
          <w:rFonts w:ascii="Calibri" w:hAnsi="Calibri"/>
          <w:i w:val="0"/>
          <w:sz w:val="22"/>
        </w:rPr>
        <w:t>The primary contribution of EXPEDIA is the publication of reproducible, versioned genomic embedding atlases. Every decision MUST be evaluated first for scientific correctness, reproducibility, traceability, long-term maintainability, interoperability, modularity, simplicity, and then performance. When these priorities conflict, scientific correctness and reproducibility take precedence over implementation convenience.</w:t>
      </w:r>
    </w:p>
    <w:p>
      <w:r>
        <w:br w:type="page"/>
      </w:r>
    </w:p>
    <w:p>
      <w:pPr>
        <w:pStyle w:val="Heading1"/>
        <w:pageBreakBefore/>
      </w:pPr>
      <w:r>
        <w:rPr>
          <w:rFonts w:ascii="Calibri" w:hAnsi="Calibri"/>
          <w:b/>
          <w:color w:val="2E74B5"/>
          <w:sz w:val="32"/>
        </w:rPr>
        <w:t>Executive summary</w:t>
      </w:r>
    </w:p>
    <w:p>
      <w:pPr>
        <w:keepLines w:val="0"/>
      </w:pPr>
      <w:r>
        <w:rPr>
          <w:rFonts w:ascii="Calibri" w:hAnsi="Calibri"/>
          <w:i w:val="0"/>
          <w:sz w:val="22"/>
        </w:rPr>
        <w:t>EXPEDIA is specified as scientific infrastructure for publishing and using versioned genomic embedding atlases. The Atlas Release is the citable scientific object. Atlas Builder produces releases; Query Core opens them; Explorer, SDK, and REST are clients; indexes, graphs, clusters, and projections are derived artifacts rather than canonical biological facts.</w:t>
      </w:r>
    </w:p>
    <w:p>
      <w:pPr>
        <w:keepLines w:val="0"/>
      </w:pPr>
      <w:r>
        <w:rPr>
          <w:rFonts w:ascii="Calibri" w:hAnsi="Calibri"/>
          <w:i w:val="0"/>
          <w:sz w:val="22"/>
        </w:rPr>
        <w:t>This revision accepts the strongest governance elements of EDS v1.0 and addresses its principal gap: a reader can now follow the Builder workflow from acquisition through archival publication, inspect every stage's inputs, outputs, contracts, and failure behavior, and identify the decisions that still need evidence or formal acceptance.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9B1C1C"/>
                <w:sz w:val="20"/>
              </w:rPr>
              <w:t xml:space="preserve">Scientific boundary: </w:t>
            </w:r>
            <w:r>
              <w:rPr>
                <w:rFonts w:ascii="Calibri" w:hAnsi="Calibri"/>
                <w:color w:val="0B2545"/>
                <w:sz w:val="20"/>
              </w:rPr>
              <w:t>Embedding proximity, clusters, novelty scores, and provider annotations are computational or source-specific assertions. None independently establish taxonomy, function, ecological role, evolutionary distance, or discovery.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Architectural outcome</w:t>
            </w:r>
          </w:p>
        </w:tc>
        <w:tc>
          <w:tcPr>
            <w:tcW w:type="dxa" w:w="6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Decision</w:t>
            </w:r>
          </w:p>
        </w:tc>
      </w:tr>
      <w:tr>
        <w:tc>
          <w:tcPr>
            <w:tcW w:type="dxa" w:w="2550"/>
          </w:tcPr>
          <w:p>
            <w:pPr>
              <w:spacing w:before="0" w:after="0" w:line="252" w:lineRule="auto"/>
              <w:jc w:val="left"/>
            </w:pPr>
            <w:r>
              <w:rPr>
                <w:rFonts w:ascii="Calibri" w:hAnsi="Calibri"/>
                <w:b w:val="0"/>
                <w:sz w:val="18"/>
              </w:rPr>
              <w:t>Citable unit</w:t>
            </w:r>
          </w:p>
        </w:tc>
        <w:tc>
          <w:tcPr>
            <w:tcW w:type="dxa" w:w="6810"/>
          </w:tcPr>
          <w:p>
            <w:pPr>
              <w:spacing w:before="0" w:after="0" w:line="252" w:lineRule="auto"/>
              <w:jc w:val="left"/>
            </w:pPr>
            <w:r>
              <w:rPr>
                <w:rFonts w:ascii="Calibri" w:hAnsi="Calibri"/>
                <w:b w:val="0"/>
                <w:sz w:val="18"/>
              </w:rPr>
              <w:t>Immutable Atlas Release, never a mutable service, UI build, or live database state.</w:t>
            </w:r>
          </w:p>
        </w:tc>
      </w:tr>
      <w:tr>
        <w:tc>
          <w:tcPr>
            <w:tcW w:type="dxa" w:w="2550"/>
          </w:tcPr>
          <w:p>
            <w:pPr>
              <w:spacing w:before="0" w:after="0" w:line="252" w:lineRule="auto"/>
              <w:jc w:val="left"/>
            </w:pPr>
            <w:r>
              <w:rPr>
                <w:rFonts w:ascii="Calibri" w:hAnsi="Calibri"/>
                <w:b w:val="0"/>
                <w:sz w:val="18"/>
              </w:rPr>
              <w:t>Identity</w:t>
            </w:r>
          </w:p>
        </w:tc>
        <w:tc>
          <w:tcPr>
            <w:tcW w:type="dxa" w:w="6810"/>
          </w:tcPr>
          <w:p>
            <w:pPr>
              <w:spacing w:before="0" w:after="0" w:line="252" w:lineRule="auto"/>
              <w:jc w:val="left"/>
            </w:pPr>
            <w:r>
              <w:rPr>
                <w:rFonts w:ascii="Calibri" w:hAnsi="Calibri"/>
                <w:b w:val="0"/>
                <w:sz w:val="18"/>
              </w:rPr>
              <w:t>Stable AtlasEntity is separated from immutable GenomeRecordVersion to prevent a changing sequence from silently retaining a scientific identity.</w:t>
            </w:r>
          </w:p>
        </w:tc>
      </w:tr>
      <w:tr>
        <w:tc>
          <w:tcPr>
            <w:tcW w:type="dxa" w:w="2550"/>
          </w:tcPr>
          <w:p>
            <w:pPr>
              <w:spacing w:before="0" w:after="0" w:line="252" w:lineRule="auto"/>
              <w:jc w:val="left"/>
            </w:pPr>
            <w:r>
              <w:rPr>
                <w:rFonts w:ascii="Calibri" w:hAnsi="Calibri"/>
                <w:b w:val="0"/>
                <w:sz w:val="18"/>
              </w:rPr>
              <w:t>Representation</w:t>
            </w:r>
          </w:p>
        </w:tc>
        <w:tc>
          <w:tcPr>
            <w:tcW w:type="dxa" w:w="6810"/>
          </w:tcPr>
          <w:p>
            <w:pPr>
              <w:spacing w:before="0" w:after="0" w:line="252" w:lineRule="auto"/>
              <w:jc w:val="left"/>
            </w:pPr>
            <w:r>
              <w:rPr>
                <w:rFonts w:ascii="Calibri" w:hAnsi="Calibri"/>
                <w:b w:val="0"/>
                <w:sz w:val="18"/>
              </w:rPr>
              <w:t>Multiple Embedding Profiles with immutable Embedding Instances; vectors from distinct profiles are not comparable unless an evaluated bridge says so.</w:t>
            </w:r>
          </w:p>
        </w:tc>
      </w:tr>
      <w:tr>
        <w:tc>
          <w:tcPr>
            <w:tcW w:type="dxa" w:w="2550"/>
          </w:tcPr>
          <w:p>
            <w:pPr>
              <w:spacing w:before="0" w:after="0" w:line="252" w:lineRule="auto"/>
              <w:jc w:val="left"/>
            </w:pPr>
            <w:r>
              <w:rPr>
                <w:rFonts w:ascii="Calibri" w:hAnsi="Calibri"/>
                <w:b w:val="0"/>
                <w:sz w:val="18"/>
              </w:rPr>
              <w:t>Graph</w:t>
            </w:r>
          </w:p>
        </w:tc>
        <w:tc>
          <w:tcPr>
            <w:tcW w:type="dxa" w:w="6810"/>
          </w:tcPr>
          <w:p>
            <w:pPr>
              <w:spacing w:before="0" w:after="0" w:line="252" w:lineRule="auto"/>
              <w:jc w:val="left"/>
            </w:pPr>
            <w:r>
              <w:rPr>
                <w:rFonts w:ascii="Calibri" w:hAnsi="Calibri"/>
                <w:b w:val="0"/>
                <w:sz w:val="18"/>
              </w:rPr>
              <w:t>Logical genome knowledge graph encoded in normalized release tables and portable interchange artifacts; no graph database is required for the initial release.</w:t>
            </w:r>
          </w:p>
        </w:tc>
      </w:tr>
      <w:tr>
        <w:tc>
          <w:tcPr>
            <w:tcW w:type="dxa" w:w="2550"/>
          </w:tcPr>
          <w:p>
            <w:pPr>
              <w:spacing w:before="0" w:after="0" w:line="252" w:lineRule="auto"/>
              <w:jc w:val="left"/>
            </w:pPr>
            <w:r>
              <w:rPr>
                <w:rFonts w:ascii="Calibri" w:hAnsi="Calibri"/>
                <w:b w:val="0"/>
                <w:sz w:val="18"/>
              </w:rPr>
              <w:t>Methods</w:t>
            </w:r>
          </w:p>
        </w:tc>
        <w:tc>
          <w:tcPr>
            <w:tcW w:type="dxa" w:w="6810"/>
          </w:tcPr>
          <w:p>
            <w:pPr>
              <w:spacing w:before="0" w:after="0" w:line="252" w:lineRule="auto"/>
              <w:jc w:val="left"/>
            </w:pPr>
            <w:r>
              <w:rPr>
                <w:rFonts w:ascii="Calibri" w:hAnsi="Calibri"/>
                <w:b w:val="0"/>
                <w:sz w:val="18"/>
              </w:rPr>
              <w:t>Exploratory UMAP, HDBSCAN, and zero-shot GAT remain Experimental and are not on the default scientific path.</w:t>
            </w:r>
          </w:p>
        </w:tc>
      </w:tr>
      <w:tr>
        <w:tc>
          <w:tcPr>
            <w:tcW w:type="dxa" w:w="2550"/>
          </w:tcPr>
          <w:p>
            <w:pPr>
              <w:spacing w:before="0" w:after="0" w:line="252" w:lineRule="auto"/>
              <w:jc w:val="left"/>
            </w:pPr>
            <w:r>
              <w:rPr>
                <w:rFonts w:ascii="Calibri" w:hAnsi="Calibri"/>
                <w:b w:val="0"/>
                <w:sz w:val="18"/>
              </w:rPr>
              <w:t>Storage</w:t>
            </w:r>
          </w:p>
        </w:tc>
        <w:tc>
          <w:tcPr>
            <w:tcW w:type="dxa" w:w="6810"/>
          </w:tcPr>
          <w:p>
            <w:pPr>
              <w:spacing w:before="0" w:after="0" w:line="252" w:lineRule="auto"/>
              <w:jc w:val="left"/>
            </w:pPr>
            <w:r>
              <w:rPr>
                <w:rFonts w:ascii="Calibri" w:hAnsi="Calibri"/>
                <w:b w:val="0"/>
                <w:sz w:val="18"/>
              </w:rPr>
              <w:t>Parquet + Arrow + DuckDB reader/catalog + content-addressed blobs form the baseline. FAISS is the first ANN adapter subject to measured recall and reproducible build parameters.</w:t>
            </w:r>
          </w:p>
        </w:tc>
      </w:tr>
    </w:tbl>
    <w:p>
      <w:pPr>
        <w:spacing w:after="40"/>
      </w:pPr>
    </w:p>
    <w:p>
      <w:pPr>
        <w:pStyle w:val="Heading1"/>
        <w:pageBreakBefore/>
      </w:pPr>
      <w:r>
        <w:rPr>
          <w:rFonts w:ascii="Calibri" w:hAnsi="Calibri"/>
          <w:b/>
          <w:color w:val="2E74B5"/>
          <w:sz w:val="32"/>
        </w:rPr>
        <w:t>Contents</w:t>
      </w:r>
    </w:p>
    <w:p>
      <w:pPr>
        <w:pStyle w:val="ListNumber"/>
        <w:spacing w:after="80" w:line="300" w:lineRule="auto"/>
      </w:pPr>
      <w:r>
        <w:rPr>
          <w:rFonts w:ascii="Calibri" w:hAnsi="Calibri"/>
          <w:sz w:val="22"/>
        </w:rPr>
        <w:t>Revision 3 review and editorial disposition</w:t>
      </w:r>
    </w:p>
    <w:p>
      <w:pPr>
        <w:pStyle w:val="ListNumber"/>
        <w:spacing w:after="80" w:line="300" w:lineRule="auto"/>
      </w:pPr>
      <w:r>
        <w:rPr>
          <w:rFonts w:ascii="Calibri" w:hAnsi="Calibri"/>
          <w:sz w:val="22"/>
        </w:rPr>
        <w:t>Requirements and traceability</w:t>
      </w:r>
    </w:p>
    <w:p>
      <w:pPr>
        <w:pStyle w:val="ListNumber"/>
        <w:spacing w:after="80" w:line="300" w:lineRule="auto"/>
      </w:pPr>
      <w:r>
        <w:rPr>
          <w:rFonts w:ascii="Calibri" w:hAnsi="Calibri"/>
          <w:sz w:val="22"/>
        </w:rPr>
        <w:t>Vision</w:t>
      </w:r>
    </w:p>
    <w:p>
      <w:pPr>
        <w:pStyle w:val="ListNumber"/>
        <w:spacing w:after="80" w:line="300" w:lineRule="auto"/>
      </w:pPr>
      <w:r>
        <w:rPr>
          <w:rFonts w:ascii="Calibri" w:hAnsi="Calibri"/>
          <w:sz w:val="22"/>
        </w:rPr>
        <w:t>Scientific Foundation</w:t>
      </w:r>
    </w:p>
    <w:p>
      <w:pPr>
        <w:pStyle w:val="ListNumber"/>
        <w:spacing w:after="80" w:line="300" w:lineRule="auto"/>
      </w:pPr>
      <w:r>
        <w:rPr>
          <w:rFonts w:ascii="Calibri" w:hAnsi="Calibri"/>
          <w:sz w:val="22"/>
        </w:rPr>
        <w:t>Architecture</w:t>
      </w:r>
    </w:p>
    <w:p>
      <w:pPr>
        <w:pStyle w:val="ListNumber"/>
        <w:spacing w:after="80" w:line="300" w:lineRule="auto"/>
      </w:pPr>
      <w:r>
        <w:rPr>
          <w:rFonts w:ascii="Calibri" w:hAnsi="Calibri"/>
          <w:sz w:val="22"/>
        </w:rPr>
        <w:t>Atlas</w:t>
      </w:r>
    </w:p>
    <w:p>
      <w:pPr>
        <w:pStyle w:val="ListNumber"/>
        <w:spacing w:after="80" w:line="300" w:lineRule="auto"/>
      </w:pPr>
      <w:r>
        <w:rPr>
          <w:rFonts w:ascii="Calibri" w:hAnsi="Calibri"/>
          <w:sz w:val="22"/>
        </w:rPr>
        <w:t>Knowledge Graph</w:t>
      </w:r>
    </w:p>
    <w:p>
      <w:pPr>
        <w:pStyle w:val="ListNumber"/>
        <w:spacing w:after="80" w:line="300" w:lineRule="auto"/>
      </w:pPr>
      <w:r>
        <w:rPr>
          <w:rFonts w:ascii="Calibri" w:hAnsi="Calibri"/>
          <w:sz w:val="22"/>
        </w:rPr>
        <w:t>Embedding Registry</w:t>
      </w:r>
    </w:p>
    <w:p>
      <w:pPr>
        <w:pStyle w:val="ListNumber"/>
        <w:spacing w:after="80" w:line="300" w:lineRule="auto"/>
      </w:pPr>
      <w:r>
        <w:rPr>
          <w:rFonts w:ascii="Calibri" w:hAnsi="Calibri"/>
          <w:sz w:val="22"/>
        </w:rPr>
        <w:t>Atlas Builder</w:t>
      </w:r>
    </w:p>
    <w:p>
      <w:pPr>
        <w:pStyle w:val="ListNumber"/>
        <w:spacing w:after="80" w:line="300" w:lineRule="auto"/>
      </w:pPr>
      <w:r>
        <w:rPr>
          <w:rFonts w:ascii="Calibri" w:hAnsi="Calibri"/>
          <w:sz w:val="22"/>
        </w:rPr>
        <w:t>Explorer</w:t>
      </w:r>
    </w:p>
    <w:p>
      <w:pPr>
        <w:pStyle w:val="ListNumber"/>
        <w:spacing w:after="80" w:line="300" w:lineRule="auto"/>
      </w:pPr>
      <w:r>
        <w:rPr>
          <w:rFonts w:ascii="Calibri" w:hAnsi="Calibri"/>
          <w:sz w:val="22"/>
        </w:rPr>
        <w:t>SDK and REST API</w:t>
      </w:r>
    </w:p>
    <w:p>
      <w:pPr>
        <w:pStyle w:val="ListNumber"/>
        <w:spacing w:after="80" w:line="300" w:lineRule="auto"/>
      </w:pPr>
      <w:r>
        <w:rPr>
          <w:rFonts w:ascii="Calibri" w:hAnsi="Calibri"/>
          <w:sz w:val="22"/>
        </w:rPr>
        <w:t>Validation and benchmark protocol</w:t>
      </w:r>
    </w:p>
    <w:p>
      <w:pPr>
        <w:pStyle w:val="ListNumber"/>
        <w:spacing w:after="80" w:line="300" w:lineRule="auto"/>
      </w:pPr>
      <w:r>
        <w:rPr>
          <w:rFonts w:ascii="Calibri" w:hAnsi="Calibri"/>
          <w:sz w:val="22"/>
        </w:rPr>
        <w:t>Storage</w:t>
      </w:r>
    </w:p>
    <w:p>
      <w:pPr>
        <w:pStyle w:val="ListNumber"/>
        <w:spacing w:after="80" w:line="300" w:lineRule="auto"/>
      </w:pPr>
      <w:r>
        <w:rPr>
          <w:rFonts w:ascii="Calibri" w:hAnsi="Calibri"/>
          <w:sz w:val="22"/>
        </w:rPr>
        <w:t>Release Engineering</w:t>
      </w:r>
    </w:p>
    <w:p>
      <w:pPr>
        <w:pStyle w:val="ListNumber"/>
        <w:spacing w:after="80" w:line="300" w:lineRule="auto"/>
      </w:pPr>
      <w:r>
        <w:rPr>
          <w:rFonts w:ascii="Calibri" w:hAnsi="Calibri"/>
          <w:sz w:val="22"/>
        </w:rPr>
        <w:t>Developer workflow and repository layout</w:t>
      </w:r>
    </w:p>
    <w:p>
      <w:pPr>
        <w:pStyle w:val="ListNumber"/>
        <w:spacing w:after="80" w:line="300" w:lineRule="auto"/>
      </w:pPr>
      <w:r>
        <w:rPr>
          <w:rFonts w:ascii="Calibri" w:hAnsi="Calibri"/>
          <w:sz w:val="22"/>
        </w:rPr>
        <w:t>Roadmap</w:t>
      </w:r>
    </w:p>
    <w:p>
      <w:pPr>
        <w:pStyle w:val="ListNumber"/>
        <w:spacing w:after="80" w:line="300" w:lineRule="auto"/>
      </w:pPr>
      <w:r>
        <w:rPr>
          <w:rFonts w:ascii="Calibri" w:hAnsi="Calibri"/>
          <w:sz w:val="22"/>
        </w:rPr>
        <w:t>Appendices A-E</w:t>
      </w:r>
    </w:p>
    <w:p>
      <w:pPr>
        <w:pStyle w:val="Heading1"/>
        <w:pageBreakBefore/>
      </w:pPr>
      <w:r>
        <w:rPr>
          <w:rFonts w:ascii="Calibri" w:hAnsi="Calibri"/>
          <w:b/>
          <w:color w:val="2E74B5"/>
          <w:sz w:val="32"/>
        </w:rPr>
        <w:t>1. Revision 3 review and editorial disposition</w:t>
      </w:r>
    </w:p>
    <w:p>
      <w:pPr>
        <w:keepLines w:val="0"/>
      </w:pPr>
      <w:r>
        <w:rPr>
          <w:rFonts w:ascii="Calibri" w:hAnsi="Calibri"/>
          <w:i w:val="0"/>
          <w:sz w:val="22"/>
        </w:rPr>
        <w:t>Revision 3 is valuable project context but is not accepted as an architecture by default. It combines mature engineering claims, planned systems, method proposals, and biological interpretation too closely. This chapter records the editorial disposition required by the RFC review: purpose, weaknesses, ambiguity, unsupported assumptions, improvement, rewrite direction, architectural decisions, open questions, and future risks for each major RFC section.</w:t>
      </w:r>
    </w:p>
    <w:tbl>
      <w:tblPr>
        <w:tblStyle w:val="TableGrid"/>
        <w:tblW w:type="dxa" w:w="9360"/>
        <w:jc w:val="left"/>
        <w:tblLayout w:type="fixed"/>
        <w:tblLook w:firstColumn="1" w:firstRow="1" w:lastColumn="0" w:lastRow="0" w:noHBand="0" w:noVBand="1" w:val="04A0"/>
        <w:tblInd w:w="120" w:type="dxa"/>
      </w:tblPr>
      <w:tblGrid>
        <w:gridCol w:w="1250"/>
        <w:gridCol w:w="1700"/>
        <w:gridCol w:w="2300"/>
        <w:gridCol w:w="2300"/>
        <w:gridCol w:w="181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RFC section</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Purpose</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Weakness / ambiguity</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Improvement and rewrite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Decisions / questions / risk</w:t>
            </w:r>
          </w:p>
        </w:tc>
      </w:tr>
      <w:tr>
        <w:tc>
          <w:tcPr>
            <w:tcW w:type="dxa" w:w="1250"/>
          </w:tcPr>
          <w:p>
            <w:pPr>
              <w:spacing w:before="0" w:after="0" w:line="252" w:lineRule="auto"/>
              <w:jc w:val="left"/>
            </w:pPr>
            <w:r>
              <w:rPr>
                <w:rFonts w:ascii="Calibri" w:hAnsi="Calibri"/>
                <w:b w:val="0"/>
                <w:sz w:val="16"/>
              </w:rPr>
              <w:t>Abstract and introduction</w:t>
            </w:r>
          </w:p>
        </w:tc>
        <w:tc>
          <w:tcPr>
            <w:tcW w:type="dxa" w:w="1700"/>
          </w:tcPr>
          <w:p>
            <w:pPr>
              <w:spacing w:before="0" w:after="0" w:line="252" w:lineRule="auto"/>
              <w:jc w:val="left"/>
            </w:pPr>
            <w:r>
              <w:rPr>
                <w:rFonts w:ascii="Calibri" w:hAnsi="Calibri"/>
                <w:b w:val="0"/>
                <w:sz w:val="16"/>
              </w:rPr>
              <w:t>Reframes the project around a published Atlas.</w:t>
            </w:r>
          </w:p>
        </w:tc>
        <w:tc>
          <w:tcPr>
            <w:tcW w:type="dxa" w:w="2300"/>
          </w:tcPr>
          <w:p>
            <w:pPr>
              <w:spacing w:before="0" w:after="0" w:line="252" w:lineRule="auto"/>
              <w:jc w:val="left"/>
            </w:pPr>
            <w:r>
              <w:rPr>
                <w:rFonts w:ascii="Calibri" w:hAnsi="Calibri"/>
                <w:b w:val="0"/>
                <w:sz w:val="16"/>
              </w:rPr>
              <w:t>Conflates precedent with evidence; contains broad biological framing and product claims. Whether the initial Atlas population and scientific question are defined.</w:t>
            </w:r>
          </w:p>
        </w:tc>
        <w:tc>
          <w:tcPr>
            <w:tcW w:type="dxa" w:w="2300"/>
          </w:tcPr>
          <w:p>
            <w:pPr>
              <w:spacing w:before="0" w:after="0" w:line="252" w:lineRule="auto"/>
              <w:jc w:val="left"/>
            </w:pPr>
            <w:r>
              <w:rPr>
                <w:rFonts w:ascii="Calibri" w:hAnsi="Calibri"/>
                <w:b w:val="0"/>
                <w:sz w:val="16"/>
              </w:rPr>
              <w:t>Treat the Atlas as the durable artifact; move claims to evidence ledger. Short Vision + Scientific Foundation with a hard claim boundary.</w:t>
            </w:r>
          </w:p>
        </w:tc>
        <w:tc>
          <w:tcPr>
            <w:tcW w:type="dxa" w:w="1810"/>
          </w:tcPr>
          <w:p>
            <w:pPr>
              <w:spacing w:before="0" w:after="0" w:line="252" w:lineRule="auto"/>
              <w:jc w:val="left"/>
            </w:pPr>
            <w:r>
              <w:rPr>
                <w:rFonts w:ascii="Calibri" w:hAnsi="Calibri"/>
                <w:b w:val="0"/>
                <w:sz w:val="16"/>
              </w:rPr>
              <w:t>ADR-002, ADR-013. First-release scope; governance owner. Mission drift toward a desktop application or unsupported discovery language.</w:t>
            </w:r>
          </w:p>
        </w:tc>
      </w:tr>
      <w:tr>
        <w:tc>
          <w:tcPr>
            <w:tcW w:type="dxa" w:w="1250"/>
          </w:tcPr>
          <w:p>
            <w:pPr>
              <w:spacing w:before="0" w:after="0" w:line="252" w:lineRule="auto"/>
              <w:jc w:val="left"/>
            </w:pPr>
            <w:r>
              <w:rPr>
                <w:rFonts w:ascii="Calibri" w:hAnsi="Calibri"/>
                <w:b w:val="0"/>
                <w:sz w:val="16"/>
              </w:rPr>
              <w:t>Literature survey</w:t>
            </w:r>
          </w:p>
        </w:tc>
        <w:tc>
          <w:tcPr>
            <w:tcW w:type="dxa" w:w="1700"/>
          </w:tcPr>
          <w:p>
            <w:pPr>
              <w:spacing w:before="0" w:after="0" w:line="252" w:lineRule="auto"/>
              <w:jc w:val="left"/>
            </w:pPr>
            <w:r>
              <w:rPr>
                <w:rFonts w:ascii="Calibri" w:hAnsi="Calibri"/>
                <w:b w:val="0"/>
                <w:sz w:val="16"/>
              </w:rPr>
              <w:t>Places methods in context.</w:t>
            </w:r>
          </w:p>
        </w:tc>
        <w:tc>
          <w:tcPr>
            <w:tcW w:type="dxa" w:w="2300"/>
          </w:tcPr>
          <w:p>
            <w:pPr>
              <w:spacing w:before="0" w:after="0" w:line="252" w:lineRule="auto"/>
              <w:jc w:val="left"/>
            </w:pPr>
            <w:r>
              <w:rPr>
                <w:rFonts w:ascii="Calibri" w:hAnsi="Calibri"/>
                <w:b w:val="0"/>
                <w:sz w:val="16"/>
              </w:rPr>
              <w:t>Citation of tools does not justify their use or prove EXPEDIA performance. Which sources define normative external vocabularies.</w:t>
            </w:r>
          </w:p>
        </w:tc>
        <w:tc>
          <w:tcPr>
            <w:tcW w:type="dxa" w:w="2300"/>
          </w:tcPr>
          <w:p>
            <w:pPr>
              <w:spacing w:before="0" w:after="0" w:line="252" w:lineRule="auto"/>
              <w:jc w:val="left"/>
            </w:pPr>
            <w:r>
              <w:rPr>
                <w:rFonts w:ascii="Calibri" w:hAnsi="Calibri"/>
                <w:b w:val="0"/>
                <w:sz w:val="16"/>
              </w:rPr>
              <w:t>That published method availability implies fitness for this Atlas. Use as background; connect each method to a profile and evaluation requirement.</w:t>
            </w:r>
          </w:p>
        </w:tc>
        <w:tc>
          <w:tcPr>
            <w:tcW w:type="dxa" w:w="1810"/>
          </w:tcPr>
          <w:p>
            <w:pPr>
              <w:spacing w:before="0" w:after="0" w:line="252" w:lineRule="auto"/>
              <w:jc w:val="left"/>
            </w:pPr>
            <w:r>
              <w:rPr>
                <w:rFonts w:ascii="Calibri" w:hAnsi="Calibri"/>
                <w:b w:val="0"/>
                <w:sz w:val="16"/>
              </w:rPr>
              <w:t>Scientific Foundation and Validation chapters. Baseline selection; source version policy. Stale or incompatible references become hidden assumptions.</w:t>
            </w:r>
          </w:p>
        </w:tc>
      </w:tr>
      <w:tr>
        <w:tc>
          <w:tcPr>
            <w:tcW w:type="dxa" w:w="1250"/>
          </w:tcPr>
          <w:p>
            <w:pPr>
              <w:spacing w:before="0" w:after="0" w:line="252" w:lineRule="auto"/>
              <w:jc w:val="left"/>
            </w:pPr>
            <w:r>
              <w:rPr>
                <w:rFonts w:ascii="Calibri" w:hAnsi="Calibri"/>
                <w:b w:val="0"/>
                <w:sz w:val="16"/>
              </w:rPr>
              <w:t>Methodology</w:t>
            </w:r>
          </w:p>
        </w:tc>
        <w:tc>
          <w:tcPr>
            <w:tcW w:type="dxa" w:w="1700"/>
          </w:tcPr>
          <w:p>
            <w:pPr>
              <w:spacing w:before="0" w:after="0" w:line="252" w:lineRule="auto"/>
              <w:jc w:val="left"/>
            </w:pPr>
            <w:r>
              <w:rPr>
                <w:rFonts w:ascii="Calibri" w:hAnsi="Calibri"/>
                <w:b w:val="0"/>
                <w:sz w:val="16"/>
              </w:rPr>
              <w:t>Describes embedding, graph, projection, and clustering workflow.</w:t>
            </w:r>
          </w:p>
        </w:tc>
        <w:tc>
          <w:tcPr>
            <w:tcW w:type="dxa" w:w="2300"/>
          </w:tcPr>
          <w:p>
            <w:pPr>
              <w:spacing w:before="0" w:after="0" w:line="252" w:lineRule="auto"/>
              <w:jc w:val="left"/>
            </w:pPr>
            <w:r>
              <w:rPr>
                <w:rFonts w:ascii="Calibri" w:hAnsi="Calibri"/>
                <w:b w:val="0"/>
                <w:sz w:val="16"/>
              </w:rPr>
              <w:t>Hardware and notebook details are mixed with architecture; candidate methods appear mandatory. Unit of embedding and preprocessing semantics.</w:t>
            </w:r>
          </w:p>
        </w:tc>
        <w:tc>
          <w:tcPr>
            <w:tcW w:type="dxa" w:w="2300"/>
          </w:tcPr>
          <w:p>
            <w:pPr>
              <w:spacing w:before="0" w:after="0" w:line="252" w:lineRule="auto"/>
              <w:jc w:val="left"/>
            </w:pPr>
            <w:r>
              <w:rPr>
                <w:rFonts w:ascii="Calibri" w:hAnsi="Calibri"/>
                <w:b w:val="0"/>
                <w:sz w:val="16"/>
              </w:rPr>
              <w:t>That FP16, zero-shot GAT, UMAP, or HDBSCAN have established scientific benefit here. Make the Builder manifest-driven; locate parameters in profiles and run manifests.</w:t>
            </w:r>
          </w:p>
        </w:tc>
        <w:tc>
          <w:tcPr>
            <w:tcW w:type="dxa" w:w="1810"/>
          </w:tcPr>
          <w:p>
            <w:pPr>
              <w:spacing w:before="0" w:after="0" w:line="252" w:lineRule="auto"/>
              <w:jc w:val="left"/>
            </w:pPr>
            <w:r>
              <w:rPr>
                <w:rFonts w:ascii="Calibri" w:hAnsi="Calibri"/>
                <w:b w:val="0"/>
                <w:sz w:val="16"/>
              </w:rPr>
              <w:t>Atlas Builder and Embedding Registry chapters. Baseline profile; evaluation cohort; calibration. Irreproducible reruns or method lock-in.</w:t>
            </w:r>
          </w:p>
        </w:tc>
      </w:tr>
      <w:tr>
        <w:tc>
          <w:tcPr>
            <w:tcW w:type="dxa" w:w="1250"/>
          </w:tcPr>
          <w:p>
            <w:pPr>
              <w:spacing w:before="0" w:after="0" w:line="252" w:lineRule="auto"/>
              <w:jc w:val="left"/>
            </w:pPr>
            <w:r>
              <w:rPr>
                <w:rFonts w:ascii="Calibri" w:hAnsi="Calibri"/>
                <w:b w:val="0"/>
                <w:sz w:val="16"/>
              </w:rPr>
              <w:t>Design</w:t>
            </w:r>
          </w:p>
        </w:tc>
        <w:tc>
          <w:tcPr>
            <w:tcW w:type="dxa" w:w="1700"/>
          </w:tcPr>
          <w:p>
            <w:pPr>
              <w:spacing w:before="0" w:after="0" w:line="252" w:lineRule="auto"/>
              <w:jc w:val="left"/>
            </w:pPr>
            <w:r>
              <w:rPr>
                <w:rFonts w:ascii="Calibri" w:hAnsi="Calibri"/>
                <w:b w:val="0"/>
                <w:sz w:val="16"/>
              </w:rPr>
              <w:t>Introduces layered graph, index, and versioning.</w:t>
            </w:r>
          </w:p>
        </w:tc>
        <w:tc>
          <w:tcPr>
            <w:tcW w:type="dxa" w:w="2300"/>
          </w:tcPr>
          <w:p>
            <w:pPr>
              <w:spacing w:before="0" w:after="0" w:line="252" w:lineRule="auto"/>
              <w:jc w:val="left"/>
            </w:pPr>
            <w:r>
              <w:rPr>
                <w:rFonts w:ascii="Calibri" w:hAnsi="Calibri"/>
                <w:b w:val="0"/>
                <w:sz w:val="16"/>
              </w:rPr>
              <w:t>Stable IDs conflict with mutable sequence content; graph storage and release contracts are underspecified. What is canonical versus derived; how corrections work.</w:t>
            </w:r>
          </w:p>
        </w:tc>
        <w:tc>
          <w:tcPr>
            <w:tcW w:type="dxa" w:w="2300"/>
          </w:tcPr>
          <w:p>
            <w:pPr>
              <w:spacing w:before="0" w:after="0" w:line="252" w:lineRule="auto"/>
              <w:jc w:val="left"/>
            </w:pPr>
            <w:r>
              <w:rPr>
                <w:rFonts w:ascii="Calibri" w:hAnsi="Calibri"/>
                <w:b w:val="0"/>
                <w:sz w:val="16"/>
              </w:rPr>
              <w:t>That a vector index is the Atlas or that a graph DB is needed. Separate entity/version identity; normalized graph relations; explicit release package.</w:t>
            </w:r>
          </w:p>
        </w:tc>
        <w:tc>
          <w:tcPr>
            <w:tcW w:type="dxa" w:w="1810"/>
          </w:tcPr>
          <w:p>
            <w:pPr>
              <w:spacing w:before="0" w:after="0" w:line="252" w:lineRule="auto"/>
              <w:jc w:val="left"/>
            </w:pPr>
            <w:r>
              <w:rPr>
                <w:rFonts w:ascii="Calibri" w:hAnsi="Calibri"/>
                <w:b w:val="0"/>
                <w:sz w:val="16"/>
              </w:rPr>
              <w:t>Atlas, Knowledge Graph, Storage, Release Engineering. Merge/split and withdrawal policy. Silent identity corruption or unrecoverable releases.</w:t>
            </w:r>
          </w:p>
        </w:tc>
      </w:tr>
      <w:tr>
        <w:tc>
          <w:tcPr>
            <w:tcW w:type="dxa" w:w="1250"/>
          </w:tcPr>
          <w:p>
            <w:pPr>
              <w:spacing w:before="0" w:after="0" w:line="252" w:lineRule="auto"/>
              <w:jc w:val="left"/>
            </w:pPr>
            <w:r>
              <w:rPr>
                <w:rFonts w:ascii="Calibri" w:hAnsi="Calibri"/>
                <w:b w:val="0"/>
                <w:sz w:val="16"/>
              </w:rPr>
              <w:t>Implementation</w:t>
            </w:r>
          </w:p>
        </w:tc>
        <w:tc>
          <w:tcPr>
            <w:tcW w:type="dxa" w:w="1700"/>
          </w:tcPr>
          <w:p>
            <w:pPr>
              <w:spacing w:before="0" w:after="0" w:line="252" w:lineRule="auto"/>
              <w:jc w:val="left"/>
            </w:pPr>
            <w:r>
              <w:rPr>
                <w:rFonts w:ascii="Calibri" w:hAnsi="Calibri"/>
                <w:b w:val="0"/>
                <w:sz w:val="16"/>
              </w:rPr>
              <w:t>Records desktop and local pipeline components.</w:t>
            </w:r>
          </w:p>
        </w:tc>
        <w:tc>
          <w:tcPr>
            <w:tcW w:type="dxa" w:w="2300"/>
          </w:tcPr>
          <w:p>
            <w:pPr>
              <w:spacing w:before="0" w:after="0" w:line="252" w:lineRule="auto"/>
              <w:jc w:val="left"/>
            </w:pPr>
            <w:r>
              <w:rPr>
                <w:rFonts w:ascii="Calibri" w:hAnsi="Calibri"/>
                <w:b w:val="0"/>
                <w:sz w:val="16"/>
              </w:rPr>
              <w:t>Implemented, planned, and experimental elements are mixed; UI detail is over-weighted. Which source code and tests substantiate implementation claims.</w:t>
            </w:r>
          </w:p>
        </w:tc>
        <w:tc>
          <w:tcPr>
            <w:tcW w:type="dxa" w:w="2300"/>
          </w:tcPr>
          <w:p>
            <w:pPr>
              <w:spacing w:before="0" w:after="0" w:line="252" w:lineRule="auto"/>
              <w:jc w:val="left"/>
            </w:pPr>
            <w:r>
              <w:rPr>
                <w:rFonts w:ascii="Calibri" w:hAnsi="Calibri"/>
                <w:b w:val="0"/>
                <w:sz w:val="16"/>
              </w:rPr>
              <w:t>That reported UI tests imply Atlas or method validity. Treat implementation as reported inventory; define clients against Query Core contracts.</w:t>
            </w:r>
          </w:p>
        </w:tc>
        <w:tc>
          <w:tcPr>
            <w:tcW w:type="dxa" w:w="1810"/>
          </w:tcPr>
          <w:p>
            <w:pPr>
              <w:spacing w:before="0" w:after="0" w:line="252" w:lineRule="auto"/>
              <w:jc w:val="left"/>
            </w:pPr>
            <w:r>
              <w:rPr>
                <w:rFonts w:ascii="Calibri" w:hAnsi="Calibri"/>
                <w:b w:val="0"/>
                <w:sz w:val="16"/>
              </w:rPr>
              <w:t>Explorer and SDK chapters. Code audit; migration path to shared Query Core. Divergent client semantics and duplicated query logic.</w:t>
            </w:r>
          </w:p>
        </w:tc>
      </w:tr>
      <w:tr>
        <w:tc>
          <w:tcPr>
            <w:tcW w:type="dxa" w:w="1250"/>
          </w:tcPr>
          <w:p>
            <w:pPr>
              <w:spacing w:before="0" w:after="0" w:line="252" w:lineRule="auto"/>
              <w:jc w:val="left"/>
            </w:pPr>
            <w:r>
              <w:rPr>
                <w:rFonts w:ascii="Calibri" w:hAnsi="Calibri"/>
                <w:b w:val="0"/>
                <w:sz w:val="16"/>
              </w:rPr>
              <w:t>Testing and results</w:t>
            </w:r>
          </w:p>
        </w:tc>
        <w:tc>
          <w:tcPr>
            <w:tcW w:type="dxa" w:w="1700"/>
          </w:tcPr>
          <w:p>
            <w:pPr>
              <w:spacing w:before="0" w:after="0" w:line="252" w:lineRule="auto"/>
              <w:jc w:val="left"/>
            </w:pPr>
            <w:r>
              <w:rPr>
                <w:rFonts w:ascii="Calibri" w:hAnsi="Calibri"/>
                <w:b w:val="0"/>
                <w:sz w:val="16"/>
              </w:rPr>
              <w:t>Reports software tests and synthetic method outputs.</w:t>
            </w:r>
          </w:p>
        </w:tc>
        <w:tc>
          <w:tcPr>
            <w:tcW w:type="dxa" w:w="2300"/>
          </w:tcPr>
          <w:p>
            <w:pPr>
              <w:spacing w:before="0" w:after="0" w:line="252" w:lineRule="auto"/>
              <w:jc w:val="left"/>
            </w:pPr>
            <w:r>
              <w:rPr>
                <w:rFonts w:ascii="Calibri" w:hAnsi="Calibri"/>
                <w:b w:val="0"/>
                <w:sz w:val="16"/>
              </w:rPr>
              <w:t>Synthetic/intrinsic measures are not biological validation; numerical results are easy to overinterpret. Acceptance thresholds and benchmark governance.</w:t>
            </w:r>
          </w:p>
        </w:tc>
        <w:tc>
          <w:tcPr>
            <w:tcW w:type="dxa" w:w="2300"/>
          </w:tcPr>
          <w:p>
            <w:pPr>
              <w:spacing w:before="0" w:after="0" w:line="252" w:lineRule="auto"/>
              <w:jc w:val="left"/>
            </w:pPr>
            <w:r>
              <w:rPr>
                <w:rFonts w:ascii="Calibri" w:hAnsi="Calibri"/>
                <w:b w:val="0"/>
                <w:sz w:val="16"/>
              </w:rPr>
              <w:t>That clustering metrics or projections imply scientific utility. Split software, release integrity, method evaluation, and scientific interpretation tracks.</w:t>
            </w:r>
          </w:p>
        </w:tc>
        <w:tc>
          <w:tcPr>
            <w:tcW w:type="dxa" w:w="1810"/>
          </w:tcPr>
          <w:p>
            <w:pPr>
              <w:spacing w:before="0" w:after="0" w:line="252" w:lineRule="auto"/>
              <w:jc w:val="left"/>
            </w:pPr>
            <w:r>
              <w:rPr>
                <w:rFonts w:ascii="Calibri" w:hAnsi="Calibri"/>
                <w:b w:val="0"/>
                <w:sz w:val="16"/>
              </w:rPr>
              <w:t>Validation chapter and ADR-014. Datasets, baselines, effect reporting, approval rule. Public claims exceed evidence.</w:t>
            </w:r>
          </w:p>
        </w:tc>
      </w:tr>
      <w:tr>
        <w:tc>
          <w:tcPr>
            <w:tcW w:type="dxa" w:w="1250"/>
          </w:tcPr>
          <w:p>
            <w:pPr>
              <w:spacing w:before="0" w:after="0" w:line="252" w:lineRule="auto"/>
              <w:jc w:val="left"/>
            </w:pPr>
            <w:r>
              <w:rPr>
                <w:rFonts w:ascii="Calibri" w:hAnsi="Calibri"/>
                <w:b w:val="0"/>
                <w:sz w:val="16"/>
              </w:rPr>
              <w:t>Conclusion and future scope</w:t>
            </w:r>
          </w:p>
        </w:tc>
        <w:tc>
          <w:tcPr>
            <w:tcW w:type="dxa" w:w="1700"/>
          </w:tcPr>
          <w:p>
            <w:pPr>
              <w:spacing w:before="0" w:after="0" w:line="252" w:lineRule="auto"/>
              <w:jc w:val="left"/>
            </w:pPr>
            <w:r>
              <w:rPr>
                <w:rFonts w:ascii="Calibri" w:hAnsi="Calibri"/>
                <w:b w:val="0"/>
                <w:sz w:val="16"/>
              </w:rPr>
              <w:t>Sets a roadmap and long-term aspiration.</w:t>
            </w:r>
          </w:p>
        </w:tc>
        <w:tc>
          <w:tcPr>
            <w:tcW w:type="dxa" w:w="2300"/>
          </w:tcPr>
          <w:p>
            <w:pPr>
              <w:spacing w:before="0" w:after="0" w:line="252" w:lineRule="auto"/>
              <w:jc w:val="left"/>
            </w:pPr>
            <w:r>
              <w:rPr>
                <w:rFonts w:ascii="Calibri" w:hAnsi="Calibri"/>
                <w:b w:val="0"/>
                <w:sz w:val="16"/>
              </w:rPr>
              <w:t>Feature list is not a gated delivery plan; future impact language outruns evidence. Ordering, owners, and exit criteria.</w:t>
            </w:r>
          </w:p>
        </w:tc>
        <w:tc>
          <w:tcPr>
            <w:tcW w:type="dxa" w:w="2300"/>
          </w:tcPr>
          <w:p>
            <w:pPr>
              <w:spacing w:before="0" w:after="0" w:line="252" w:lineRule="auto"/>
              <w:jc w:val="left"/>
            </w:pPr>
            <w:r>
              <w:rPr>
                <w:rFonts w:ascii="Calibri" w:hAnsi="Calibri"/>
                <w:b w:val="0"/>
                <w:sz w:val="16"/>
              </w:rPr>
              <w:t>That growth or scale is the primary value rather than citable quality. Use milestones with evidence gates and explicit non-commitments.</w:t>
            </w:r>
          </w:p>
        </w:tc>
        <w:tc>
          <w:tcPr>
            <w:tcW w:type="dxa" w:w="1810"/>
          </w:tcPr>
          <w:p>
            <w:pPr>
              <w:spacing w:before="0" w:after="0" w:line="252" w:lineRule="auto"/>
              <w:jc w:val="left"/>
            </w:pPr>
            <w:r>
              <w:rPr>
                <w:rFonts w:ascii="Calibri" w:hAnsi="Calibri"/>
                <w:b w:val="0"/>
                <w:sz w:val="16"/>
              </w:rPr>
              <w:t>Roadmap and open-question register. Stewardship and funding model. Unbounded scope and under-resourced release maintenance.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Editorial rule: </w:t>
            </w:r>
            <w:r>
              <w:rPr>
                <w:rFonts w:ascii="Calibri" w:hAnsi="Calibri"/>
                <w:color w:val="0B2545"/>
                <w:sz w:val="20"/>
              </w:rPr>
              <w:t>The rewritten chapters below are authoritative design text. Revision 3 remains a cited RFC input and historical record, not a competing specification.</w:t>
            </w:r>
          </w:p>
        </w:tc>
      </w:tr>
    </w:tbl>
    <w:p>
      <w:pPr>
        <w:spacing w:after="40"/>
      </w:pPr>
    </w:p>
    <w:p>
      <w:pPr>
        <w:pStyle w:val="Heading1"/>
        <w:pageBreakBefore/>
      </w:pPr>
      <w:r>
        <w:rPr>
          <w:rFonts w:ascii="Calibri" w:hAnsi="Calibri"/>
          <w:b/>
          <w:color w:val="2E74B5"/>
          <w:sz w:val="32"/>
        </w:rPr>
        <w:t>2. Requirements and traceability</w:t>
      </w:r>
    </w:p>
    <w:p>
      <w:pPr>
        <w:pStyle w:val="Heading2"/>
      </w:pPr>
      <w:r>
        <w:rPr>
          <w:rFonts w:ascii="Calibri" w:hAnsi="Calibri"/>
          <w:b/>
          <w:color w:val="2E74B5"/>
          <w:sz w:val="26"/>
        </w:rPr>
        <w:t>Why</w:t>
      </w:r>
    </w:p>
    <w:p>
      <w:pPr>
        <w:keepLines w:val="0"/>
      </w:pPr>
      <w:r>
        <w:rPr>
          <w:rFonts w:ascii="Calibri" w:hAnsi="Calibri"/>
          <w:i w:val="0"/>
          <w:sz w:val="22"/>
        </w:rPr>
        <w:t>Architecture becomes maintainable when a requirement can be traced to a design, implementation unit, and test. Revision 3 included feature-style requirements but did not establish the release-centered traceability needed for scientific infrastructure.</w:t>
      </w:r>
    </w:p>
    <w:p>
      <w:pPr>
        <w:pStyle w:val="Heading2"/>
      </w:pPr>
      <w:r>
        <w:rPr>
          <w:rFonts w:ascii="Calibri" w:hAnsi="Calibri"/>
          <w:b/>
          <w:color w:val="2E74B5"/>
          <w:sz w:val="26"/>
        </w:rPr>
        <w:t>What</w:t>
      </w:r>
    </w:p>
    <w:p>
      <w:pPr>
        <w:keepLines w:val="0"/>
      </w:pPr>
      <w:r>
        <w:rPr>
          <w:rFonts w:ascii="Calibri" w:hAnsi="Calibri"/>
          <w:i w:val="0"/>
          <w:sz w:val="22"/>
        </w:rPr>
        <w:t>This chapter defines the normative requirements baseline. Requirements state observable obligations, not a preferred library, model, or UI implementation.</w:t>
      </w:r>
    </w:p>
    <w:p>
      <w:pPr>
        <w:pStyle w:val="Heading2"/>
      </w:pPr>
      <w:r>
        <w:rPr>
          <w:rFonts w:ascii="Calibri" w:hAnsi="Calibri"/>
          <w:b/>
          <w:color w:val="2E74B5"/>
          <w:sz w:val="26"/>
        </w:rPr>
        <w:t>How</w:t>
      </w:r>
    </w:p>
    <w:p>
      <w:pPr>
        <w:keepLines w:val="0"/>
      </w:pPr>
      <w:r>
        <w:rPr>
          <w:rFonts w:ascii="Calibri" w:hAnsi="Calibri"/>
          <w:i w:val="0"/>
          <w:sz w:val="22"/>
        </w:rPr>
        <w:t>Every requirement MUST have an owner, architecture reference, implementation location once built, and verification evidence. A failed or deferred requirement MUST remain visible rather than being silently removed.</w:t>
      </w:r>
    </w:p>
    <w:p>
      <w:pPr>
        <w:pStyle w:val="Heading2"/>
      </w:pPr>
      <w:r>
        <w:rPr>
          <w:rFonts w:ascii="Calibri" w:hAnsi="Calibri"/>
          <w:b/>
          <w:color w:val="2E74B5"/>
          <w:sz w:val="26"/>
        </w:rPr>
        <w:t>Future considerations</w:t>
      </w:r>
    </w:p>
    <w:p>
      <w:pPr>
        <w:keepLines w:val="0"/>
      </w:pPr>
      <w:r>
        <w:rPr>
          <w:rFonts w:ascii="Calibri" w:hAnsi="Calibri"/>
          <w:i w:val="0"/>
          <w:sz w:val="22"/>
        </w:rPr>
        <w:t>New requirements SHOULD be added only when a concrete release, user, governance, or interoperability need justifies them. A material requirement change SHOULD create or update an ADR.</w:t>
      </w:r>
    </w:p>
    <w:tbl>
      <w:tblPr>
        <w:tblStyle w:val="TableGrid"/>
        <w:tblW w:type="dxa" w:w="9360"/>
        <w:jc w:val="left"/>
        <w:tblLayout w:type="fixed"/>
        <w:tblLook w:firstColumn="1" w:firstRow="1" w:lastColumn="0" w:lastRow="0" w:noHBand="0" w:noVBand="1" w:val="04A0"/>
        <w:tblInd w:w="120" w:type="dxa"/>
      </w:tblPr>
      <w:tblGrid>
        <w:gridCol w:w="950"/>
        <w:gridCol w:w="4900"/>
        <w:gridCol w:w="1700"/>
        <w:gridCol w:w="1810"/>
      </w:tblGrid>
      <w:tr>
        <w:trPr>
          <w:tblHeader w:val="true"/>
        </w:trPr>
        <w:tc>
          <w:tcPr>
            <w:tcW w:type="dxa" w:w="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Normative requirement</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Architecture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Verification evidence</w:t>
            </w:r>
          </w:p>
        </w:tc>
      </w:tr>
      <w:tr>
        <w:tc>
          <w:tcPr>
            <w:tcW w:type="dxa" w:w="950"/>
          </w:tcPr>
          <w:p>
            <w:pPr>
              <w:spacing w:before="0" w:after="0" w:line="252" w:lineRule="auto"/>
              <w:jc w:val="left"/>
            </w:pPr>
            <w:r>
              <w:rPr>
                <w:rFonts w:ascii="Calibri" w:hAnsi="Calibri"/>
                <w:b w:val="0"/>
                <w:sz w:val="17"/>
              </w:rPr>
              <w:t>REQ-001</w:t>
            </w:r>
          </w:p>
        </w:tc>
        <w:tc>
          <w:tcPr>
            <w:tcW w:type="dxa" w:w="4900"/>
          </w:tcPr>
          <w:p>
            <w:pPr>
              <w:spacing w:before="0" w:after="0" w:line="252" w:lineRule="auto"/>
              <w:jc w:val="left"/>
            </w:pPr>
            <w:r>
              <w:rPr>
                <w:rFonts w:ascii="Calibri" w:hAnsi="Calibri"/>
                <w:b w:val="0"/>
                <w:sz w:val="17"/>
              </w:rPr>
              <w:t>Atlas Releases MUST be immutable after publication.</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Manifest/digest verification</w:t>
            </w:r>
          </w:p>
        </w:tc>
      </w:tr>
      <w:tr>
        <w:tc>
          <w:tcPr>
            <w:tcW w:type="dxa" w:w="950"/>
          </w:tcPr>
          <w:p>
            <w:pPr>
              <w:spacing w:before="0" w:after="0" w:line="252" w:lineRule="auto"/>
              <w:jc w:val="left"/>
            </w:pPr>
            <w:r>
              <w:rPr>
                <w:rFonts w:ascii="Calibri" w:hAnsi="Calibri"/>
                <w:b w:val="0"/>
                <w:sz w:val="17"/>
              </w:rPr>
              <w:t>REQ-002</w:t>
            </w:r>
          </w:p>
        </w:tc>
        <w:tc>
          <w:tcPr>
            <w:tcW w:type="dxa" w:w="4900"/>
          </w:tcPr>
          <w:p>
            <w:pPr>
              <w:spacing w:before="0" w:after="0" w:line="252" w:lineRule="auto"/>
              <w:jc w:val="left"/>
            </w:pPr>
            <w:r>
              <w:rPr>
                <w:rFonts w:ascii="Calibri" w:hAnsi="Calibri"/>
                <w:b w:val="0"/>
                <w:sz w:val="17"/>
              </w:rPr>
              <w:t>Every published release MUST contain a manifest, citation metadata, schema version, scope, and integrity digests.</w:t>
            </w:r>
          </w:p>
        </w:tc>
        <w:tc>
          <w:tcPr>
            <w:tcW w:type="dxa" w:w="1700"/>
          </w:tcPr>
          <w:p>
            <w:pPr>
              <w:spacing w:before="0" w:after="0" w:line="252" w:lineRule="auto"/>
              <w:jc w:val="left"/>
            </w:pPr>
            <w:r>
              <w:rPr>
                <w:rFonts w:ascii="Calibri" w:hAnsi="Calibri"/>
                <w:b w:val="0"/>
                <w:sz w:val="17"/>
              </w:rPr>
              <w:t>Atlas</w:t>
            </w:r>
          </w:p>
        </w:tc>
        <w:tc>
          <w:tcPr>
            <w:tcW w:type="dxa" w:w="1810"/>
          </w:tcPr>
          <w:p>
            <w:pPr>
              <w:spacing w:before="0" w:after="0" w:line="252" w:lineRule="auto"/>
              <w:jc w:val="left"/>
            </w:pPr>
            <w:r>
              <w:rPr>
                <w:rFonts w:ascii="Calibri" w:hAnsi="Calibri"/>
                <w:b w:val="0"/>
                <w:sz w:val="17"/>
              </w:rPr>
              <w:t>Clean-room open and verify</w:t>
            </w:r>
          </w:p>
        </w:tc>
      </w:tr>
      <w:tr>
        <w:tc>
          <w:tcPr>
            <w:tcW w:type="dxa" w:w="950"/>
          </w:tcPr>
          <w:p>
            <w:pPr>
              <w:spacing w:before="0" w:after="0" w:line="252" w:lineRule="auto"/>
              <w:jc w:val="left"/>
            </w:pPr>
            <w:r>
              <w:rPr>
                <w:rFonts w:ascii="Calibri" w:hAnsi="Calibri"/>
                <w:b w:val="0"/>
                <w:sz w:val="17"/>
              </w:rPr>
              <w:t>REQ-003</w:t>
            </w:r>
          </w:p>
        </w:tc>
        <w:tc>
          <w:tcPr>
            <w:tcW w:type="dxa" w:w="4900"/>
          </w:tcPr>
          <w:p>
            <w:pPr>
              <w:spacing w:before="0" w:after="0" w:line="252" w:lineRule="auto"/>
              <w:jc w:val="left"/>
            </w:pPr>
            <w:r>
              <w:rPr>
                <w:rFonts w:ascii="Calibri" w:hAnsi="Calibri"/>
                <w:b w:val="0"/>
                <w:sz w:val="17"/>
              </w:rPr>
              <w:t>Every GenomeRecordVersion MUST identify its canonical sequence digest and source provenance.</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fixture tests</w:t>
            </w:r>
          </w:p>
        </w:tc>
      </w:tr>
      <w:tr>
        <w:tc>
          <w:tcPr>
            <w:tcW w:type="dxa" w:w="950"/>
          </w:tcPr>
          <w:p>
            <w:pPr>
              <w:spacing w:before="0" w:after="0" w:line="252" w:lineRule="auto"/>
              <w:jc w:val="left"/>
            </w:pPr>
            <w:r>
              <w:rPr>
                <w:rFonts w:ascii="Calibri" w:hAnsi="Calibri"/>
                <w:b w:val="0"/>
                <w:sz w:val="17"/>
              </w:rPr>
              <w:t>REQ-004</w:t>
            </w:r>
          </w:p>
        </w:tc>
        <w:tc>
          <w:tcPr>
            <w:tcW w:type="dxa" w:w="4900"/>
          </w:tcPr>
          <w:p>
            <w:pPr>
              <w:spacing w:before="0" w:after="0" w:line="252" w:lineRule="auto"/>
              <w:jc w:val="left"/>
            </w:pPr>
            <w:r>
              <w:rPr>
                <w:rFonts w:ascii="Calibri" w:hAnsi="Calibri"/>
                <w:b w:val="0"/>
                <w:sz w:val="17"/>
              </w:rPr>
              <w:t>Every EmbeddingInstance MUST belong to exactly one EmbeddingProfile and one GenomeRecordVersion.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Referential integrity test</w:t>
            </w:r>
          </w:p>
        </w:tc>
      </w:tr>
      <w:tr>
        <w:tc>
          <w:tcPr>
            <w:tcW w:type="dxa" w:w="950"/>
          </w:tcPr>
          <w:p>
            <w:pPr>
              <w:spacing w:before="0" w:after="0" w:line="252" w:lineRule="auto"/>
              <w:jc w:val="left"/>
            </w:pPr>
            <w:r>
              <w:rPr>
                <w:rFonts w:ascii="Calibri" w:hAnsi="Calibri"/>
                <w:b w:val="0"/>
                <w:sz w:val="17"/>
              </w:rPr>
              <w:t>REQ-005</w:t>
            </w:r>
          </w:p>
        </w:tc>
        <w:tc>
          <w:tcPr>
            <w:tcW w:type="dxa" w:w="4900"/>
          </w:tcPr>
          <w:p>
            <w:pPr>
              <w:spacing w:before="0" w:after="0" w:line="252" w:lineRule="auto"/>
              <w:jc w:val="left"/>
            </w:pPr>
            <w:r>
              <w:rPr>
                <w:rFonts w:ascii="Calibri" w:hAnsi="Calibri"/>
                <w:b w:val="0"/>
                <w:sz w:val="17"/>
              </w:rPr>
              <w:t>Embedding Profiles MUST declare preprocessing, model identity, output dimension, metric, and compatibility semantics.</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Profile schema validation</w:t>
            </w:r>
          </w:p>
        </w:tc>
      </w:tr>
      <w:tr>
        <w:tc>
          <w:tcPr>
            <w:tcW w:type="dxa" w:w="950"/>
          </w:tcPr>
          <w:p>
            <w:pPr>
              <w:spacing w:before="0" w:after="0" w:line="252" w:lineRule="auto"/>
              <w:jc w:val="left"/>
            </w:pPr>
            <w:r>
              <w:rPr>
                <w:rFonts w:ascii="Calibri" w:hAnsi="Calibri"/>
                <w:b w:val="0"/>
                <w:sz w:val="17"/>
              </w:rPr>
              <w:t>REQ-006</w:t>
            </w:r>
          </w:p>
        </w:tc>
        <w:tc>
          <w:tcPr>
            <w:tcW w:type="dxa" w:w="4900"/>
          </w:tcPr>
          <w:p>
            <w:pPr>
              <w:spacing w:before="0" w:after="0" w:line="252" w:lineRule="auto"/>
              <w:jc w:val="left"/>
            </w:pPr>
            <w:r>
              <w:rPr>
                <w:rFonts w:ascii="Calibri" w:hAnsi="Calibri"/>
                <w:b w:val="0"/>
                <w:sz w:val="17"/>
              </w:rPr>
              <w:t>The system MUST NOT imply comparability between different profiles without an explicit, evaluated bridge declaration.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Query contract test</w:t>
            </w:r>
          </w:p>
        </w:tc>
      </w:tr>
      <w:tr>
        <w:tc>
          <w:tcPr>
            <w:tcW w:type="dxa" w:w="950"/>
          </w:tcPr>
          <w:p>
            <w:pPr>
              <w:spacing w:before="0" w:after="0" w:line="252" w:lineRule="auto"/>
              <w:jc w:val="left"/>
            </w:pPr>
            <w:r>
              <w:rPr>
                <w:rFonts w:ascii="Calibri" w:hAnsi="Calibri"/>
                <w:b w:val="0"/>
                <w:sz w:val="17"/>
              </w:rPr>
              <w:t>REQ-007</w:t>
            </w:r>
          </w:p>
        </w:tc>
        <w:tc>
          <w:tcPr>
            <w:tcW w:type="dxa" w:w="4900"/>
          </w:tcPr>
          <w:p>
            <w:pPr>
              <w:spacing w:before="0" w:after="0" w:line="252" w:lineRule="auto"/>
              <w:jc w:val="left"/>
            </w:pPr>
            <w:r>
              <w:rPr>
                <w:rFonts w:ascii="Calibri" w:hAnsi="Calibri"/>
                <w:b w:val="0"/>
                <w:sz w:val="17"/>
              </w:rPr>
              <w:t>Annotations MUST be stored as provenance-bearing assertions with source/version/evidence semantics.</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provider fixtures</w:t>
            </w:r>
          </w:p>
        </w:tc>
      </w:tr>
      <w:tr>
        <w:tc>
          <w:tcPr>
            <w:tcW w:type="dxa" w:w="950"/>
          </w:tcPr>
          <w:p>
            <w:pPr>
              <w:spacing w:before="0" w:after="0" w:line="252" w:lineRule="auto"/>
              <w:jc w:val="left"/>
            </w:pPr>
            <w:r>
              <w:rPr>
                <w:rFonts w:ascii="Calibri" w:hAnsi="Calibri"/>
                <w:b w:val="0"/>
                <w:sz w:val="17"/>
              </w:rPr>
              <w:t>REQ-008</w:t>
            </w:r>
          </w:p>
        </w:tc>
        <w:tc>
          <w:tcPr>
            <w:tcW w:type="dxa" w:w="4900"/>
          </w:tcPr>
          <w:p>
            <w:pPr>
              <w:spacing w:before="0" w:after="0" w:line="252" w:lineRule="auto"/>
              <w:jc w:val="left"/>
            </w:pPr>
            <w:r>
              <w:rPr>
                <w:rFonts w:ascii="Calibri" w:hAnsi="Calibri"/>
                <w:b w:val="0"/>
                <w:sz w:val="17"/>
              </w:rPr>
              <w:t>Indexes, neighbour graphs, clusters, and projections MUST declare derivation inputs and parameters.</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Artifact lineage check</w:t>
            </w:r>
          </w:p>
        </w:tc>
      </w:tr>
      <w:tr>
        <w:tc>
          <w:tcPr>
            <w:tcW w:type="dxa" w:w="950"/>
          </w:tcPr>
          <w:p>
            <w:pPr>
              <w:spacing w:before="0" w:after="0" w:line="252" w:lineRule="auto"/>
              <w:jc w:val="left"/>
            </w:pPr>
            <w:r>
              <w:rPr>
                <w:rFonts w:ascii="Calibri" w:hAnsi="Calibri"/>
                <w:b w:val="0"/>
                <w:sz w:val="17"/>
              </w:rPr>
              <w:t>REQ-009</w:t>
            </w:r>
          </w:p>
        </w:tc>
        <w:tc>
          <w:tcPr>
            <w:tcW w:type="dxa" w:w="4900"/>
          </w:tcPr>
          <w:p>
            <w:pPr>
              <w:spacing w:before="0" w:after="0" w:line="252" w:lineRule="auto"/>
              <w:jc w:val="left"/>
            </w:pPr>
            <w:r>
              <w:rPr>
                <w:rFonts w:ascii="Calibri" w:hAnsi="Calibri"/>
                <w:b w:val="0"/>
                <w:sz w:val="17"/>
              </w:rPr>
              <w:t>Builder MUST produce deterministic manifests from declared inputs or record why a step is non-deterministic.</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Rebuild comparison</w:t>
            </w:r>
          </w:p>
        </w:tc>
      </w:tr>
      <w:tr>
        <w:tc>
          <w:tcPr>
            <w:tcW w:type="dxa" w:w="950"/>
          </w:tcPr>
          <w:p>
            <w:pPr>
              <w:spacing w:before="0" w:after="0" w:line="252" w:lineRule="auto"/>
              <w:jc w:val="left"/>
            </w:pPr>
            <w:r>
              <w:rPr>
                <w:rFonts w:ascii="Calibri" w:hAnsi="Calibri"/>
                <w:b w:val="0"/>
                <w:sz w:val="17"/>
              </w:rPr>
              <w:t>REQ-010</w:t>
            </w:r>
          </w:p>
        </w:tc>
        <w:tc>
          <w:tcPr>
            <w:tcW w:type="dxa" w:w="4900"/>
          </w:tcPr>
          <w:p>
            <w:pPr>
              <w:spacing w:before="0" w:after="0" w:line="252" w:lineRule="auto"/>
              <w:jc w:val="left"/>
            </w:pPr>
            <w:r>
              <w:rPr>
                <w:rFonts w:ascii="Calibri" w:hAnsi="Calibri"/>
                <w:b w:val="0"/>
                <w:sz w:val="17"/>
              </w:rPr>
              <w:t>A failed quality gate MUST emit a machine-readable failure record and prevent publication unless an authorized waiver is recorded.</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Negative-path integration test</w:t>
            </w:r>
          </w:p>
        </w:tc>
      </w:tr>
      <w:tr>
        <w:tc>
          <w:tcPr>
            <w:tcW w:type="dxa" w:w="950"/>
          </w:tcPr>
          <w:p>
            <w:pPr>
              <w:spacing w:before="0" w:after="0" w:line="252" w:lineRule="auto"/>
              <w:jc w:val="left"/>
            </w:pPr>
            <w:r>
              <w:rPr>
                <w:rFonts w:ascii="Calibri" w:hAnsi="Calibri"/>
                <w:b w:val="0"/>
                <w:sz w:val="17"/>
              </w:rPr>
              <w:t>REQ-011</w:t>
            </w:r>
          </w:p>
        </w:tc>
        <w:tc>
          <w:tcPr>
            <w:tcW w:type="dxa" w:w="4900"/>
          </w:tcPr>
          <w:p>
            <w:pPr>
              <w:spacing w:before="0" w:after="0" w:line="252" w:lineRule="auto"/>
              <w:jc w:val="left"/>
            </w:pPr>
            <w:r>
              <w:rPr>
                <w:rFonts w:ascii="Calibri" w:hAnsi="Calibri"/>
                <w:b w:val="0"/>
                <w:sz w:val="17"/>
              </w:rPr>
              <w:t>Query Core MUST report release, profile, metric, and exact/approximate mode with similarity results.</w:t>
            </w:r>
          </w:p>
        </w:tc>
        <w:tc>
          <w:tcPr>
            <w:tcW w:type="dxa" w:w="1700"/>
          </w:tcPr>
          <w:p>
            <w:pPr>
              <w:spacing w:before="0" w:after="0" w:line="252" w:lineRule="auto"/>
              <w:jc w:val="left"/>
            </w:pPr>
            <w:r>
              <w:rPr>
                <w:rFonts w:ascii="Calibri" w:hAnsi="Calibri"/>
                <w:b w:val="0"/>
                <w:sz w:val="17"/>
              </w:rPr>
              <w:t>SDK</w:t>
            </w:r>
          </w:p>
        </w:tc>
        <w:tc>
          <w:tcPr>
            <w:tcW w:type="dxa" w:w="1810"/>
          </w:tcPr>
          <w:p>
            <w:pPr>
              <w:spacing w:before="0" w:after="0" w:line="252" w:lineRule="auto"/>
              <w:jc w:val="left"/>
            </w:pPr>
            <w:r>
              <w:rPr>
                <w:rFonts w:ascii="Calibri" w:hAnsi="Calibri"/>
                <w:b w:val="0"/>
                <w:sz w:val="17"/>
              </w:rPr>
              <w:t>Conformance test</w:t>
            </w:r>
          </w:p>
        </w:tc>
      </w:tr>
      <w:tr>
        <w:tc>
          <w:tcPr>
            <w:tcW w:type="dxa" w:w="950"/>
          </w:tcPr>
          <w:p>
            <w:pPr>
              <w:spacing w:before="0" w:after="0" w:line="252" w:lineRule="auto"/>
              <w:jc w:val="left"/>
            </w:pPr>
            <w:r>
              <w:rPr>
                <w:rFonts w:ascii="Calibri" w:hAnsi="Calibri"/>
                <w:b w:val="0"/>
                <w:sz w:val="17"/>
              </w:rPr>
              <w:t>REQ-012</w:t>
            </w:r>
          </w:p>
        </w:tc>
        <w:tc>
          <w:tcPr>
            <w:tcW w:type="dxa" w:w="4900"/>
          </w:tcPr>
          <w:p>
            <w:pPr>
              <w:spacing w:before="0" w:after="0" w:line="252" w:lineRule="auto"/>
              <w:jc w:val="left"/>
            </w:pPr>
            <w:r>
              <w:rPr>
                <w:rFonts w:ascii="Calibri" w:hAnsi="Calibri"/>
                <w:b w:val="0"/>
                <w:sz w:val="17"/>
              </w:rPr>
              <w:t>Explorer MUST distinguish evidence status and derived results from canonical records.</w:t>
            </w:r>
          </w:p>
        </w:tc>
        <w:tc>
          <w:tcPr>
            <w:tcW w:type="dxa" w:w="1700"/>
          </w:tcPr>
          <w:p>
            <w:pPr>
              <w:spacing w:before="0" w:after="0" w:line="252" w:lineRule="auto"/>
              <w:jc w:val="left"/>
            </w:pPr>
            <w:r>
              <w:rPr>
                <w:rFonts w:ascii="Calibri" w:hAnsi="Calibri"/>
                <w:b w:val="0"/>
                <w:sz w:val="17"/>
              </w:rPr>
              <w:t>Explorer</w:t>
            </w:r>
          </w:p>
        </w:tc>
        <w:tc>
          <w:tcPr>
            <w:tcW w:type="dxa" w:w="1810"/>
          </w:tcPr>
          <w:p>
            <w:pPr>
              <w:spacing w:before="0" w:after="0" w:line="252" w:lineRule="auto"/>
              <w:jc w:val="left"/>
            </w:pPr>
            <w:r>
              <w:rPr>
                <w:rFonts w:ascii="Calibri" w:hAnsi="Calibri"/>
                <w:b w:val="0"/>
                <w:sz w:val="17"/>
              </w:rPr>
              <w:t>UI contract test</w:t>
            </w:r>
          </w:p>
        </w:tc>
      </w:tr>
      <w:tr>
        <w:tc>
          <w:tcPr>
            <w:tcW w:type="dxa" w:w="950"/>
          </w:tcPr>
          <w:p>
            <w:pPr>
              <w:spacing w:before="0" w:after="0" w:line="252" w:lineRule="auto"/>
              <w:jc w:val="left"/>
            </w:pPr>
            <w:r>
              <w:rPr>
                <w:rFonts w:ascii="Calibri" w:hAnsi="Calibri"/>
                <w:b w:val="0"/>
                <w:sz w:val="17"/>
              </w:rPr>
              <w:t>REQ-013</w:t>
            </w:r>
          </w:p>
        </w:tc>
        <w:tc>
          <w:tcPr>
            <w:tcW w:type="dxa" w:w="4900"/>
          </w:tcPr>
          <w:p>
            <w:pPr>
              <w:spacing w:before="0" w:after="0" w:line="252" w:lineRule="auto"/>
              <w:jc w:val="left"/>
            </w:pPr>
            <w:r>
              <w:rPr>
                <w:rFonts w:ascii="Calibri" w:hAnsi="Calibri"/>
                <w:b w:val="0"/>
                <w:sz w:val="17"/>
              </w:rPr>
              <w:t>Any public method or biological claim MUST link to an evidence bundle and status label.</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Release review</w:t>
            </w:r>
          </w:p>
        </w:tc>
      </w:tr>
      <w:tr>
        <w:tc>
          <w:tcPr>
            <w:tcW w:type="dxa" w:w="950"/>
          </w:tcPr>
          <w:p>
            <w:pPr>
              <w:spacing w:before="0" w:after="0" w:line="252" w:lineRule="auto"/>
              <w:jc w:val="left"/>
            </w:pPr>
            <w:r>
              <w:rPr>
                <w:rFonts w:ascii="Calibri" w:hAnsi="Calibri"/>
                <w:b w:val="0"/>
                <w:sz w:val="17"/>
              </w:rPr>
              <w:t>REQ-014</w:t>
            </w:r>
          </w:p>
        </w:tc>
        <w:tc>
          <w:tcPr>
            <w:tcW w:type="dxa" w:w="4900"/>
          </w:tcPr>
          <w:p>
            <w:pPr>
              <w:spacing w:before="0" w:after="0" w:line="252" w:lineRule="auto"/>
              <w:jc w:val="left"/>
            </w:pPr>
            <w:r>
              <w:rPr>
                <w:rFonts w:ascii="Calibri" w:hAnsi="Calibri"/>
                <w:b w:val="0"/>
                <w:sz w:val="17"/>
              </w:rPr>
              <w:t>Experimental methods MUST NOT be default canonical retrieval behavior.</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Profile selection test</w:t>
            </w:r>
          </w:p>
        </w:tc>
      </w:tr>
      <w:tr>
        <w:tc>
          <w:tcPr>
            <w:tcW w:type="dxa" w:w="950"/>
          </w:tcPr>
          <w:p>
            <w:pPr>
              <w:spacing w:before="0" w:after="0" w:line="252" w:lineRule="auto"/>
              <w:jc w:val="left"/>
            </w:pPr>
            <w:r>
              <w:rPr>
                <w:rFonts w:ascii="Calibri" w:hAnsi="Calibri"/>
                <w:b w:val="0"/>
                <w:sz w:val="17"/>
              </w:rPr>
              <w:t>REQ-015</w:t>
            </w:r>
          </w:p>
        </w:tc>
        <w:tc>
          <w:tcPr>
            <w:tcW w:type="dxa" w:w="4900"/>
          </w:tcPr>
          <w:p>
            <w:pPr>
              <w:spacing w:before="0" w:after="0" w:line="252" w:lineRule="auto"/>
              <w:jc w:val="left"/>
            </w:pPr>
            <w:r>
              <w:rPr>
                <w:rFonts w:ascii="Calibri" w:hAnsi="Calibri"/>
                <w:b w:val="0"/>
                <w:sz w:val="17"/>
              </w:rPr>
              <w:t>Release reader and SDK MUST operate locally without requiring a service for standard release queries.</w:t>
            </w:r>
          </w:p>
        </w:tc>
        <w:tc>
          <w:tcPr>
            <w:tcW w:type="dxa" w:w="1700"/>
          </w:tcPr>
          <w:p>
            <w:pPr>
              <w:spacing w:before="0" w:after="0" w:line="252" w:lineRule="auto"/>
              <w:jc w:val="left"/>
            </w:pPr>
            <w:r>
              <w:rPr>
                <w:rFonts w:ascii="Calibri" w:hAnsi="Calibri"/>
                <w:b w:val="0"/>
                <w:sz w:val="17"/>
              </w:rPr>
              <w:t>Storage</w:t>
            </w:r>
          </w:p>
        </w:tc>
        <w:tc>
          <w:tcPr>
            <w:tcW w:type="dxa" w:w="1810"/>
          </w:tcPr>
          <w:p>
            <w:pPr>
              <w:spacing w:before="0" w:after="0" w:line="252" w:lineRule="auto"/>
              <w:jc w:val="left"/>
            </w:pPr>
            <w:r>
              <w:rPr>
                <w:rFonts w:ascii="Calibri" w:hAnsi="Calibri"/>
                <w:b w:val="0"/>
                <w:sz w:val="17"/>
              </w:rPr>
              <w:t>Offline integration test</w:t>
            </w:r>
          </w:p>
        </w:tc>
      </w:tr>
      <w:tr>
        <w:tc>
          <w:tcPr>
            <w:tcW w:type="dxa" w:w="950"/>
          </w:tcPr>
          <w:p>
            <w:pPr>
              <w:spacing w:before="0" w:after="0" w:line="252" w:lineRule="auto"/>
              <w:jc w:val="left"/>
            </w:pPr>
            <w:r>
              <w:rPr>
                <w:rFonts w:ascii="Calibri" w:hAnsi="Calibri"/>
                <w:b w:val="0"/>
                <w:sz w:val="17"/>
              </w:rPr>
              <w:t>REQ-016</w:t>
            </w:r>
          </w:p>
        </w:tc>
        <w:tc>
          <w:tcPr>
            <w:tcW w:type="dxa" w:w="4900"/>
          </w:tcPr>
          <w:p>
            <w:pPr>
              <w:spacing w:before="0" w:after="0" w:line="252" w:lineRule="auto"/>
              <w:jc w:val="left"/>
            </w:pPr>
            <w:r>
              <w:rPr>
                <w:rFonts w:ascii="Calibri" w:hAnsi="Calibri"/>
                <w:b w:val="0"/>
                <w:sz w:val="17"/>
              </w:rPr>
              <w:t>Release publication MUST preserve predecessors, corrections, and withdrawal records rather than overwrite history.</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Catalog state test</w:t>
            </w:r>
          </w:p>
        </w:tc>
      </w:tr>
      <w:tr>
        <w:tc>
          <w:tcPr>
            <w:tcW w:type="dxa" w:w="950"/>
          </w:tcPr>
          <w:p>
            <w:pPr>
              <w:spacing w:before="0" w:after="0" w:line="252" w:lineRule="auto"/>
              <w:jc w:val="left"/>
            </w:pPr>
            <w:r>
              <w:rPr>
                <w:rFonts w:ascii="Calibri" w:hAnsi="Calibri"/>
                <w:b w:val="0"/>
                <w:sz w:val="17"/>
              </w:rPr>
              <w:t>REQ-017</w:t>
            </w:r>
          </w:p>
        </w:tc>
        <w:tc>
          <w:tcPr>
            <w:tcW w:type="dxa" w:w="4900"/>
          </w:tcPr>
          <w:p>
            <w:pPr>
              <w:spacing w:before="0" w:after="0" w:line="252" w:lineRule="auto"/>
              <w:jc w:val="left"/>
            </w:pPr>
            <w:r>
              <w:rPr>
                <w:rFonts w:ascii="Calibri" w:hAnsi="Calibri"/>
                <w:b w:val="0"/>
                <w:sz w:val="17"/>
              </w:rPr>
              <w:t>Release packages MUST state licenses and access restrictions for all included or referenced inputs.</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License audit</w:t>
            </w:r>
          </w:p>
        </w:tc>
      </w:tr>
      <w:tr>
        <w:tc>
          <w:tcPr>
            <w:tcW w:type="dxa" w:w="950"/>
          </w:tcPr>
          <w:p>
            <w:pPr>
              <w:spacing w:before="0" w:after="0" w:line="252" w:lineRule="auto"/>
              <w:jc w:val="left"/>
            </w:pPr>
            <w:r>
              <w:rPr>
                <w:rFonts w:ascii="Calibri" w:hAnsi="Calibri"/>
                <w:b w:val="0"/>
                <w:sz w:val="17"/>
              </w:rPr>
              <w:t>REQ-018</w:t>
            </w:r>
          </w:p>
        </w:tc>
        <w:tc>
          <w:tcPr>
            <w:tcW w:type="dxa" w:w="4900"/>
          </w:tcPr>
          <w:p>
            <w:pPr>
              <w:spacing w:before="0" w:after="0" w:line="252" w:lineRule="auto"/>
              <w:jc w:val="left"/>
            </w:pPr>
            <w:r>
              <w:rPr>
                <w:rFonts w:ascii="Calibri" w:hAnsi="Calibri"/>
                <w:b w:val="0"/>
                <w:sz w:val="17"/>
              </w:rPr>
              <w:t>Plugin interfaces MUST be versioned and capability-declared.</w:t>
            </w:r>
          </w:p>
        </w:tc>
        <w:tc>
          <w:tcPr>
            <w:tcW w:type="dxa" w:w="1700"/>
          </w:tcPr>
          <w:p>
            <w:pPr>
              <w:spacing w:before="0" w:after="0" w:line="252" w:lineRule="auto"/>
              <w:jc w:val="left"/>
            </w:pPr>
            <w:r>
              <w:rPr>
                <w:rFonts w:ascii="Calibri" w:hAnsi="Calibri"/>
                <w:b w:val="0"/>
                <w:sz w:val="17"/>
              </w:rPr>
              <w:t>Architecture</w:t>
            </w:r>
          </w:p>
        </w:tc>
        <w:tc>
          <w:tcPr>
            <w:tcW w:type="dxa" w:w="1810"/>
          </w:tcPr>
          <w:p>
            <w:pPr>
              <w:spacing w:before="0" w:after="0" w:line="252" w:lineRule="auto"/>
              <w:jc w:val="left"/>
            </w:pPr>
            <w:r>
              <w:rPr>
                <w:rFonts w:ascii="Calibri" w:hAnsi="Calibri"/>
                <w:b w:val="0"/>
                <w:sz w:val="17"/>
              </w:rPr>
              <w:t>Plugin conformance test</w:t>
            </w:r>
          </w:p>
        </w:tc>
      </w:tr>
      <w:tr>
        <w:tc>
          <w:tcPr>
            <w:tcW w:type="dxa" w:w="950"/>
          </w:tcPr>
          <w:p>
            <w:pPr>
              <w:spacing w:before="0" w:after="0" w:line="252" w:lineRule="auto"/>
              <w:jc w:val="left"/>
            </w:pPr>
            <w:r>
              <w:rPr>
                <w:rFonts w:ascii="Calibri" w:hAnsi="Calibri"/>
                <w:b w:val="0"/>
                <w:sz w:val="17"/>
              </w:rPr>
              <w:t>REQ-019</w:t>
            </w:r>
          </w:p>
        </w:tc>
        <w:tc>
          <w:tcPr>
            <w:tcW w:type="dxa" w:w="4900"/>
          </w:tcPr>
          <w:p>
            <w:pPr>
              <w:spacing w:before="0" w:after="0" w:line="252" w:lineRule="auto"/>
              <w:jc w:val="left"/>
            </w:pPr>
            <w:r>
              <w:rPr>
                <w:rFonts w:ascii="Calibri" w:hAnsi="Calibri"/>
                <w:b w:val="0"/>
                <w:sz w:val="17"/>
              </w:rPr>
              <w:t>The repository MUST contain machine-readable schemas, fixtures, and documented contributor workflow.</w:t>
            </w:r>
          </w:p>
        </w:tc>
        <w:tc>
          <w:tcPr>
            <w:tcW w:type="dxa" w:w="1700"/>
          </w:tcPr>
          <w:p>
            <w:pPr>
              <w:spacing w:before="0" w:after="0" w:line="252" w:lineRule="auto"/>
              <w:jc w:val="left"/>
            </w:pPr>
            <w:r>
              <w:rPr>
                <w:rFonts w:ascii="Calibri" w:hAnsi="Calibri"/>
                <w:b w:val="0"/>
                <w:sz w:val="17"/>
              </w:rPr>
              <w:t>Developer workflow</w:t>
            </w:r>
          </w:p>
        </w:tc>
        <w:tc>
          <w:tcPr>
            <w:tcW w:type="dxa" w:w="1810"/>
          </w:tcPr>
          <w:p>
            <w:pPr>
              <w:spacing w:before="0" w:after="0" w:line="252" w:lineRule="auto"/>
              <w:jc w:val="left"/>
            </w:pPr>
            <w:r>
              <w:rPr>
                <w:rFonts w:ascii="Calibri" w:hAnsi="Calibri"/>
                <w:b w:val="0"/>
                <w:sz w:val="17"/>
              </w:rPr>
              <w:t>CI repository check</w:t>
            </w:r>
          </w:p>
        </w:tc>
      </w:tr>
      <w:tr>
        <w:tc>
          <w:tcPr>
            <w:tcW w:type="dxa" w:w="950"/>
          </w:tcPr>
          <w:p>
            <w:pPr>
              <w:spacing w:before="0" w:after="0" w:line="252" w:lineRule="auto"/>
              <w:jc w:val="left"/>
            </w:pPr>
            <w:r>
              <w:rPr>
                <w:rFonts w:ascii="Calibri" w:hAnsi="Calibri"/>
                <w:b w:val="0"/>
                <w:sz w:val="17"/>
              </w:rPr>
              <w:t>REQ-020</w:t>
            </w:r>
          </w:p>
        </w:tc>
        <w:tc>
          <w:tcPr>
            <w:tcW w:type="dxa" w:w="4900"/>
          </w:tcPr>
          <w:p>
            <w:pPr>
              <w:spacing w:before="0" w:after="0" w:line="252" w:lineRule="auto"/>
              <w:jc w:val="left"/>
            </w:pPr>
            <w:r>
              <w:rPr>
                <w:rFonts w:ascii="Calibri" w:hAnsi="Calibri"/>
                <w:b w:val="0"/>
                <w:sz w:val="17"/>
              </w:rPr>
              <w:t>Every accepted architectural decision MUST have an ADR with rationale and consequences.</w:t>
            </w:r>
          </w:p>
        </w:tc>
        <w:tc>
          <w:tcPr>
            <w:tcW w:type="dxa" w:w="1700"/>
          </w:tcPr>
          <w:p>
            <w:pPr>
              <w:spacing w:before="0" w:after="0" w:line="252" w:lineRule="auto"/>
              <w:jc w:val="left"/>
            </w:pPr>
            <w:r>
              <w:rPr>
                <w:rFonts w:ascii="Calibri" w:hAnsi="Calibri"/>
                <w:b w:val="0"/>
                <w:sz w:val="17"/>
              </w:rPr>
              <w:t>Governance</w:t>
            </w:r>
          </w:p>
        </w:tc>
        <w:tc>
          <w:tcPr>
            <w:tcW w:type="dxa" w:w="1810"/>
          </w:tcPr>
          <w:p>
            <w:pPr>
              <w:spacing w:before="0" w:after="0" w:line="252" w:lineRule="auto"/>
              <w:jc w:val="left"/>
            </w:pPr>
            <w:r>
              <w:rPr>
                <w:rFonts w:ascii="Calibri" w:hAnsi="Calibri"/>
                <w:b w:val="0"/>
                <w:sz w:val="17"/>
              </w:rPr>
              <w:t>ADR registry review</w:t>
            </w:r>
          </w:p>
        </w:tc>
      </w:tr>
    </w:tbl>
    <w:p>
      <w:pPr>
        <w:spacing w:after="40"/>
      </w:pPr>
    </w:p>
    <w:p>
      <w:pPr>
        <w:pStyle w:val="Heading1"/>
        <w:pageBreakBefore/>
      </w:pPr>
      <w:r>
        <w:rPr>
          <w:rFonts w:ascii="Calibri" w:hAnsi="Calibri"/>
          <w:b/>
          <w:color w:val="2E74B5"/>
          <w:sz w:val="32"/>
        </w:rPr>
        <w:t>3. Vision</w:t>
      </w:r>
    </w:p>
    <w:p>
      <w:pPr>
        <w:pStyle w:val="Heading2"/>
      </w:pPr>
      <w:r>
        <w:rPr>
          <w:rFonts w:ascii="Calibri" w:hAnsi="Calibri"/>
          <w:b/>
          <w:color w:val="2E74B5"/>
          <w:sz w:val="26"/>
        </w:rPr>
        <w:t>Why</w:t>
      </w:r>
    </w:p>
    <w:p>
      <w:pPr>
        <w:keepLines w:val="0"/>
      </w:pPr>
      <w:r>
        <w:rPr>
          <w:rFonts w:ascii="Calibri" w:hAnsi="Calibri"/>
          <w:i w:val="0"/>
          <w:sz w:val="22"/>
        </w:rPr>
        <w:t>The project needs a concise anchor for decisions, not a long philosophical narrative. The useful question is whether an option improves the release as a scientific resource.</w:t>
      </w:r>
    </w:p>
    <w:p>
      <w:pPr>
        <w:pStyle w:val="Heading2"/>
      </w:pPr>
      <w:r>
        <w:rPr>
          <w:rFonts w:ascii="Calibri" w:hAnsi="Calibri"/>
          <w:b/>
          <w:color w:val="2E74B5"/>
          <w:sz w:val="26"/>
        </w:rPr>
        <w:t>What</w:t>
      </w:r>
    </w:p>
    <w:p>
      <w:pPr>
        <w:keepLines w:val="0"/>
      </w:pPr>
      <w:r>
        <w:rPr>
          <w:rFonts w:ascii="Calibri" w:hAnsi="Calibri"/>
          <w:i w:val="0"/>
          <w:sz w:val="22"/>
        </w:rPr>
        <w:t>EXPEDIA is an atlas platform: it publishes and serves versioned genomic embedding atlases with provenance, declared representation semantics, and reproducible derived artifacts. It is not an assembler, MAG-quality assessor, taxonomic authority, wet-lab substitute, cloud platform, or generic machine-learning benchmark.</w:t>
      </w:r>
    </w:p>
    <w:p>
      <w:pPr>
        <w:pStyle w:val="Heading2"/>
      </w:pPr>
      <w:r>
        <w:rPr>
          <w:rFonts w:ascii="Calibri" w:hAnsi="Calibri"/>
          <w:b/>
          <w:color w:val="2E74B5"/>
          <w:sz w:val="26"/>
        </w:rPr>
        <w:t>How</w:t>
      </w:r>
    </w:p>
    <w:p>
      <w:pPr>
        <w:keepLines w:val="0"/>
      </w:pPr>
      <w:r>
        <w:rPr>
          <w:rFonts w:ascii="Calibri" w:hAnsi="Calibri"/>
          <w:i w:val="0"/>
          <w:sz w:val="22"/>
        </w:rPr>
        <w:t>The architecture centers the release. Builder creates a candidate release from declared sources and profiles. Governance validates and archives it. Query Core provides stable read-only semantics. Explorer, SDK, and REST expose those semantics without becoming alternate sources of truth.</w:t>
      </w:r>
    </w:p>
    <w:p>
      <w:pPr>
        <w:pStyle w:val="Heading2"/>
      </w:pPr>
      <w:r>
        <w:rPr>
          <w:rFonts w:ascii="Calibri" w:hAnsi="Calibri"/>
          <w:b/>
          <w:color w:val="2E74B5"/>
          <w:sz w:val="26"/>
        </w:rPr>
        <w:t>Future considerations</w:t>
      </w:r>
    </w:p>
    <w:p>
      <w:pPr>
        <w:keepLines w:val="0"/>
      </w:pPr>
      <w:r>
        <w:rPr>
          <w:rFonts w:ascii="Calibri" w:hAnsi="Calibri"/>
          <w:i w:val="0"/>
          <w:sz w:val="22"/>
        </w:rPr>
        <w:t>Protein, RNA, remote services, collaboration, and incremental construction are plausible directions, not commitments. They require their own profiles, evidence rules, contracts, and ADRs before they affect the canonical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Design rationale: </w:t>
            </w:r>
            <w:r>
              <w:rPr>
                <w:rFonts w:ascii="Calibri" w:hAnsi="Calibri"/>
                <w:color w:val="0B2545"/>
                <w:sz w:val="20"/>
              </w:rPr>
              <w:t>This chapter intentionally replaces long vision prose with a decision filter. The Atlas is the scientific contribution; the software exists to serve it.</w:t>
            </w:r>
          </w:p>
        </w:tc>
      </w:tr>
    </w:tbl>
    <w:p>
      <w:pPr>
        <w:spacing w:after="40"/>
      </w:pPr>
    </w:p>
    <w:p>
      <w:pPr>
        <w:pStyle w:val="Heading1"/>
        <w:pageBreakBefore/>
      </w:pPr>
      <w:r>
        <w:rPr>
          <w:rFonts w:ascii="Calibri" w:hAnsi="Calibri"/>
          <w:b/>
          <w:color w:val="2E74B5"/>
          <w:sz w:val="32"/>
        </w:rPr>
        <w:t>4. Scientific Foundation</w:t>
      </w:r>
    </w:p>
    <w:p>
      <w:pPr>
        <w:pStyle w:val="Heading2"/>
      </w:pPr>
      <w:r>
        <w:rPr>
          <w:rFonts w:ascii="Calibri" w:hAnsi="Calibri"/>
          <w:b/>
          <w:color w:val="2E74B5"/>
          <w:sz w:val="26"/>
        </w:rPr>
        <w:t>Why</w:t>
      </w:r>
    </w:p>
    <w:p>
      <w:pPr>
        <w:keepLines w:val="0"/>
      </w:pPr>
      <w:r>
        <w:rPr>
          <w:rFonts w:ascii="Calibri" w:hAnsi="Calibri"/>
          <w:i w:val="0"/>
          <w:sz w:val="22"/>
        </w:rPr>
        <w:t>Genome embeddings can be useful representations, but their interpretation is method- and cohort-dependent. Scientific infrastructure must preserve that context instead of treating a vector as an intrinsic biological measurement.</w:t>
      </w:r>
    </w:p>
    <w:p>
      <w:pPr>
        <w:pStyle w:val="Heading2"/>
      </w:pPr>
      <w:r>
        <w:rPr>
          <w:rFonts w:ascii="Calibri" w:hAnsi="Calibri"/>
          <w:b/>
          <w:color w:val="2E74B5"/>
          <w:sz w:val="26"/>
        </w:rPr>
        <w:t>What</w:t>
      </w:r>
    </w:p>
    <w:p>
      <w:pPr>
        <w:keepLines w:val="0"/>
      </w:pPr>
      <w:r>
        <w:rPr>
          <w:rFonts w:ascii="Calibri" w:hAnsi="Calibri"/>
          <w:i w:val="0"/>
          <w:sz w:val="22"/>
        </w:rPr>
        <w:t>The foundation consists of immutable sequence-derived records, explicit embedding profiles, provenance-bearing annotations, and derived results with declared lineage. Similarity is a result under a profile and metric. Candidate clusters and novelty scores are exploratory outputs.</w:t>
      </w:r>
    </w:p>
    <w:p>
      <w:pPr>
        <w:pStyle w:val="Heading2"/>
      </w:pPr>
      <w:r>
        <w:rPr>
          <w:rFonts w:ascii="Calibri" w:hAnsi="Calibri"/>
          <w:b/>
          <w:color w:val="2E74B5"/>
          <w:sz w:val="26"/>
        </w:rPr>
        <w:t>How</w:t>
      </w:r>
    </w:p>
    <w:p>
      <w:pPr>
        <w:keepLines w:val="0"/>
      </w:pPr>
      <w:r>
        <w:rPr>
          <w:rFonts w:ascii="Calibri" w:hAnsi="Calibri"/>
          <w:i w:val="0"/>
          <w:sz w:val="22"/>
        </w:rPr>
        <w:t>Scientific claims are governed by four evidence tracks: software verification, release integrity, retrieval/method evaluation, and scientific interpretation. Each claim records its evidence type, source version, cohort, analysis plan, results, uncertainty, limitations, and review state.</w:t>
      </w:r>
    </w:p>
    <w:p>
      <w:pPr>
        <w:pStyle w:val="Heading2"/>
      </w:pPr>
      <w:r>
        <w:rPr>
          <w:rFonts w:ascii="Calibri" w:hAnsi="Calibri"/>
          <w:b/>
          <w:color w:val="2E74B5"/>
          <w:sz w:val="26"/>
        </w:rPr>
        <w:t>Future considerations</w:t>
      </w:r>
    </w:p>
    <w:p>
      <w:pPr>
        <w:keepLines w:val="0"/>
      </w:pPr>
      <w:r>
        <w:rPr>
          <w:rFonts w:ascii="Calibri" w:hAnsi="Calibri"/>
          <w:i w:val="0"/>
          <w:sz w:val="22"/>
        </w:rPr>
        <w:t>The project SHOULD adopt domain-reviewed ontologies and curated evaluation cohorts only after their licensing, versioning, and semantic fit are reviewed. New scientific claim categories require an ADR and evidence-template update.</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Result type</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Permitted interpretation</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Prohibited without additional evidence</w:t>
            </w:r>
          </w:p>
        </w:tc>
      </w:tr>
      <w:tr>
        <w:tc>
          <w:tcPr>
            <w:tcW w:type="dxa" w:w="1900"/>
          </w:tcPr>
          <w:p>
            <w:pPr>
              <w:spacing w:before="0" w:after="0" w:line="252" w:lineRule="auto"/>
              <w:jc w:val="left"/>
            </w:pPr>
            <w:r>
              <w:rPr>
                <w:rFonts w:ascii="Calibri" w:hAnsi="Calibri"/>
                <w:b w:val="0"/>
                <w:sz w:val="18"/>
              </w:rPr>
              <w:t>Similarity result</w:t>
            </w:r>
          </w:p>
        </w:tc>
        <w:tc>
          <w:tcPr>
            <w:tcW w:type="dxa" w:w="3730"/>
          </w:tcPr>
          <w:p>
            <w:pPr>
              <w:spacing w:before="0" w:after="0" w:line="252" w:lineRule="auto"/>
              <w:jc w:val="left"/>
            </w:pPr>
            <w:r>
              <w:rPr>
                <w:rFonts w:ascii="Calibri" w:hAnsi="Calibri"/>
                <w:b w:val="0"/>
                <w:sz w:val="18"/>
              </w:rPr>
              <w:t>A selected profile and metric place records near one another within a declared release.</w:t>
            </w:r>
          </w:p>
        </w:tc>
        <w:tc>
          <w:tcPr>
            <w:tcW w:type="dxa" w:w="3730"/>
          </w:tcPr>
          <w:p>
            <w:pPr>
              <w:spacing w:before="0" w:after="0" w:line="252" w:lineRule="auto"/>
              <w:jc w:val="left"/>
            </w:pPr>
            <w:r>
              <w:rPr>
                <w:rFonts w:ascii="Calibri" w:hAnsi="Calibri"/>
                <w:b w:val="0"/>
                <w:sz w:val="18"/>
              </w:rPr>
              <w:t>Taxonomic identity, shared function, ecological equivalence, or evolutionary distance.</w:t>
            </w:r>
          </w:p>
        </w:tc>
      </w:tr>
      <w:tr>
        <w:tc>
          <w:tcPr>
            <w:tcW w:type="dxa" w:w="1900"/>
          </w:tcPr>
          <w:p>
            <w:pPr>
              <w:spacing w:before="0" w:after="0" w:line="252" w:lineRule="auto"/>
              <w:jc w:val="left"/>
            </w:pPr>
            <w:r>
              <w:rPr>
                <w:rFonts w:ascii="Calibri" w:hAnsi="Calibri"/>
                <w:b w:val="0"/>
                <w:sz w:val="18"/>
              </w:rPr>
              <w:t>Cluster</w:t>
            </w:r>
          </w:p>
        </w:tc>
        <w:tc>
          <w:tcPr>
            <w:tcW w:type="dxa" w:w="3730"/>
          </w:tcPr>
          <w:p>
            <w:pPr>
              <w:spacing w:before="0" w:after="0" w:line="252" w:lineRule="auto"/>
              <w:jc w:val="left"/>
            </w:pPr>
            <w:r>
              <w:rPr>
                <w:rFonts w:ascii="Calibri" w:hAnsi="Calibri"/>
                <w:b w:val="0"/>
                <w:sz w:val="18"/>
              </w:rPr>
              <w:t>An algorithm grouped records under declared inputs and parameters.</w:t>
            </w:r>
          </w:p>
        </w:tc>
        <w:tc>
          <w:tcPr>
            <w:tcW w:type="dxa" w:w="3730"/>
          </w:tcPr>
          <w:p>
            <w:pPr>
              <w:spacing w:before="0" w:after="0" w:line="252" w:lineRule="auto"/>
              <w:jc w:val="left"/>
            </w:pPr>
            <w:r>
              <w:rPr>
                <w:rFonts w:ascii="Calibri" w:hAnsi="Calibri"/>
                <w:b w:val="0"/>
                <w:sz w:val="18"/>
              </w:rPr>
              <w:t>A species, lineage, or biologically coherent unit.</w:t>
            </w:r>
          </w:p>
        </w:tc>
      </w:tr>
      <w:tr>
        <w:tc>
          <w:tcPr>
            <w:tcW w:type="dxa" w:w="1900"/>
          </w:tcPr>
          <w:p>
            <w:pPr>
              <w:spacing w:before="0" w:after="0" w:line="252" w:lineRule="auto"/>
              <w:jc w:val="left"/>
            </w:pPr>
            <w:r>
              <w:rPr>
                <w:rFonts w:ascii="Calibri" w:hAnsi="Calibri"/>
                <w:b w:val="0"/>
                <w:sz w:val="18"/>
              </w:rPr>
              <w:t>Novelty score</w:t>
            </w:r>
          </w:p>
        </w:tc>
        <w:tc>
          <w:tcPr>
            <w:tcW w:type="dxa" w:w="3730"/>
          </w:tcPr>
          <w:p>
            <w:pPr>
              <w:spacing w:before="0" w:after="0" w:line="252" w:lineRule="auto"/>
              <w:jc w:val="left"/>
            </w:pPr>
            <w:r>
              <w:rPr>
                <w:rFonts w:ascii="Calibri" w:hAnsi="Calibri"/>
                <w:b w:val="0"/>
                <w:sz w:val="18"/>
              </w:rPr>
              <w:t>A calibrated distance/outlier statistic relative to a defined reference cohort.</w:t>
            </w:r>
          </w:p>
        </w:tc>
        <w:tc>
          <w:tcPr>
            <w:tcW w:type="dxa" w:w="3730"/>
          </w:tcPr>
          <w:p>
            <w:pPr>
              <w:spacing w:before="0" w:after="0" w:line="252" w:lineRule="auto"/>
              <w:jc w:val="left"/>
            </w:pPr>
            <w:r>
              <w:rPr>
                <w:rFonts w:ascii="Calibri" w:hAnsi="Calibri"/>
                <w:b w:val="0"/>
                <w:sz w:val="18"/>
              </w:rPr>
              <w:t>A new organism, gene, pathway, or species.</w:t>
            </w:r>
          </w:p>
        </w:tc>
      </w:tr>
      <w:tr>
        <w:tc>
          <w:tcPr>
            <w:tcW w:type="dxa" w:w="1900"/>
          </w:tcPr>
          <w:p>
            <w:pPr>
              <w:spacing w:before="0" w:after="0" w:line="252" w:lineRule="auto"/>
              <w:jc w:val="left"/>
            </w:pPr>
            <w:r>
              <w:rPr>
                <w:rFonts w:ascii="Calibri" w:hAnsi="Calibri"/>
                <w:b w:val="0"/>
                <w:sz w:val="18"/>
              </w:rPr>
              <w:t>Provider annotation</w:t>
            </w:r>
          </w:p>
        </w:tc>
        <w:tc>
          <w:tcPr>
            <w:tcW w:type="dxa" w:w="3730"/>
          </w:tcPr>
          <w:p>
            <w:pPr>
              <w:spacing w:before="0" w:after="0" w:line="252" w:lineRule="auto"/>
              <w:jc w:val="left"/>
            </w:pPr>
            <w:r>
              <w:rPr>
                <w:rFonts w:ascii="Calibri" w:hAnsi="Calibri"/>
                <w:b w:val="0"/>
                <w:sz w:val="18"/>
              </w:rPr>
              <w:t>A source made an assertion with recorded version and evidence semantics.</w:t>
            </w:r>
          </w:p>
        </w:tc>
        <w:tc>
          <w:tcPr>
            <w:tcW w:type="dxa" w:w="3730"/>
          </w:tcPr>
          <w:p>
            <w:pPr>
              <w:spacing w:before="0" w:after="0" w:line="252" w:lineRule="auto"/>
              <w:jc w:val="left"/>
            </w:pPr>
            <w:r>
              <w:rPr>
                <w:rFonts w:ascii="Calibri" w:hAnsi="Calibri"/>
                <w:b w:val="0"/>
                <w:sz w:val="18"/>
              </w:rPr>
              <w:t>Universal truth or replacement for source-specific interpretation.</w:t>
            </w:r>
          </w:p>
        </w:tc>
      </w:tr>
    </w:tbl>
    <w:p>
      <w:pPr>
        <w:spacing w:after="40"/>
      </w:pPr>
    </w:p>
    <w:p>
      <w:pPr>
        <w:pStyle w:val="Heading1"/>
        <w:pageBreakBefore/>
      </w:pPr>
      <w:r>
        <w:rPr>
          <w:rFonts w:ascii="Calibri" w:hAnsi="Calibri"/>
          <w:b/>
          <w:color w:val="2E74B5"/>
          <w:sz w:val="32"/>
        </w:rPr>
        <w:t>5. Architecture</w:t>
      </w:r>
    </w:p>
    <w:p>
      <w:pPr>
        <w:pStyle w:val="Heading2"/>
      </w:pPr>
      <w:r>
        <w:rPr>
          <w:rFonts w:ascii="Calibri" w:hAnsi="Calibri"/>
          <w:b/>
          <w:color w:val="2E74B5"/>
          <w:sz w:val="26"/>
        </w:rPr>
        <w:t>Why</w:t>
      </w:r>
    </w:p>
    <w:p>
      <w:pPr>
        <w:keepLines w:val="0"/>
      </w:pPr>
      <w:r>
        <w:rPr>
          <w:rFonts w:ascii="Calibri" w:hAnsi="Calibri"/>
          <w:i w:val="0"/>
          <w:sz w:val="22"/>
        </w:rPr>
        <w:t>Release-first separation reduces duplicated semantics, makes artifacts independently inspectable, and keeps UI and deployment choices from changing the scientific record.</w:t>
      </w:r>
    </w:p>
    <w:p>
      <w:pPr>
        <w:pStyle w:val="Heading2"/>
      </w:pPr>
      <w:r>
        <w:rPr>
          <w:rFonts w:ascii="Calibri" w:hAnsi="Calibri"/>
          <w:b/>
          <w:color w:val="2E74B5"/>
          <w:sz w:val="26"/>
        </w:rPr>
        <w:t>What</w:t>
      </w:r>
    </w:p>
    <w:p>
      <w:pPr>
        <w:keepLines w:val="0"/>
      </w:pPr>
      <w:r>
        <w:rPr>
          <w:rFonts w:ascii="Calibri" w:hAnsi="Calibri"/>
          <w:i w:val="0"/>
          <w:sz w:val="22"/>
        </w:rPr>
        <w:t>The architecture has six bounded subsystems: Registry and Release Catalog; Atlas Builder; immutable Atlas Release; Query Core; Explorer; and SDK/REST adapters. It also defines versioned plugin capability surfaces for ingestion, embedding, annotation, storage, index, and visualization.</w:t>
      </w:r>
    </w:p>
    <w:p>
      <w:pPr>
        <w:pStyle w:val="Heading2"/>
      </w:pPr>
      <w:r>
        <w:rPr>
          <w:rFonts w:ascii="Calibri" w:hAnsi="Calibri"/>
          <w:b/>
          <w:color w:val="2E74B5"/>
          <w:sz w:val="26"/>
        </w:rPr>
        <w:t>How</w:t>
      </w:r>
    </w:p>
    <w:p>
      <w:pPr>
        <w:keepLines w:val="0"/>
      </w:pPr>
      <w:r>
        <w:rPr>
          <w:rFonts w:ascii="Calibri" w:hAnsi="Calibri"/>
          <w:i w:val="0"/>
          <w:sz w:val="22"/>
        </w:rPr>
        <w:t>Dependencies flow toward stable contracts: Builder produces a release; Query Core reads it; clients call Query Core; plugins are selected by manifest and capability negotiation. No client writes published releases. No derived artifact overwrites canonical records.</w:t>
      </w:r>
    </w:p>
    <w:p>
      <w:pPr>
        <w:pStyle w:val="Heading2"/>
      </w:pPr>
      <w:r>
        <w:rPr>
          <w:rFonts w:ascii="Calibri" w:hAnsi="Calibri"/>
          <w:b/>
          <w:color w:val="2E74B5"/>
          <w:sz w:val="26"/>
        </w:rPr>
        <w:t>Future considerations</w:t>
      </w:r>
    </w:p>
    <w:p>
      <w:pPr>
        <w:keepLines w:val="0"/>
      </w:pPr>
      <w:r>
        <w:rPr>
          <w:rFonts w:ascii="Calibri" w:hAnsi="Calibri"/>
          <w:i w:val="0"/>
          <w:sz w:val="22"/>
        </w:rPr>
        <w:t>Remote services MAY be added as deployment adapters, but local release reading remains the reference path. A graph database, distributed scheduler, or streaming platform is not required until a measured need and operational model justify an ADR.</w:t>
      </w:r>
    </w:p>
    <w:p>
      <w:pPr>
        <w:pStyle w:val="Heading2"/>
      </w:pPr>
      <w:r>
        <w:rPr>
          <w:rFonts w:ascii="Calibri" w:hAnsi="Calibri"/>
          <w:b/>
          <w:color w:val="2E74B5"/>
          <w:sz w:val="26"/>
        </w:rPr>
        <w:t>Subsystem contract</w:t>
      </w:r>
    </w:p>
    <w:tbl>
      <w:tblPr>
        <w:tblStyle w:val="TableGrid"/>
        <w:tblW w:type="dxa" w:w="9360"/>
        <w:jc w:val="left"/>
        <w:tblLayout w:type="fixed"/>
        <w:tblLook w:firstColumn="1" w:firstRow="1" w:lastColumn="0" w:lastRow="0" w:noHBand="0" w:noVBand="1" w:val="04A0"/>
        <w:tblInd w:w="120" w:type="dxa"/>
      </w:tblPr>
      <w:tblGrid>
        <w:gridCol w:w="1450"/>
        <w:gridCol w:w="2850"/>
        <w:gridCol w:w="2900"/>
        <w:gridCol w:w="2160"/>
      </w:tblGrid>
      <w:tr>
        <w:trPr>
          <w:tblHeader w:val="true"/>
        </w:trPr>
        <w:tc>
          <w:tcPr>
            <w:tcW w:type="dxa" w:w="14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Subsystem</w:t>
            </w:r>
          </w:p>
        </w:tc>
        <w:tc>
          <w:tcPr>
            <w:tcW w:type="dxa" w:w="2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Responsibilities</w:t>
            </w:r>
          </w:p>
        </w:tc>
        <w:tc>
          <w:tcPr>
            <w:tcW w:type="dxa" w:w="2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Interfaces and dependencies</w:t>
            </w:r>
          </w:p>
        </w:tc>
        <w:tc>
          <w:tcPr>
            <w:tcW w:type="dxa" w:w="2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Extension points</w:t>
            </w:r>
          </w:p>
        </w:tc>
      </w:tr>
      <w:tr>
        <w:tc>
          <w:tcPr>
            <w:tcW w:type="dxa" w:w="1450"/>
          </w:tcPr>
          <w:p>
            <w:pPr>
              <w:spacing w:before="0" w:after="0" w:line="252" w:lineRule="auto"/>
              <w:jc w:val="left"/>
            </w:pPr>
            <w:r>
              <w:rPr>
                <w:rFonts w:ascii="Calibri" w:hAnsi="Calibri"/>
                <w:b w:val="0"/>
                <w:sz w:val="18"/>
              </w:rPr>
              <w:t>Release Catalog</w:t>
            </w:r>
          </w:p>
        </w:tc>
        <w:tc>
          <w:tcPr>
            <w:tcW w:type="dxa" w:w="2850"/>
          </w:tcPr>
          <w:p>
            <w:pPr>
              <w:spacing w:before="0" w:after="0" w:line="252" w:lineRule="auto"/>
              <w:jc w:val="left"/>
            </w:pPr>
            <w:r>
              <w:rPr>
                <w:rFonts w:ascii="Calibri" w:hAnsi="Calibri"/>
                <w:b w:val="0"/>
                <w:sz w:val="18"/>
              </w:rPr>
              <w:t>Resolve release IDs, compatibility, citation, state, and successor links.</w:t>
            </w:r>
          </w:p>
        </w:tc>
        <w:tc>
          <w:tcPr>
            <w:tcW w:type="dxa" w:w="2900"/>
          </w:tcPr>
          <w:p>
            <w:pPr>
              <w:spacing w:before="0" w:after="0" w:line="252" w:lineRule="auto"/>
              <w:jc w:val="left"/>
            </w:pPr>
            <w:r>
              <w:rPr>
                <w:rFonts w:ascii="Calibri" w:hAnsi="Calibri"/>
                <w:b w:val="0"/>
                <w:sz w:val="18"/>
              </w:rPr>
              <w:t>release.json; repository metadata; no ANN dependency.</w:t>
            </w:r>
          </w:p>
        </w:tc>
        <w:tc>
          <w:tcPr>
            <w:tcW w:type="dxa" w:w="2160"/>
          </w:tcPr>
          <w:p>
            <w:pPr>
              <w:spacing w:before="0" w:after="0" w:line="252" w:lineRule="auto"/>
              <w:jc w:val="left"/>
            </w:pPr>
            <w:r>
              <w:rPr>
                <w:rFonts w:ascii="Calibri" w:hAnsi="Calibri"/>
                <w:b w:val="0"/>
                <w:sz w:val="18"/>
              </w:rPr>
              <w:t>Additional registries, mirrors, signature services.</w:t>
            </w:r>
          </w:p>
        </w:tc>
      </w:tr>
      <w:tr>
        <w:tc>
          <w:tcPr>
            <w:tcW w:type="dxa" w:w="1450"/>
          </w:tcPr>
          <w:p>
            <w:pPr>
              <w:spacing w:before="0" w:after="0" w:line="252" w:lineRule="auto"/>
              <w:jc w:val="left"/>
            </w:pPr>
            <w:r>
              <w:rPr>
                <w:rFonts w:ascii="Calibri" w:hAnsi="Calibri"/>
                <w:b w:val="0"/>
                <w:sz w:val="18"/>
              </w:rPr>
              <w:t>Atlas Builder</w:t>
            </w:r>
          </w:p>
        </w:tc>
        <w:tc>
          <w:tcPr>
            <w:tcW w:type="dxa" w:w="2850"/>
          </w:tcPr>
          <w:p>
            <w:pPr>
              <w:spacing w:before="0" w:after="0" w:line="252" w:lineRule="auto"/>
              <w:jc w:val="left"/>
            </w:pPr>
            <w:r>
              <w:rPr>
                <w:rFonts w:ascii="Calibri" w:hAnsi="Calibri"/>
                <w:b w:val="0"/>
                <w:sz w:val="18"/>
              </w:rPr>
              <w:t>Acquire, normalize, validate, embed, derive, package, and attest.</w:t>
            </w:r>
          </w:p>
        </w:tc>
        <w:tc>
          <w:tcPr>
            <w:tcW w:type="dxa" w:w="2900"/>
          </w:tcPr>
          <w:p>
            <w:pPr>
              <w:spacing w:before="0" w:after="0" w:line="252" w:lineRule="auto"/>
              <w:jc w:val="left"/>
            </w:pPr>
            <w:r>
              <w:rPr>
                <w:rFonts w:ascii="Calibri" w:hAnsi="Calibri"/>
                <w:b w:val="0"/>
                <w:sz w:val="18"/>
              </w:rPr>
              <w:t>Ingest/embedding/annotation/index plugins; object storage; schemas.</w:t>
            </w:r>
          </w:p>
        </w:tc>
        <w:tc>
          <w:tcPr>
            <w:tcW w:type="dxa" w:w="2160"/>
          </w:tcPr>
          <w:p>
            <w:pPr>
              <w:spacing w:before="0" w:after="0" w:line="252" w:lineRule="auto"/>
              <w:jc w:val="left"/>
            </w:pPr>
            <w:r>
              <w:rPr>
                <w:rFonts w:ascii="Calibri" w:hAnsi="Calibri"/>
                <w:b w:val="0"/>
                <w:sz w:val="18"/>
              </w:rPr>
              <w:t>New source adapters, profiles, quality gates.</w:t>
            </w:r>
          </w:p>
        </w:tc>
      </w:tr>
      <w:tr>
        <w:tc>
          <w:tcPr>
            <w:tcW w:type="dxa" w:w="1450"/>
          </w:tcPr>
          <w:p>
            <w:pPr>
              <w:spacing w:before="0" w:after="0" w:line="252" w:lineRule="auto"/>
              <w:jc w:val="left"/>
            </w:pPr>
            <w:r>
              <w:rPr>
                <w:rFonts w:ascii="Calibri" w:hAnsi="Calibri"/>
                <w:b w:val="0"/>
                <w:sz w:val="18"/>
              </w:rPr>
              <w:t>Atlas Release</w:t>
            </w:r>
          </w:p>
        </w:tc>
        <w:tc>
          <w:tcPr>
            <w:tcW w:type="dxa" w:w="2850"/>
          </w:tcPr>
          <w:p>
            <w:pPr>
              <w:spacing w:before="0" w:after="0" w:line="252" w:lineRule="auto"/>
              <w:jc w:val="left"/>
            </w:pPr>
            <w:r>
              <w:rPr>
                <w:rFonts w:ascii="Calibri" w:hAnsi="Calibri"/>
                <w:b w:val="0"/>
                <w:sz w:val="18"/>
              </w:rPr>
              <w:t>Portable immutable package of canonical, derived, and evidence artifacts.</w:t>
            </w:r>
          </w:p>
        </w:tc>
        <w:tc>
          <w:tcPr>
            <w:tcW w:type="dxa" w:w="2900"/>
          </w:tcPr>
          <w:p>
            <w:pPr>
              <w:spacing w:before="0" w:after="0" w:line="252" w:lineRule="auto"/>
              <w:jc w:val="left"/>
            </w:pPr>
            <w:r>
              <w:rPr>
                <w:rFonts w:ascii="Calibri" w:hAnsi="Calibri"/>
                <w:b w:val="0"/>
                <w:sz w:val="18"/>
              </w:rPr>
              <w:t>Manifest; tables; blobs; profiles; validation bundle.</w:t>
            </w:r>
          </w:p>
        </w:tc>
        <w:tc>
          <w:tcPr>
            <w:tcW w:type="dxa" w:w="2160"/>
          </w:tcPr>
          <w:p>
            <w:pPr>
              <w:spacing w:before="0" w:after="0" w:line="252" w:lineRule="auto"/>
              <w:jc w:val="left"/>
            </w:pPr>
            <w:r>
              <w:rPr>
                <w:rFonts w:ascii="Calibri" w:hAnsi="Calibri"/>
                <w:b w:val="0"/>
                <w:sz w:val="18"/>
              </w:rPr>
              <w:t>Alternative package transport or compression.</w:t>
            </w:r>
          </w:p>
        </w:tc>
      </w:tr>
      <w:tr>
        <w:tc>
          <w:tcPr>
            <w:tcW w:type="dxa" w:w="1450"/>
          </w:tcPr>
          <w:p>
            <w:pPr>
              <w:spacing w:before="0" w:after="0" w:line="252" w:lineRule="auto"/>
              <w:jc w:val="left"/>
            </w:pPr>
            <w:r>
              <w:rPr>
                <w:rFonts w:ascii="Calibri" w:hAnsi="Calibri"/>
                <w:b w:val="0"/>
                <w:sz w:val="18"/>
              </w:rPr>
              <w:t>Query Core</w:t>
            </w:r>
          </w:p>
        </w:tc>
        <w:tc>
          <w:tcPr>
            <w:tcW w:type="dxa" w:w="2850"/>
          </w:tcPr>
          <w:p>
            <w:pPr>
              <w:spacing w:before="0" w:after="0" w:line="252" w:lineRule="auto"/>
              <w:jc w:val="left"/>
            </w:pPr>
            <w:r>
              <w:rPr>
                <w:rFonts w:ascii="Calibri" w:hAnsi="Calibri"/>
                <w:b w:val="0"/>
                <w:sz w:val="18"/>
              </w:rPr>
              <w:t>Typed read-only retrieval, filtering, record, graph, and evidence queries.</w:t>
            </w:r>
          </w:p>
        </w:tc>
        <w:tc>
          <w:tcPr>
            <w:tcW w:type="dxa" w:w="2900"/>
          </w:tcPr>
          <w:p>
            <w:pPr>
              <w:spacing w:before="0" w:after="0" w:line="252" w:lineRule="auto"/>
              <w:jc w:val="left"/>
            </w:pPr>
            <w:r>
              <w:rPr>
                <w:rFonts w:ascii="Calibri" w:hAnsi="Calibri"/>
                <w:b w:val="0"/>
                <w:sz w:val="18"/>
              </w:rPr>
              <w:t>Release reader; filter evaluator; selected index adapter.</w:t>
            </w:r>
          </w:p>
        </w:tc>
        <w:tc>
          <w:tcPr>
            <w:tcW w:type="dxa" w:w="2160"/>
          </w:tcPr>
          <w:p>
            <w:pPr>
              <w:spacing w:before="0" w:after="0" w:line="252" w:lineRule="auto"/>
              <w:jc w:val="left"/>
            </w:pPr>
            <w:r>
              <w:rPr>
                <w:rFonts w:ascii="Calibri" w:hAnsi="Calibri"/>
                <w:b w:val="0"/>
                <w:sz w:val="18"/>
              </w:rPr>
              <w:t>Federated catalog query after ADR.</w:t>
            </w:r>
          </w:p>
        </w:tc>
      </w:tr>
      <w:tr>
        <w:tc>
          <w:tcPr>
            <w:tcW w:type="dxa" w:w="1450"/>
          </w:tcPr>
          <w:p>
            <w:pPr>
              <w:spacing w:before="0" w:after="0" w:line="252" w:lineRule="auto"/>
              <w:jc w:val="left"/>
            </w:pPr>
            <w:r>
              <w:rPr>
                <w:rFonts w:ascii="Calibri" w:hAnsi="Calibri"/>
                <w:b w:val="0"/>
                <w:sz w:val="18"/>
              </w:rPr>
              <w:t>Explorer</w:t>
            </w:r>
          </w:p>
        </w:tc>
        <w:tc>
          <w:tcPr>
            <w:tcW w:type="dxa" w:w="2850"/>
          </w:tcPr>
          <w:p>
            <w:pPr>
              <w:spacing w:before="0" w:after="0" w:line="252" w:lineRule="auto"/>
              <w:jc w:val="left"/>
            </w:pPr>
            <w:r>
              <w:rPr>
                <w:rFonts w:ascii="Calibri" w:hAnsi="Calibri"/>
                <w:b w:val="0"/>
                <w:sz w:val="18"/>
              </w:rPr>
              <w:t>Human-readable exploration and evidence display.</w:t>
            </w:r>
          </w:p>
        </w:tc>
        <w:tc>
          <w:tcPr>
            <w:tcW w:type="dxa" w:w="2900"/>
          </w:tcPr>
          <w:p>
            <w:pPr>
              <w:spacing w:before="0" w:after="0" w:line="252" w:lineRule="auto"/>
              <w:jc w:val="left"/>
            </w:pPr>
            <w:r>
              <w:rPr>
                <w:rFonts w:ascii="Calibri" w:hAnsi="Calibri"/>
                <w:b w:val="0"/>
                <w:sz w:val="18"/>
              </w:rPr>
              <w:t>Query Core or REST; projection artifacts.</w:t>
            </w:r>
          </w:p>
        </w:tc>
        <w:tc>
          <w:tcPr>
            <w:tcW w:type="dxa" w:w="2160"/>
          </w:tcPr>
          <w:p>
            <w:pPr>
              <w:spacing w:before="0" w:after="0" w:line="252" w:lineRule="auto"/>
              <w:jc w:val="left"/>
            </w:pPr>
            <w:r>
              <w:rPr>
                <w:rFonts w:ascii="Calibri" w:hAnsi="Calibri"/>
                <w:b w:val="0"/>
                <w:sz w:val="18"/>
              </w:rPr>
              <w:t>Visualization plugins and accessibility modes.</w:t>
            </w:r>
          </w:p>
        </w:tc>
      </w:tr>
      <w:tr>
        <w:tc>
          <w:tcPr>
            <w:tcW w:type="dxa" w:w="1450"/>
          </w:tcPr>
          <w:p>
            <w:pPr>
              <w:spacing w:before="0" w:after="0" w:line="252" w:lineRule="auto"/>
              <w:jc w:val="left"/>
            </w:pPr>
            <w:r>
              <w:rPr>
                <w:rFonts w:ascii="Calibri" w:hAnsi="Calibri"/>
                <w:b w:val="0"/>
                <w:sz w:val="18"/>
              </w:rPr>
              <w:t>SDK/REST</w:t>
            </w:r>
          </w:p>
        </w:tc>
        <w:tc>
          <w:tcPr>
            <w:tcW w:type="dxa" w:w="2850"/>
          </w:tcPr>
          <w:p>
            <w:pPr>
              <w:spacing w:before="0" w:after="0" w:line="252" w:lineRule="auto"/>
              <w:jc w:val="left"/>
            </w:pPr>
            <w:r>
              <w:rPr>
                <w:rFonts w:ascii="Calibri" w:hAnsi="Calibri"/>
                <w:b w:val="0"/>
                <w:sz w:val="18"/>
              </w:rPr>
              <w:t>Programmatic and service adapters over Query Core.</w:t>
            </w:r>
          </w:p>
        </w:tc>
        <w:tc>
          <w:tcPr>
            <w:tcW w:type="dxa" w:w="2900"/>
          </w:tcPr>
          <w:p>
            <w:pPr>
              <w:spacing w:before="0" w:after="0" w:line="252" w:lineRule="auto"/>
              <w:jc w:val="left"/>
            </w:pPr>
            <w:r>
              <w:rPr>
                <w:rFonts w:ascii="Calibri" w:hAnsi="Calibri"/>
                <w:b w:val="0"/>
                <w:sz w:val="18"/>
              </w:rPr>
              <w:t>Typed contracts; OpenAPI; auth only in service mode.</w:t>
            </w:r>
          </w:p>
        </w:tc>
        <w:tc>
          <w:tcPr>
            <w:tcW w:type="dxa" w:w="2160"/>
          </w:tcPr>
          <w:p>
            <w:pPr>
              <w:spacing w:before="0" w:after="0" w:line="252" w:lineRule="auto"/>
              <w:jc w:val="left"/>
            </w:pPr>
            <w:r>
              <w:rPr>
                <w:rFonts w:ascii="Calibri" w:hAnsi="Calibri"/>
                <w:b w:val="0"/>
                <w:sz w:val="18"/>
              </w:rPr>
              <w:t>Language SDKs; pagination and streaming adapters.</w:t>
            </w:r>
          </w:p>
        </w:tc>
      </w:tr>
    </w:tbl>
    <w:p>
      <w:pPr>
        <w:spacing w:after="40"/>
      </w:pPr>
    </w:p>
    <w:p>
      <w:pPr>
        <w:pStyle w:val="Heading2"/>
      </w:pPr>
      <w:r>
        <w:rPr>
          <w:rFonts w:ascii="Calibri" w:hAnsi="Calibri"/>
          <w:b/>
          <w:color w:val="2E74B5"/>
          <w:sz w:val="26"/>
        </w:rPr>
        <w:t>Plugin architecture</w:t>
      </w:r>
    </w:p>
    <w:p>
      <w:pPr>
        <w:keepLines w:val="0"/>
      </w:pPr>
      <w:r>
        <w:rPr>
          <w:rFonts w:ascii="Calibri" w:hAnsi="Calibri"/>
          <w:i w:val="0"/>
          <w:sz w:val="22"/>
        </w:rPr>
        <w:t>A plugin is an implementation extension, not a change to scientific semantics. Every plugin MUST declare interface version, capabilities, deterministic behavior or known non-determinism, configuration schema, input/output media types, license, and compatibility range. A release manifest records the selected plugin identity and configuration digest. Plugins MUST NOT introduce undeclared fields into canonical contracts.</w:t>
      </w:r>
    </w:p>
    <w:tbl>
      <w:tblPr>
        <w:tblStyle w:val="TableGrid"/>
        <w:tblW w:type="dxa" w:w="9360"/>
        <w:jc w:val="left"/>
        <w:tblLayout w:type="fixed"/>
        <w:tblLook w:firstColumn="1" w:firstRow="1" w:lastColumn="0" w:lastRow="0" w:noHBand="0" w:noVBand="1" w:val="04A0"/>
        <w:tblInd w:w="120" w:type="dxa"/>
      </w:tblPr>
      <w:tblGrid>
        <w:gridCol w:w="1750"/>
        <w:gridCol w:w="4800"/>
        <w:gridCol w:w="28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Plugin type</w:t>
            </w:r>
          </w:p>
        </w:tc>
        <w:tc>
          <w:tcPr>
            <w:tcW w:type="dxa" w:w="48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Contract</w:t>
            </w:r>
          </w:p>
        </w:tc>
        <w:tc>
          <w:tcPr>
            <w:tcW w:type="dxa" w:w="2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Isolation / failure behavior</w:t>
            </w:r>
          </w:p>
        </w:tc>
      </w:tr>
      <w:tr>
        <w:tc>
          <w:tcPr>
            <w:tcW w:type="dxa" w:w="1750"/>
          </w:tcPr>
          <w:p>
            <w:pPr>
              <w:spacing w:before="0" w:after="0" w:line="252" w:lineRule="auto"/>
              <w:jc w:val="left"/>
            </w:pPr>
            <w:r>
              <w:rPr>
                <w:rFonts w:ascii="Calibri" w:hAnsi="Calibri"/>
                <w:b w:val="0"/>
                <w:sz w:val="18"/>
              </w:rPr>
              <w:t>Ingest adapter</w:t>
            </w:r>
          </w:p>
        </w:tc>
        <w:tc>
          <w:tcPr>
            <w:tcW w:type="dxa" w:w="4800"/>
          </w:tcPr>
          <w:p>
            <w:pPr>
              <w:spacing w:before="0" w:after="0" w:line="252" w:lineRule="auto"/>
              <w:jc w:val="left"/>
            </w:pPr>
            <w:r>
              <w:rPr>
                <w:rFonts w:ascii="Calibri" w:hAnsi="Calibri"/>
                <w:b w:val="0"/>
                <w:sz w:val="18"/>
              </w:rPr>
              <w:t>Source inventory -&gt; raw record manifest + provenance.</w:t>
            </w:r>
          </w:p>
        </w:tc>
        <w:tc>
          <w:tcPr>
            <w:tcW w:type="dxa" w:w="2810"/>
          </w:tcPr>
          <w:p>
            <w:pPr>
              <w:spacing w:before="0" w:after="0" w:line="252" w:lineRule="auto"/>
              <w:jc w:val="left"/>
            </w:pPr>
            <w:r>
              <w:rPr>
                <w:rFonts w:ascii="Calibri" w:hAnsi="Calibri"/>
                <w:b w:val="0"/>
                <w:sz w:val="18"/>
              </w:rPr>
              <w:t>Failure creates acquisition error record; no partial silent inclusion.</w:t>
            </w:r>
          </w:p>
        </w:tc>
      </w:tr>
      <w:tr>
        <w:tc>
          <w:tcPr>
            <w:tcW w:type="dxa" w:w="1750"/>
          </w:tcPr>
          <w:p>
            <w:pPr>
              <w:spacing w:before="0" w:after="0" w:line="252" w:lineRule="auto"/>
              <w:jc w:val="left"/>
            </w:pPr>
            <w:r>
              <w:rPr>
                <w:rFonts w:ascii="Calibri" w:hAnsi="Calibri"/>
                <w:b w:val="0"/>
                <w:sz w:val="18"/>
              </w:rPr>
              <w:t>Embedding runner</w:t>
            </w:r>
          </w:p>
        </w:tc>
        <w:tc>
          <w:tcPr>
            <w:tcW w:type="dxa" w:w="4800"/>
          </w:tcPr>
          <w:p>
            <w:pPr>
              <w:spacing w:before="0" w:after="0" w:line="252" w:lineRule="auto"/>
              <w:jc w:val="left"/>
            </w:pPr>
            <w:r>
              <w:rPr>
                <w:rFonts w:ascii="Calibri" w:hAnsi="Calibri"/>
                <w:b w:val="0"/>
                <w:sz w:val="18"/>
              </w:rPr>
              <w:t>Eligible record versions + profile -&gt; immutable vector shards + run manifest.</w:t>
            </w:r>
          </w:p>
        </w:tc>
        <w:tc>
          <w:tcPr>
            <w:tcW w:type="dxa" w:w="2810"/>
          </w:tcPr>
          <w:p>
            <w:pPr>
              <w:spacing w:before="0" w:after="0" w:line="252" w:lineRule="auto"/>
              <w:jc w:val="left"/>
            </w:pPr>
            <w:r>
              <w:rPr>
                <w:rFonts w:ascii="Calibri" w:hAnsi="Calibri"/>
                <w:b w:val="0"/>
                <w:sz w:val="18"/>
              </w:rPr>
              <w:t>Failed records are explicit exclusions; runner cannot mutate profile.</w:t>
            </w:r>
          </w:p>
        </w:tc>
      </w:tr>
      <w:tr>
        <w:tc>
          <w:tcPr>
            <w:tcW w:type="dxa" w:w="1750"/>
          </w:tcPr>
          <w:p>
            <w:pPr>
              <w:spacing w:before="0" w:after="0" w:line="252" w:lineRule="auto"/>
              <w:jc w:val="left"/>
            </w:pPr>
            <w:r>
              <w:rPr>
                <w:rFonts w:ascii="Calibri" w:hAnsi="Calibri"/>
                <w:b w:val="0"/>
                <w:sz w:val="18"/>
              </w:rPr>
              <w:t>Annotation provider</w:t>
            </w:r>
          </w:p>
        </w:tc>
        <w:tc>
          <w:tcPr>
            <w:tcW w:type="dxa" w:w="4800"/>
          </w:tcPr>
          <w:p>
            <w:pPr>
              <w:spacing w:before="0" w:after="0" w:line="252" w:lineRule="auto"/>
              <w:jc w:val="left"/>
            </w:pPr>
            <w:r>
              <w:rPr>
                <w:rFonts w:ascii="Calibri" w:hAnsi="Calibri"/>
                <w:b w:val="0"/>
                <w:sz w:val="18"/>
              </w:rPr>
              <w:t>Target -&gt; annotation assertions with source/version/evidence semantics.</w:t>
            </w:r>
          </w:p>
        </w:tc>
        <w:tc>
          <w:tcPr>
            <w:tcW w:type="dxa" w:w="2810"/>
          </w:tcPr>
          <w:p>
            <w:pPr>
              <w:spacing w:before="0" w:after="0" w:line="252" w:lineRule="auto"/>
              <w:jc w:val="left"/>
            </w:pPr>
            <w:r>
              <w:rPr>
                <w:rFonts w:ascii="Calibri" w:hAnsi="Calibri"/>
                <w:b w:val="0"/>
                <w:sz w:val="18"/>
              </w:rPr>
              <w:t>Provider outage is unavailable evidence, not a negative annotation.</w:t>
            </w:r>
          </w:p>
        </w:tc>
      </w:tr>
      <w:tr>
        <w:tc>
          <w:tcPr>
            <w:tcW w:type="dxa" w:w="1750"/>
          </w:tcPr>
          <w:p>
            <w:pPr>
              <w:spacing w:before="0" w:after="0" w:line="252" w:lineRule="auto"/>
              <w:jc w:val="left"/>
            </w:pPr>
            <w:r>
              <w:rPr>
                <w:rFonts w:ascii="Calibri" w:hAnsi="Calibri"/>
                <w:b w:val="0"/>
                <w:sz w:val="18"/>
              </w:rPr>
              <w:t>Index adapter</w:t>
            </w:r>
          </w:p>
        </w:tc>
        <w:tc>
          <w:tcPr>
            <w:tcW w:type="dxa" w:w="4800"/>
          </w:tcPr>
          <w:p>
            <w:pPr>
              <w:spacing w:before="0" w:after="0" w:line="252" w:lineRule="auto"/>
              <w:jc w:val="left"/>
            </w:pPr>
            <w:r>
              <w:rPr>
                <w:rFonts w:ascii="Calibri" w:hAnsi="Calibri"/>
                <w:b w:val="0"/>
                <w:sz w:val="18"/>
              </w:rPr>
              <w:t>Embedding instances -&gt; derived index artifact + recall/build metadata.</w:t>
            </w:r>
          </w:p>
        </w:tc>
        <w:tc>
          <w:tcPr>
            <w:tcW w:type="dxa" w:w="2810"/>
          </w:tcPr>
          <w:p>
            <w:pPr>
              <w:spacing w:before="0" w:after="0" w:line="252" w:lineRule="auto"/>
              <w:jc w:val="left"/>
            </w:pPr>
            <w:r>
              <w:rPr>
                <w:rFonts w:ascii="Calibri" w:hAnsi="Calibri"/>
                <w:b w:val="0"/>
                <w:sz w:val="18"/>
              </w:rPr>
              <w:t>Index failure does not invalidate canonical vectors; exact fallback remains possible for small tests.</w:t>
            </w:r>
          </w:p>
        </w:tc>
      </w:tr>
      <w:tr>
        <w:tc>
          <w:tcPr>
            <w:tcW w:type="dxa" w:w="1750"/>
          </w:tcPr>
          <w:p>
            <w:pPr>
              <w:spacing w:before="0" w:after="0" w:line="252" w:lineRule="auto"/>
              <w:jc w:val="left"/>
            </w:pPr>
            <w:r>
              <w:rPr>
                <w:rFonts w:ascii="Calibri" w:hAnsi="Calibri"/>
                <w:b w:val="0"/>
                <w:sz w:val="18"/>
              </w:rPr>
              <w:t>Visualization adapter</w:t>
            </w:r>
          </w:p>
        </w:tc>
        <w:tc>
          <w:tcPr>
            <w:tcW w:type="dxa" w:w="4800"/>
          </w:tcPr>
          <w:p>
            <w:pPr>
              <w:spacing w:before="0" w:after="0" w:line="252" w:lineRule="auto"/>
              <w:jc w:val="left"/>
            </w:pPr>
            <w:r>
              <w:rPr>
                <w:rFonts w:ascii="Calibri" w:hAnsi="Calibri"/>
                <w:b w:val="0"/>
                <w:sz w:val="18"/>
              </w:rPr>
              <w:t>Declared derived artifacts -&gt; client view data.</w:t>
            </w:r>
          </w:p>
        </w:tc>
        <w:tc>
          <w:tcPr>
            <w:tcW w:type="dxa" w:w="2810"/>
          </w:tcPr>
          <w:p>
            <w:pPr>
              <w:spacing w:before="0" w:after="0" w:line="252" w:lineRule="auto"/>
              <w:jc w:val="left"/>
            </w:pPr>
            <w:r>
              <w:rPr>
                <w:rFonts w:ascii="Calibri" w:hAnsi="Calibri"/>
                <w:b w:val="0"/>
                <w:sz w:val="18"/>
              </w:rPr>
              <w:t>Cannot write claims or canonical data.</w:t>
            </w:r>
          </w:p>
        </w:tc>
      </w:tr>
      <w:tr>
        <w:tc>
          <w:tcPr>
            <w:tcW w:type="dxa" w:w="1750"/>
          </w:tcPr>
          <w:p>
            <w:pPr>
              <w:spacing w:before="0" w:after="0" w:line="252" w:lineRule="auto"/>
              <w:jc w:val="left"/>
            </w:pPr>
            <w:r>
              <w:rPr>
                <w:rFonts w:ascii="Calibri" w:hAnsi="Calibri"/>
                <w:b w:val="0"/>
                <w:sz w:val="18"/>
              </w:rPr>
              <w:t>Storage adapter</w:t>
            </w:r>
          </w:p>
        </w:tc>
        <w:tc>
          <w:tcPr>
            <w:tcW w:type="dxa" w:w="4800"/>
          </w:tcPr>
          <w:p>
            <w:pPr>
              <w:spacing w:before="0" w:after="0" w:line="252" w:lineRule="auto"/>
              <w:jc w:val="left"/>
            </w:pPr>
            <w:r>
              <w:rPr>
                <w:rFonts w:ascii="Calibri" w:hAnsi="Calibri"/>
                <w:b w:val="0"/>
                <w:sz w:val="18"/>
              </w:rPr>
              <w:t>Contract tables/blobs -&gt; durable storage representation.</w:t>
            </w:r>
          </w:p>
        </w:tc>
        <w:tc>
          <w:tcPr>
            <w:tcW w:type="dxa" w:w="2810"/>
          </w:tcPr>
          <w:p>
            <w:pPr>
              <w:spacing w:before="0" w:after="0" w:line="252" w:lineRule="auto"/>
              <w:jc w:val="left"/>
            </w:pPr>
            <w:r>
              <w:rPr>
                <w:rFonts w:ascii="Calibri" w:hAnsi="Calibri"/>
                <w:b w:val="0"/>
                <w:sz w:val="18"/>
              </w:rPr>
              <w:t>Must pass reader round-trip and integrity tests.</w:t>
            </w:r>
          </w:p>
        </w:tc>
      </w:tr>
    </w:tbl>
    <w:p>
      <w:pPr>
        <w:spacing w:after="40"/>
      </w:pPr>
    </w:p>
    <w:p>
      <w:pPr>
        <w:pStyle w:val="Heading1"/>
        <w:pageBreakBefore/>
      </w:pPr>
      <w:r>
        <w:rPr>
          <w:rFonts w:ascii="Calibri" w:hAnsi="Calibri"/>
          <w:b/>
          <w:color w:val="2E74B5"/>
          <w:sz w:val="32"/>
        </w:rPr>
        <w:t>6. Atlas</w:t>
      </w:r>
    </w:p>
    <w:p>
      <w:pPr>
        <w:pStyle w:val="Heading2"/>
      </w:pPr>
      <w:r>
        <w:rPr>
          <w:rFonts w:ascii="Calibri" w:hAnsi="Calibri"/>
          <w:b/>
          <w:color w:val="2E74B5"/>
          <w:sz w:val="26"/>
        </w:rPr>
        <w:t>Why</w:t>
      </w:r>
    </w:p>
    <w:p>
      <w:pPr>
        <w:keepLines w:val="0"/>
      </w:pPr>
      <w:r>
        <w:rPr>
          <w:rFonts w:ascii="Calibri" w:hAnsi="Calibri"/>
          <w:i w:val="0"/>
          <w:sz w:val="22"/>
        </w:rPr>
        <w:t>A mutable database is difficult to cite, reproduce, inspect, or correct without rewriting history. The Atlas Release gives users a durable object with a stable citation target.</w:t>
      </w:r>
    </w:p>
    <w:p>
      <w:pPr>
        <w:pStyle w:val="Heading2"/>
      </w:pPr>
      <w:r>
        <w:rPr>
          <w:rFonts w:ascii="Calibri" w:hAnsi="Calibri"/>
          <w:b/>
          <w:color w:val="2E74B5"/>
          <w:sz w:val="26"/>
        </w:rPr>
        <w:t>What</w:t>
      </w:r>
    </w:p>
    <w:p>
      <w:pPr>
        <w:keepLines w:val="0"/>
      </w:pPr>
      <w:r>
        <w:rPr>
          <w:rFonts w:ascii="Calibri" w:hAnsi="Calibri"/>
          <w:i w:val="0"/>
          <w:sz w:val="22"/>
        </w:rPr>
        <w:t>An Atlas Release is a frozen, manifest-verified package containing canonical records and provenance, profile declarations and vectors, optional derived artifacts, validation evidence, licenses, and citation metadata. A release can be Draft, Candidate, Published, Superseded, or Withdrawn.</w:t>
      </w:r>
    </w:p>
    <w:p>
      <w:pPr>
        <w:pStyle w:val="Heading2"/>
      </w:pPr>
      <w:r>
        <w:rPr>
          <w:rFonts w:ascii="Calibri" w:hAnsi="Calibri"/>
          <w:b/>
          <w:color w:val="2E74B5"/>
          <w:sz w:val="26"/>
        </w:rPr>
        <w:t>How</w:t>
      </w:r>
    </w:p>
    <w:p>
      <w:pPr>
        <w:keepLines w:val="0"/>
      </w:pPr>
      <w:r>
        <w:rPr>
          <w:rFonts w:ascii="Calibri" w:hAnsi="Calibri"/>
          <w:i w:val="0"/>
          <w:sz w:val="22"/>
        </w:rPr>
        <w:t>A release is built in a staging area, validated as a candidate, then archived as a published immutable snapshot. A correction creates a successor release and documents the relation. Delta packs are distribution optimizations, not independent scientific releases unless they themselves meet release requirements.</w:t>
      </w:r>
    </w:p>
    <w:p>
      <w:pPr>
        <w:pStyle w:val="Heading2"/>
      </w:pPr>
      <w:r>
        <w:rPr>
          <w:rFonts w:ascii="Calibri" w:hAnsi="Calibri"/>
          <w:b/>
          <w:color w:val="2E74B5"/>
          <w:sz w:val="26"/>
        </w:rPr>
        <w:t>Future considerations</w:t>
      </w:r>
    </w:p>
    <w:p>
      <w:pPr>
        <w:keepLines w:val="0"/>
      </w:pPr>
      <w:r>
        <w:rPr>
          <w:rFonts w:ascii="Calibri" w:hAnsi="Calibri"/>
          <w:i w:val="0"/>
          <w:sz w:val="22"/>
        </w:rPr>
        <w:t>First release scope, inclusion thresholds, legal permissions, citation authority, and correction/withdrawal roles remain open questions. A DOI or equivalent persistent identifier is minted only after the archive rehearsal and approval gate pass.</w:t>
      </w:r>
    </w:p>
    <w:tbl>
      <w:tblPr>
        <w:tblStyle w:val="TableGrid"/>
        <w:tblW w:type="dxa" w:w="9360"/>
        <w:jc w:val="left"/>
        <w:tblLayout w:type="fixed"/>
        <w:tblLook w:firstColumn="1" w:firstRow="1" w:lastColumn="0" w:lastRow="0" w:noHBand="0" w:noVBand="1" w:val="04A0"/>
        <w:tblInd w:w="120" w:type="dxa"/>
      </w:tblPr>
      <w:tblGrid>
        <w:gridCol w:w="1550"/>
        <w:gridCol w:w="4900"/>
        <w:gridCol w:w="2910"/>
      </w:tblGrid>
      <w:tr>
        <w:trPr>
          <w:tblHeader w:val="true"/>
        </w:trPr>
        <w:tc>
          <w:tcPr>
            <w:tcW w:type="dxa" w:w="1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Component</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contents</w:t>
            </w:r>
          </w:p>
        </w:tc>
        <w:tc>
          <w:tcPr>
            <w:tcW w:type="dxa" w:w="29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Rationale</w:t>
            </w:r>
          </w:p>
        </w:tc>
      </w:tr>
      <w:tr>
        <w:tc>
          <w:tcPr>
            <w:tcW w:type="dxa" w:w="1550"/>
          </w:tcPr>
          <w:p>
            <w:pPr>
              <w:spacing w:before="0" w:after="0" w:line="252" w:lineRule="auto"/>
              <w:jc w:val="left"/>
            </w:pPr>
            <w:r>
              <w:rPr>
                <w:rFonts w:ascii="Calibri" w:hAnsi="Calibri"/>
                <w:b w:val="0"/>
                <w:sz w:val="18"/>
              </w:rPr>
              <w:t>release.json</w:t>
            </w:r>
          </w:p>
        </w:tc>
        <w:tc>
          <w:tcPr>
            <w:tcW w:type="dxa" w:w="4900"/>
          </w:tcPr>
          <w:p>
            <w:pPr>
              <w:spacing w:before="0" w:after="0" w:line="252" w:lineRule="auto"/>
              <w:jc w:val="left"/>
            </w:pPr>
            <w:r>
              <w:rPr>
                <w:rFonts w:ascii="Calibri" w:hAnsi="Calibri"/>
                <w:b w:val="0"/>
                <w:sz w:val="18"/>
              </w:rPr>
              <w:t>Release UUID/name, schema, scope, state, creation time, base release, licenses, citation, checksums.</w:t>
            </w:r>
          </w:p>
        </w:tc>
        <w:tc>
          <w:tcPr>
            <w:tcW w:type="dxa" w:w="2910"/>
          </w:tcPr>
          <w:p>
            <w:pPr>
              <w:spacing w:before="0" w:after="0" w:line="252" w:lineRule="auto"/>
              <w:jc w:val="left"/>
            </w:pPr>
            <w:r>
              <w:rPr>
                <w:rFonts w:ascii="Calibri" w:hAnsi="Calibri"/>
                <w:b w:val="0"/>
                <w:sz w:val="18"/>
              </w:rPr>
              <w:t>Pins the citable object and independent verification.</w:t>
            </w:r>
          </w:p>
        </w:tc>
      </w:tr>
      <w:tr>
        <w:tc>
          <w:tcPr>
            <w:tcW w:type="dxa" w:w="1550"/>
          </w:tcPr>
          <w:p>
            <w:pPr>
              <w:spacing w:before="0" w:after="0" w:line="252" w:lineRule="auto"/>
              <w:jc w:val="left"/>
            </w:pPr>
            <w:r>
              <w:rPr>
                <w:rFonts w:ascii="Calibri" w:hAnsi="Calibri"/>
                <w:b w:val="0"/>
                <w:sz w:val="18"/>
              </w:rPr>
              <w:t>records/</w:t>
            </w:r>
          </w:p>
        </w:tc>
        <w:tc>
          <w:tcPr>
            <w:tcW w:type="dxa" w:w="4900"/>
          </w:tcPr>
          <w:p>
            <w:pPr>
              <w:spacing w:before="0" w:after="0" w:line="252" w:lineRule="auto"/>
              <w:jc w:val="left"/>
            </w:pPr>
            <w:r>
              <w:rPr>
                <w:rFonts w:ascii="Calibri" w:hAnsi="Calibri"/>
                <w:b w:val="0"/>
                <w:sz w:val="18"/>
              </w:rPr>
              <w:t>Record versions, entities, aliases, provenance, metadata, annotations, relations, evidence.</w:t>
            </w:r>
          </w:p>
        </w:tc>
        <w:tc>
          <w:tcPr>
            <w:tcW w:type="dxa" w:w="2910"/>
          </w:tcPr>
          <w:p>
            <w:pPr>
              <w:spacing w:before="0" w:after="0" w:line="252" w:lineRule="auto"/>
              <w:jc w:val="left"/>
            </w:pPr>
            <w:r>
              <w:rPr>
                <w:rFonts w:ascii="Calibri" w:hAnsi="Calibri"/>
                <w:b w:val="0"/>
                <w:sz w:val="18"/>
              </w:rPr>
              <w:t>Keeps canonical facts and assertions auditable.</w:t>
            </w:r>
          </w:p>
        </w:tc>
      </w:tr>
      <w:tr>
        <w:tc>
          <w:tcPr>
            <w:tcW w:type="dxa" w:w="1550"/>
          </w:tcPr>
          <w:p>
            <w:pPr>
              <w:spacing w:before="0" w:after="0" w:line="252" w:lineRule="auto"/>
              <w:jc w:val="left"/>
            </w:pPr>
            <w:r>
              <w:rPr>
                <w:rFonts w:ascii="Calibri" w:hAnsi="Calibri"/>
                <w:b w:val="0"/>
                <w:sz w:val="18"/>
              </w:rPr>
              <w:t>blobs/</w:t>
            </w:r>
          </w:p>
        </w:tc>
        <w:tc>
          <w:tcPr>
            <w:tcW w:type="dxa" w:w="4900"/>
          </w:tcPr>
          <w:p>
            <w:pPr>
              <w:spacing w:before="0" w:after="0" w:line="252" w:lineRule="auto"/>
              <w:jc w:val="left"/>
            </w:pPr>
            <w:r>
              <w:rPr>
                <w:rFonts w:ascii="Calibri" w:hAnsi="Calibri"/>
                <w:b w:val="0"/>
                <w:sz w:val="18"/>
              </w:rPr>
              <w:t>Content-addressed sequence payloads and large evidence files.</w:t>
            </w:r>
          </w:p>
        </w:tc>
        <w:tc>
          <w:tcPr>
            <w:tcW w:type="dxa" w:w="2910"/>
          </w:tcPr>
          <w:p>
            <w:pPr>
              <w:spacing w:before="0" w:after="0" w:line="252" w:lineRule="auto"/>
              <w:jc w:val="left"/>
            </w:pPr>
            <w:r>
              <w:rPr>
                <w:rFonts w:ascii="Calibri" w:hAnsi="Calibri"/>
                <w:b w:val="0"/>
                <w:sz w:val="18"/>
              </w:rPr>
              <w:t>Avoids duplication and verifies integrity.</w:t>
            </w:r>
          </w:p>
        </w:tc>
      </w:tr>
      <w:tr>
        <w:tc>
          <w:tcPr>
            <w:tcW w:type="dxa" w:w="1550"/>
          </w:tcPr>
          <w:p>
            <w:pPr>
              <w:spacing w:before="0" w:after="0" w:line="252" w:lineRule="auto"/>
              <w:jc w:val="left"/>
            </w:pPr>
            <w:r>
              <w:rPr>
                <w:rFonts w:ascii="Calibri" w:hAnsi="Calibri"/>
                <w:b w:val="0"/>
                <w:sz w:val="18"/>
              </w:rPr>
              <w:t>profiles/</w:t>
            </w:r>
          </w:p>
        </w:tc>
        <w:tc>
          <w:tcPr>
            <w:tcW w:type="dxa" w:w="4900"/>
          </w:tcPr>
          <w:p>
            <w:pPr>
              <w:spacing w:before="0" w:after="0" w:line="252" w:lineRule="auto"/>
              <w:jc w:val="left"/>
            </w:pPr>
            <w:r>
              <w:rPr>
                <w:rFonts w:ascii="Calibri" w:hAnsi="Calibri"/>
                <w:b w:val="0"/>
                <w:sz w:val="18"/>
              </w:rPr>
              <w:t>Embedding profile declarations and vector shard inventory.</w:t>
            </w:r>
          </w:p>
        </w:tc>
        <w:tc>
          <w:tcPr>
            <w:tcW w:type="dxa" w:w="2910"/>
          </w:tcPr>
          <w:p>
            <w:pPr>
              <w:spacing w:before="0" w:after="0" w:line="252" w:lineRule="auto"/>
              <w:jc w:val="left"/>
            </w:pPr>
            <w:r>
              <w:rPr>
                <w:rFonts w:ascii="Calibri" w:hAnsi="Calibri"/>
                <w:b w:val="0"/>
                <w:sz w:val="18"/>
              </w:rPr>
              <w:t>Preserves representation meaning across models.</w:t>
            </w:r>
          </w:p>
        </w:tc>
      </w:tr>
      <w:tr>
        <w:tc>
          <w:tcPr>
            <w:tcW w:type="dxa" w:w="1550"/>
          </w:tcPr>
          <w:p>
            <w:pPr>
              <w:spacing w:before="0" w:after="0" w:line="252" w:lineRule="auto"/>
              <w:jc w:val="left"/>
            </w:pPr>
            <w:r>
              <w:rPr>
                <w:rFonts w:ascii="Calibri" w:hAnsi="Calibri"/>
                <w:b w:val="0"/>
                <w:sz w:val="18"/>
              </w:rPr>
              <w:t>derived/</w:t>
            </w:r>
          </w:p>
        </w:tc>
        <w:tc>
          <w:tcPr>
            <w:tcW w:type="dxa" w:w="4900"/>
          </w:tcPr>
          <w:p>
            <w:pPr>
              <w:spacing w:before="0" w:after="0" w:line="252" w:lineRule="auto"/>
              <w:jc w:val="left"/>
            </w:pPr>
            <w:r>
              <w:rPr>
                <w:rFonts w:ascii="Calibri" w:hAnsi="Calibri"/>
                <w:b w:val="0"/>
                <w:sz w:val="18"/>
              </w:rPr>
              <w:t>Indexes, neighbours, graphs, clusters, projections, and derivation manifests.</w:t>
            </w:r>
          </w:p>
        </w:tc>
        <w:tc>
          <w:tcPr>
            <w:tcW w:type="dxa" w:w="2910"/>
          </w:tcPr>
          <w:p>
            <w:pPr>
              <w:spacing w:before="0" w:after="0" w:line="252" w:lineRule="auto"/>
              <w:jc w:val="left"/>
            </w:pPr>
            <w:r>
              <w:rPr>
                <w:rFonts w:ascii="Calibri" w:hAnsi="Calibri"/>
                <w:b w:val="0"/>
                <w:sz w:val="18"/>
              </w:rPr>
              <w:t>Allows reproducibility without making derived output canonical biology.</w:t>
            </w:r>
          </w:p>
        </w:tc>
      </w:tr>
      <w:tr>
        <w:tc>
          <w:tcPr>
            <w:tcW w:type="dxa" w:w="1550"/>
          </w:tcPr>
          <w:p>
            <w:pPr>
              <w:spacing w:before="0" w:after="0" w:line="252" w:lineRule="auto"/>
              <w:jc w:val="left"/>
            </w:pPr>
            <w:r>
              <w:rPr>
                <w:rFonts w:ascii="Calibri" w:hAnsi="Calibri"/>
                <w:b w:val="0"/>
                <w:sz w:val="18"/>
              </w:rPr>
              <w:t>validation/</w:t>
            </w:r>
          </w:p>
        </w:tc>
        <w:tc>
          <w:tcPr>
            <w:tcW w:type="dxa" w:w="4900"/>
          </w:tcPr>
          <w:p>
            <w:pPr>
              <w:spacing w:before="0" w:after="0" w:line="252" w:lineRule="auto"/>
              <w:jc w:val="left"/>
            </w:pPr>
            <w:r>
              <w:rPr>
                <w:rFonts w:ascii="Calibri" w:hAnsi="Calibri"/>
                <w:b w:val="0"/>
                <w:sz w:val="18"/>
              </w:rPr>
              <w:t>Study results, fixtures, environment locks, review state, and release checklist.</w:t>
            </w:r>
          </w:p>
        </w:tc>
        <w:tc>
          <w:tcPr>
            <w:tcW w:type="dxa" w:w="2910"/>
          </w:tcPr>
          <w:p>
            <w:pPr>
              <w:spacing w:before="0" w:after="0" w:line="252" w:lineRule="auto"/>
              <w:jc w:val="left"/>
            </w:pPr>
            <w:r>
              <w:rPr>
                <w:rFonts w:ascii="Calibri" w:hAnsi="Calibri"/>
                <w:b w:val="0"/>
                <w:sz w:val="18"/>
              </w:rPr>
              <w:t>Separates evidence from aspiration.</w:t>
            </w:r>
          </w:p>
        </w:tc>
      </w:tr>
    </w:tbl>
    <w:p>
      <w:pPr>
        <w:spacing w:after="40"/>
      </w:pPr>
    </w:p>
    <w:p>
      <w:pPr>
        <w:pStyle w:val="Heading1"/>
        <w:pageBreakBefore/>
      </w:pPr>
      <w:r>
        <w:rPr>
          <w:rFonts w:ascii="Calibri" w:hAnsi="Calibri"/>
          <w:b/>
          <w:color w:val="2E74B5"/>
          <w:sz w:val="32"/>
        </w:rPr>
        <w:t>7. Knowledge Graph</w:t>
      </w:r>
    </w:p>
    <w:p>
      <w:pPr>
        <w:pStyle w:val="Heading2"/>
      </w:pPr>
      <w:r>
        <w:rPr>
          <w:rFonts w:ascii="Calibri" w:hAnsi="Calibri"/>
          <w:b/>
          <w:color w:val="2E74B5"/>
          <w:sz w:val="26"/>
        </w:rPr>
        <w:t>Why</w:t>
      </w:r>
    </w:p>
    <w:p>
      <w:pPr>
        <w:keepLines w:val="0"/>
      </w:pPr>
      <w:r>
        <w:rPr>
          <w:rFonts w:ascii="Calibri" w:hAnsi="Calibri"/>
          <w:i w:val="0"/>
          <w:sz w:val="22"/>
        </w:rPr>
        <w:t>The Atlas must represent relations without requiring a live graph platform. A logical graph enables traversal and future analyses while preserving a portable release form.</w:t>
      </w:r>
    </w:p>
    <w:p>
      <w:pPr>
        <w:pStyle w:val="Heading2"/>
      </w:pPr>
      <w:r>
        <w:rPr>
          <w:rFonts w:ascii="Calibri" w:hAnsi="Calibri"/>
          <w:b/>
          <w:color w:val="2E74B5"/>
          <w:sz w:val="26"/>
        </w:rPr>
        <w:t>What</w:t>
      </w:r>
    </w:p>
    <w:p>
      <w:pPr>
        <w:keepLines w:val="0"/>
      </w:pPr>
      <w:r>
        <w:rPr>
          <w:rFonts w:ascii="Calibri" w:hAnsi="Calibri"/>
          <w:i w:val="0"/>
          <w:sz w:val="22"/>
        </w:rPr>
        <w:t>The Genome Knowledge Graph is the set of typed entities, immutable record versions, aliases, annotation assertions, evidence, and derived relations contained in a release. It is a semantic model, not a mandate to operate a graph database.</w:t>
      </w:r>
    </w:p>
    <w:p>
      <w:pPr>
        <w:pStyle w:val="Heading2"/>
      </w:pPr>
      <w:r>
        <w:rPr>
          <w:rFonts w:ascii="Calibri" w:hAnsi="Calibri"/>
          <w:b/>
          <w:color w:val="2E74B5"/>
          <w:sz w:val="26"/>
        </w:rPr>
        <w:t>How</w:t>
      </w:r>
    </w:p>
    <w:p>
      <w:pPr>
        <w:keepLines w:val="0"/>
      </w:pPr>
      <w:r>
        <w:rPr>
          <w:rFonts w:ascii="Calibri" w:hAnsi="Calibri"/>
          <w:i w:val="0"/>
          <w:sz w:val="22"/>
        </w:rPr>
        <w:t>Normalized Parquet tables are the baseline representation. Record and relation identifiers are stable within their declared scope. Traversal is implemented by Query Core over typed relations and indexes. All derived edges identify their derivation profile, inputs, parameters, score meaning, and artifact digest.</w:t>
      </w:r>
    </w:p>
    <w:p>
      <w:pPr>
        <w:pStyle w:val="Heading2"/>
      </w:pPr>
      <w:r>
        <w:rPr>
          <w:rFonts w:ascii="Calibri" w:hAnsi="Calibri"/>
          <w:b/>
          <w:color w:val="2E74B5"/>
          <w:sz w:val="26"/>
        </w:rPr>
        <w:t>Future considerations</w:t>
      </w:r>
    </w:p>
    <w:p>
      <w:pPr>
        <w:keepLines w:val="0"/>
      </w:pPr>
      <w:r>
        <w:rPr>
          <w:rFonts w:ascii="Calibri" w:hAnsi="Calibri"/>
          <w:i w:val="0"/>
          <w:sz w:val="22"/>
        </w:rPr>
        <w:t>A graph database MAY become a serving cache or analytics backend after it demonstrates a concrete benefit. Future GNN support MUST consume a declared graph view and produce a separate derived profile; it cannot silently modify canonical embedding instances.</w:t>
      </w:r>
    </w:p>
    <w:tbl>
      <w:tblPr>
        <w:tblStyle w:val="TableGrid"/>
        <w:tblW w:type="dxa" w:w="9360"/>
        <w:jc w:val="left"/>
        <w:tblLayout w:type="fixed"/>
        <w:tblLook w:firstColumn="1" w:firstRow="1" w:lastColumn="0" w:lastRow="0" w:noHBand="0" w:noVBand="1" w:val="04A0"/>
        <w:tblInd w:w="120" w:type="dxa"/>
      </w:tblPr>
      <w:tblGrid>
        <w:gridCol w:w="1600"/>
        <w:gridCol w:w="2000"/>
        <w:gridCol w:w="3700"/>
        <w:gridCol w:w="206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Node or edge</w:t>
            </w:r>
          </w:p>
        </w:tc>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Identity / mutability</w:t>
            </w:r>
          </w:p>
        </w:tc>
        <w:tc>
          <w:tcPr>
            <w:tcW w:type="dxa" w:w="3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contract</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Notes</w:t>
            </w:r>
          </w:p>
        </w:tc>
      </w:tr>
      <w:tr>
        <w:tc>
          <w:tcPr>
            <w:tcW w:type="dxa" w:w="1600"/>
          </w:tcPr>
          <w:p>
            <w:pPr>
              <w:spacing w:before="0" w:after="0" w:line="252" w:lineRule="auto"/>
              <w:jc w:val="left"/>
            </w:pPr>
            <w:r>
              <w:rPr>
                <w:rFonts w:ascii="Calibri" w:hAnsi="Calibri"/>
                <w:b w:val="0"/>
                <w:sz w:val="18"/>
              </w:rPr>
              <w:t>AtlasEntity</w:t>
            </w:r>
          </w:p>
        </w:tc>
        <w:tc>
          <w:tcPr>
            <w:tcW w:type="dxa" w:w="2000"/>
          </w:tcPr>
          <w:p>
            <w:pPr>
              <w:spacing w:before="0" w:after="0" w:line="252" w:lineRule="auto"/>
              <w:jc w:val="left"/>
            </w:pPr>
            <w:r>
              <w:rPr>
                <w:rFonts w:ascii="Calibri" w:hAnsi="Calibri"/>
                <w:b w:val="0"/>
                <w:sz w:val="18"/>
              </w:rPr>
              <w:t>Stable UUID; lifecycle assertions append.</w:t>
            </w:r>
          </w:p>
        </w:tc>
        <w:tc>
          <w:tcPr>
            <w:tcW w:type="dxa" w:w="3700"/>
          </w:tcPr>
          <w:p>
            <w:pPr>
              <w:spacing w:before="0" w:after="0" w:line="252" w:lineRule="auto"/>
              <w:jc w:val="left"/>
            </w:pPr>
            <w:r>
              <w:rPr>
                <w:rFonts w:ascii="Calibri" w:hAnsi="Calibri"/>
                <w:b w:val="0"/>
                <w:sz w:val="18"/>
              </w:rPr>
              <w:t>entity_id, created_in, lifecycle state.</w:t>
            </w:r>
          </w:p>
        </w:tc>
        <w:tc>
          <w:tcPr>
            <w:tcW w:type="dxa" w:w="2060"/>
          </w:tcPr>
          <w:p>
            <w:pPr>
              <w:spacing w:before="0" w:after="0" w:line="252" w:lineRule="auto"/>
              <w:jc w:val="left"/>
            </w:pPr>
            <w:r>
              <w:rPr>
                <w:rFonts w:ascii="Calibri" w:hAnsi="Calibri"/>
                <w:b w:val="0"/>
                <w:sz w:val="18"/>
              </w:rPr>
              <w:t>Conceptual handle; not a sequence payload.</w:t>
            </w:r>
          </w:p>
        </w:tc>
      </w:tr>
      <w:tr>
        <w:tc>
          <w:tcPr>
            <w:tcW w:type="dxa" w:w="1600"/>
          </w:tcPr>
          <w:p>
            <w:pPr>
              <w:spacing w:before="0" w:after="0" w:line="252" w:lineRule="auto"/>
              <w:jc w:val="left"/>
            </w:pPr>
            <w:r>
              <w:rPr>
                <w:rFonts w:ascii="Calibri" w:hAnsi="Calibri"/>
                <w:b w:val="0"/>
                <w:sz w:val="18"/>
              </w:rPr>
              <w:t>GenomeRecordVersion</w:t>
            </w:r>
          </w:p>
        </w:tc>
        <w:tc>
          <w:tcPr>
            <w:tcW w:type="dxa" w:w="2000"/>
          </w:tcPr>
          <w:p>
            <w:pPr>
              <w:spacing w:before="0" w:after="0" w:line="252" w:lineRule="auto"/>
              <w:jc w:val="left"/>
            </w:pPr>
            <w:r>
              <w:rPr>
                <w:rFonts w:ascii="Calibri" w:hAnsi="Calibri"/>
                <w:b w:val="0"/>
                <w:sz w:val="18"/>
              </w:rPr>
              <w:t>Immutable UUID + sequence digest.</w:t>
            </w:r>
          </w:p>
        </w:tc>
        <w:tc>
          <w:tcPr>
            <w:tcW w:type="dxa" w:w="3700"/>
          </w:tcPr>
          <w:p>
            <w:pPr>
              <w:spacing w:before="0" w:after="0" w:line="252" w:lineRule="auto"/>
              <w:jc w:val="left"/>
            </w:pPr>
            <w:r>
              <w:rPr>
                <w:rFonts w:ascii="Calibri" w:hAnsi="Calibri"/>
                <w:b w:val="0"/>
                <w:sz w:val="18"/>
              </w:rPr>
              <w:t>record_id, entity_id, sequence_digest, canonicalization_id, source_provenance_id.</w:t>
            </w:r>
          </w:p>
        </w:tc>
        <w:tc>
          <w:tcPr>
            <w:tcW w:type="dxa" w:w="2060"/>
          </w:tcPr>
          <w:p>
            <w:pPr>
              <w:spacing w:before="0" w:after="0" w:line="252" w:lineRule="auto"/>
              <w:jc w:val="left"/>
            </w:pPr>
            <w:r>
              <w:rPr>
                <w:rFonts w:ascii="Calibri" w:hAnsi="Calibri"/>
                <w:b w:val="0"/>
                <w:sz w:val="18"/>
              </w:rPr>
              <w:t>New sequence/canonicalization creates a new version.</w:t>
            </w:r>
          </w:p>
        </w:tc>
      </w:tr>
      <w:tr>
        <w:tc>
          <w:tcPr>
            <w:tcW w:type="dxa" w:w="1600"/>
          </w:tcPr>
          <w:p>
            <w:pPr>
              <w:spacing w:before="0" w:after="0" w:line="252" w:lineRule="auto"/>
              <w:jc w:val="left"/>
            </w:pPr>
            <w:r>
              <w:rPr>
                <w:rFonts w:ascii="Calibri" w:hAnsi="Calibri"/>
                <w:b w:val="0"/>
                <w:sz w:val="18"/>
              </w:rPr>
              <w:t>Alias</w:t>
            </w:r>
          </w:p>
        </w:tc>
        <w:tc>
          <w:tcPr>
            <w:tcW w:type="dxa" w:w="2000"/>
          </w:tcPr>
          <w:p>
            <w:pPr>
              <w:spacing w:before="0" w:after="0" w:line="252" w:lineRule="auto"/>
              <w:jc w:val="left"/>
            </w:pPr>
            <w:r>
              <w:rPr>
                <w:rFonts w:ascii="Calibri" w:hAnsi="Calibri"/>
                <w:b w:val="0"/>
                <w:sz w:val="18"/>
              </w:rPr>
              <w:t>Append-only assertion.</w:t>
            </w:r>
          </w:p>
        </w:tc>
        <w:tc>
          <w:tcPr>
            <w:tcW w:type="dxa" w:w="3700"/>
          </w:tcPr>
          <w:p>
            <w:pPr>
              <w:spacing w:before="0" w:after="0" w:line="252" w:lineRule="auto"/>
              <w:jc w:val="left"/>
            </w:pPr>
            <w:r>
              <w:rPr>
                <w:rFonts w:ascii="Calibri" w:hAnsi="Calibri"/>
                <w:b w:val="0"/>
                <w:sz w:val="18"/>
              </w:rPr>
              <w:t>namespace, external_id, target, source, asserted_at.</w:t>
            </w:r>
          </w:p>
        </w:tc>
        <w:tc>
          <w:tcPr>
            <w:tcW w:type="dxa" w:w="2060"/>
          </w:tcPr>
          <w:p>
            <w:pPr>
              <w:spacing w:before="0" w:after="0" w:line="252" w:lineRule="auto"/>
              <w:jc w:val="left"/>
            </w:pPr>
            <w:r>
              <w:rPr>
                <w:rFonts w:ascii="Calibri" w:hAnsi="Calibri"/>
                <w:b w:val="0"/>
                <w:sz w:val="18"/>
              </w:rPr>
              <w:t>Never the sole scientific identity.</w:t>
            </w:r>
          </w:p>
        </w:tc>
      </w:tr>
      <w:tr>
        <w:tc>
          <w:tcPr>
            <w:tcW w:type="dxa" w:w="1600"/>
          </w:tcPr>
          <w:p>
            <w:pPr>
              <w:spacing w:before="0" w:after="0" w:line="252" w:lineRule="auto"/>
              <w:jc w:val="left"/>
            </w:pPr>
            <w:r>
              <w:rPr>
                <w:rFonts w:ascii="Calibri" w:hAnsi="Calibri"/>
                <w:b w:val="0"/>
                <w:sz w:val="18"/>
              </w:rPr>
              <w:t>AnnotationAssertion</w:t>
            </w:r>
          </w:p>
        </w:tc>
        <w:tc>
          <w:tcPr>
            <w:tcW w:type="dxa" w:w="2000"/>
          </w:tcPr>
          <w:p>
            <w:pPr>
              <w:spacing w:before="0" w:after="0" w:line="252" w:lineRule="auto"/>
              <w:jc w:val="left"/>
            </w:pPr>
            <w:r>
              <w:rPr>
                <w:rFonts w:ascii="Calibri" w:hAnsi="Calibri"/>
                <w:b w:val="0"/>
                <w:sz w:val="18"/>
              </w:rPr>
              <w:t>Immutable; supersession is a relation.</w:t>
            </w:r>
          </w:p>
        </w:tc>
        <w:tc>
          <w:tcPr>
            <w:tcW w:type="dxa" w:w="3700"/>
          </w:tcPr>
          <w:p>
            <w:pPr>
              <w:spacing w:before="0" w:after="0" w:line="252" w:lineRule="auto"/>
              <w:jc w:val="left"/>
            </w:pPr>
            <w:r>
              <w:rPr>
                <w:rFonts w:ascii="Calibri" w:hAnsi="Calibri"/>
                <w:b w:val="0"/>
                <w:sz w:val="18"/>
              </w:rPr>
              <w:t>target, predicate, value, source/version, evidence, confidence semantics.</w:t>
            </w:r>
          </w:p>
        </w:tc>
        <w:tc>
          <w:tcPr>
            <w:tcW w:type="dxa" w:w="2060"/>
          </w:tcPr>
          <w:p>
            <w:pPr>
              <w:spacing w:before="0" w:after="0" w:line="252" w:lineRule="auto"/>
              <w:jc w:val="left"/>
            </w:pPr>
            <w:r>
              <w:rPr>
                <w:rFonts w:ascii="Calibri" w:hAnsi="Calibri"/>
                <w:b w:val="0"/>
                <w:sz w:val="18"/>
              </w:rPr>
              <w:t>Conflicting assertions may coexist.</w:t>
            </w:r>
          </w:p>
        </w:tc>
      </w:tr>
      <w:tr>
        <w:tc>
          <w:tcPr>
            <w:tcW w:type="dxa" w:w="1600"/>
          </w:tcPr>
          <w:p>
            <w:pPr>
              <w:spacing w:before="0" w:after="0" w:line="252" w:lineRule="auto"/>
              <w:jc w:val="left"/>
            </w:pPr>
            <w:r>
              <w:rPr>
                <w:rFonts w:ascii="Calibri" w:hAnsi="Calibri"/>
                <w:b w:val="0"/>
                <w:sz w:val="18"/>
              </w:rPr>
              <w:t>DerivedRelation</w:t>
            </w:r>
          </w:p>
        </w:tc>
        <w:tc>
          <w:tcPr>
            <w:tcW w:type="dxa" w:w="2000"/>
          </w:tcPr>
          <w:p>
            <w:pPr>
              <w:spacing w:before="0" w:after="0" w:line="252" w:lineRule="auto"/>
              <w:jc w:val="left"/>
            </w:pPr>
            <w:r>
              <w:rPr>
                <w:rFonts w:ascii="Calibri" w:hAnsi="Calibri"/>
                <w:b w:val="0"/>
                <w:sz w:val="18"/>
              </w:rPr>
              <w:t>Immutable per release/profile.</w:t>
            </w:r>
          </w:p>
        </w:tc>
        <w:tc>
          <w:tcPr>
            <w:tcW w:type="dxa" w:w="3700"/>
          </w:tcPr>
          <w:p>
            <w:pPr>
              <w:spacing w:before="0" w:after="0" w:line="252" w:lineRule="auto"/>
              <w:jc w:val="left"/>
            </w:pPr>
            <w:r>
              <w:rPr>
                <w:rFonts w:ascii="Calibri" w:hAnsi="Calibri"/>
                <w:b w:val="0"/>
                <w:sz w:val="18"/>
              </w:rPr>
              <w:t>source, target, relation_type, derivation_id, parameters, score.</w:t>
            </w:r>
          </w:p>
        </w:tc>
        <w:tc>
          <w:tcPr>
            <w:tcW w:type="dxa" w:w="2060"/>
          </w:tcPr>
          <w:p>
            <w:pPr>
              <w:spacing w:before="0" w:after="0" w:line="252" w:lineRule="auto"/>
              <w:jc w:val="left"/>
            </w:pPr>
            <w:r>
              <w:rPr>
                <w:rFonts w:ascii="Calibri" w:hAnsi="Calibri"/>
                <w:b w:val="0"/>
                <w:sz w:val="18"/>
              </w:rPr>
              <w:t>Recompute into a new artifact, never overwrite.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ADR-003 (logical normalized graph) and ADR-005 (entity/version separation) before implementing release persistence.</w:t>
            </w:r>
          </w:p>
        </w:tc>
      </w:tr>
    </w:tbl>
    <w:p>
      <w:pPr>
        <w:spacing w:after="40"/>
      </w:pPr>
    </w:p>
    <w:p>
      <w:pPr>
        <w:pStyle w:val="Heading1"/>
        <w:pageBreakBefore/>
      </w:pPr>
      <w:r>
        <w:rPr>
          <w:rFonts w:ascii="Calibri" w:hAnsi="Calibri"/>
          <w:b/>
          <w:color w:val="2E74B5"/>
          <w:sz w:val="32"/>
        </w:rPr>
        <w:t>8. Embedding Registry</w:t>
      </w:r>
    </w:p>
    <w:p>
      <w:pPr>
        <w:pStyle w:val="Heading2"/>
      </w:pPr>
      <w:r>
        <w:rPr>
          <w:rFonts w:ascii="Calibri" w:hAnsi="Calibri"/>
          <w:b/>
          <w:color w:val="2E74B5"/>
          <w:sz w:val="26"/>
        </w:rPr>
        <w:t>Why</w:t>
      </w:r>
    </w:p>
    <w:p>
      <w:pPr>
        <w:keepLines w:val="0"/>
      </w:pPr>
      <w:r>
        <w:rPr>
          <w:rFonts w:ascii="Calibri" w:hAnsi="Calibri"/>
          <w:i w:val="0"/>
          <w:sz w:val="22"/>
        </w:rPr>
        <w:t>Representation models, preprocessing, tokenization, pooling, and metrics evolve. A single embedding field would force destructive migrations and make old retrieval results uninterpretable.</w:t>
      </w:r>
    </w:p>
    <w:p>
      <w:pPr>
        <w:pStyle w:val="Heading2"/>
      </w:pPr>
      <w:r>
        <w:rPr>
          <w:rFonts w:ascii="Calibri" w:hAnsi="Calibri"/>
          <w:b/>
          <w:color w:val="2E74B5"/>
          <w:sz w:val="26"/>
        </w:rPr>
        <w:t>What</w:t>
      </w:r>
    </w:p>
    <w:p>
      <w:pPr>
        <w:keepLines w:val="0"/>
      </w:pPr>
      <w:r>
        <w:rPr>
          <w:rFonts w:ascii="Calibri" w:hAnsi="Calibri"/>
          <w:i w:val="0"/>
          <w:sz w:val="22"/>
        </w:rPr>
        <w:t>The Embedding Registry governs versioned Embedding Profiles and immutable Embedding Instances. A profile is the complete declaration of how a vector was created and compared. An instance is the vector for one GenomeRecordVersion under exactly one profile.</w:t>
      </w:r>
    </w:p>
    <w:p>
      <w:pPr>
        <w:pStyle w:val="Heading2"/>
      </w:pPr>
      <w:r>
        <w:rPr>
          <w:rFonts w:ascii="Calibri" w:hAnsi="Calibri"/>
          <w:b/>
          <w:color w:val="2E74B5"/>
          <w:sz w:val="26"/>
        </w:rPr>
        <w:t>How</w:t>
      </w:r>
    </w:p>
    <w:p>
      <w:pPr>
        <w:keepLines w:val="0"/>
      </w:pPr>
      <w:r>
        <w:rPr>
          <w:rFonts w:ascii="Calibri" w:hAnsi="Calibri"/>
          <w:i w:val="0"/>
          <w:sz w:val="22"/>
        </w:rPr>
        <w:t>The registry resolves profile identifiers, compatibility classes, lifecycle state, and deprecation. Builder verifies profile-contract conformance before embedding. Query Core accepts an explicit profile and refuses cross-profile similarity unless a bridge profile has been separately declared and evaluated. Vectors are stored in profile-scoped shards and keyed by record version.</w:t>
      </w:r>
    </w:p>
    <w:p>
      <w:pPr>
        <w:pStyle w:val="Heading2"/>
      </w:pPr>
      <w:r>
        <w:rPr>
          <w:rFonts w:ascii="Calibri" w:hAnsi="Calibri"/>
          <w:b/>
          <w:color w:val="2E74B5"/>
          <w:sz w:val="26"/>
        </w:rPr>
        <w:t>Future considerations</w:t>
      </w:r>
    </w:p>
    <w:p>
      <w:pPr>
        <w:keepLines w:val="0"/>
      </w:pPr>
      <w:r>
        <w:rPr>
          <w:rFonts w:ascii="Calibri" w:hAnsi="Calibri"/>
          <w:i w:val="0"/>
          <w:sz w:val="22"/>
        </w:rPr>
        <w:t>Model upgrades, new modalities, compression/quantization, cross-model alignment, and replacement policy are expected but unresolved. Each requires preservation of old profiles and an ADR if it changes comparison semantics or default retrieval.</w:t>
      </w:r>
    </w:p>
    <w:p>
      <w:pPr>
        <w:pStyle w:val="Heading2"/>
      </w:pPr>
      <w:r>
        <w:rPr>
          <w:rFonts w:ascii="Calibri" w:hAnsi="Calibri"/>
          <w:b/>
          <w:color w:val="2E74B5"/>
          <w:sz w:val="26"/>
        </w:rPr>
        <w:t>8.1 Profile lifecycle</w:t>
      </w:r>
    </w:p>
    <w:tbl>
      <w:tblPr>
        <w:tblStyle w:val="TableGrid"/>
        <w:tblW w:type="dxa" w:w="9360"/>
        <w:jc w:val="left"/>
        <w:tblLayout w:type="fixed"/>
        <w:tblLook w:firstColumn="1" w:firstRow="1" w:lastColumn="0" w:lastRow="0" w:noHBand="0" w:noVBand="1" w:val="04A0"/>
        <w:tblInd w:w="120" w:type="dxa"/>
      </w:tblPr>
      <w:tblGrid>
        <w:gridCol w:w="1300"/>
        <w:gridCol w:w="2500"/>
        <w:gridCol w:w="3350"/>
        <w:gridCol w:w="2210"/>
      </w:tblGrid>
      <w:tr>
        <w:trPr>
          <w:tblHeader w:val="true"/>
        </w:trPr>
        <w:tc>
          <w:tcPr>
            <w:tcW w:type="dxa" w:w="1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3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c>
          <w:tcPr>
            <w:tcW w:type="dxa" w:w="2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Publication rule</w:t>
            </w:r>
          </w:p>
        </w:tc>
      </w:tr>
      <w:tr>
        <w:tc>
          <w:tcPr>
            <w:tcW w:type="dxa" w:w="1300"/>
          </w:tcPr>
          <w:p>
            <w:pPr>
              <w:spacing w:before="0" w:after="0" w:line="252" w:lineRule="auto"/>
              <w:jc w:val="left"/>
            </w:pPr>
            <w:r>
              <w:rPr>
                <w:rFonts w:ascii="Calibri" w:hAnsi="Calibri"/>
                <w:b w:val="0"/>
                <w:sz w:val="18"/>
              </w:rPr>
              <w:t>Draft</w:t>
            </w:r>
          </w:p>
        </w:tc>
        <w:tc>
          <w:tcPr>
            <w:tcW w:type="dxa" w:w="2500"/>
          </w:tcPr>
          <w:p>
            <w:pPr>
              <w:spacing w:before="0" w:after="0" w:line="252" w:lineRule="auto"/>
              <w:jc w:val="left"/>
            </w:pPr>
            <w:r>
              <w:rPr>
                <w:rFonts w:ascii="Calibri" w:hAnsi="Calibri"/>
                <w:b w:val="0"/>
                <w:sz w:val="18"/>
              </w:rPr>
              <w:t>Profile schema exists but is not approved for release construction.</w:t>
            </w:r>
          </w:p>
        </w:tc>
        <w:tc>
          <w:tcPr>
            <w:tcW w:type="dxa" w:w="3350"/>
          </w:tcPr>
          <w:p>
            <w:pPr>
              <w:spacing w:before="0" w:after="0" w:line="252" w:lineRule="auto"/>
              <w:jc w:val="left"/>
            </w:pPr>
            <w:r>
              <w:rPr>
                <w:rFonts w:ascii="Calibri" w:hAnsi="Calibri"/>
                <w:b w:val="0"/>
                <w:sz w:val="18"/>
              </w:rPr>
              <w:t>Edit definition; run fixtures.</w:t>
            </w:r>
          </w:p>
        </w:tc>
        <w:tc>
          <w:tcPr>
            <w:tcW w:type="dxa" w:w="2210"/>
          </w:tcPr>
          <w:p>
            <w:pPr>
              <w:spacing w:before="0" w:after="0" w:line="252" w:lineRule="auto"/>
              <w:jc w:val="left"/>
            </w:pPr>
            <w:r>
              <w:rPr>
                <w:rFonts w:ascii="Calibri" w:hAnsi="Calibri"/>
                <w:b w:val="0"/>
                <w:sz w:val="18"/>
              </w:rPr>
              <w:t>Cannot appear in a published release.</w:t>
            </w:r>
          </w:p>
        </w:tc>
      </w:tr>
      <w:tr>
        <w:tc>
          <w:tcPr>
            <w:tcW w:type="dxa" w:w="1300"/>
          </w:tcPr>
          <w:p>
            <w:pPr>
              <w:spacing w:before="0" w:after="0" w:line="252" w:lineRule="auto"/>
              <w:jc w:val="left"/>
            </w:pPr>
            <w:r>
              <w:rPr>
                <w:rFonts w:ascii="Calibri" w:hAnsi="Calibri"/>
                <w:b w:val="0"/>
                <w:sz w:val="18"/>
              </w:rPr>
              <w:t>Candidate</w:t>
            </w:r>
          </w:p>
        </w:tc>
        <w:tc>
          <w:tcPr>
            <w:tcW w:type="dxa" w:w="2500"/>
          </w:tcPr>
          <w:p>
            <w:pPr>
              <w:spacing w:before="0" w:after="0" w:line="252" w:lineRule="auto"/>
              <w:jc w:val="left"/>
            </w:pPr>
            <w:r>
              <w:rPr>
                <w:rFonts w:ascii="Calibri" w:hAnsi="Calibri"/>
                <w:b w:val="0"/>
                <w:sz w:val="18"/>
              </w:rPr>
              <w:t>Definition frozen for reproducibility and review.</w:t>
            </w:r>
          </w:p>
        </w:tc>
        <w:tc>
          <w:tcPr>
            <w:tcW w:type="dxa" w:w="3350"/>
          </w:tcPr>
          <w:p>
            <w:pPr>
              <w:spacing w:before="0" w:after="0" w:line="252" w:lineRule="auto"/>
              <w:jc w:val="left"/>
            </w:pPr>
            <w:r>
              <w:rPr>
                <w:rFonts w:ascii="Calibri" w:hAnsi="Calibri"/>
                <w:b w:val="0"/>
                <w:sz w:val="18"/>
              </w:rPr>
              <w:t>Build test artifacts; run evaluation.</w:t>
            </w:r>
          </w:p>
        </w:tc>
        <w:tc>
          <w:tcPr>
            <w:tcW w:type="dxa" w:w="2210"/>
          </w:tcPr>
          <w:p>
            <w:pPr>
              <w:spacing w:before="0" w:after="0" w:line="252" w:lineRule="auto"/>
              <w:jc w:val="left"/>
            </w:pPr>
            <w:r>
              <w:rPr>
                <w:rFonts w:ascii="Calibri" w:hAnsi="Calibri"/>
                <w:b w:val="0"/>
                <w:sz w:val="18"/>
              </w:rPr>
              <w:t>May appear only in Candidate release evidence.</w:t>
            </w:r>
          </w:p>
        </w:tc>
      </w:tr>
      <w:tr>
        <w:tc>
          <w:tcPr>
            <w:tcW w:type="dxa" w:w="1300"/>
          </w:tcPr>
          <w:p>
            <w:pPr>
              <w:spacing w:before="0" w:after="0" w:line="252" w:lineRule="auto"/>
              <w:jc w:val="left"/>
            </w:pPr>
            <w:r>
              <w:rPr>
                <w:rFonts w:ascii="Calibri" w:hAnsi="Calibri"/>
                <w:b w:val="0"/>
                <w:sz w:val="18"/>
              </w:rPr>
              <w:t>Active</w:t>
            </w:r>
          </w:p>
        </w:tc>
        <w:tc>
          <w:tcPr>
            <w:tcW w:type="dxa" w:w="2500"/>
          </w:tcPr>
          <w:p>
            <w:pPr>
              <w:spacing w:before="0" w:after="0" w:line="252" w:lineRule="auto"/>
              <w:jc w:val="left"/>
            </w:pPr>
            <w:r>
              <w:rPr>
                <w:rFonts w:ascii="Calibri" w:hAnsi="Calibri"/>
                <w:b w:val="0"/>
                <w:sz w:val="18"/>
              </w:rPr>
              <w:t>Approved profile available for declared use.</w:t>
            </w:r>
          </w:p>
        </w:tc>
        <w:tc>
          <w:tcPr>
            <w:tcW w:type="dxa" w:w="3350"/>
          </w:tcPr>
          <w:p>
            <w:pPr>
              <w:spacing w:before="0" w:after="0" w:line="252" w:lineRule="auto"/>
              <w:jc w:val="left"/>
            </w:pPr>
            <w:r>
              <w:rPr>
                <w:rFonts w:ascii="Calibri" w:hAnsi="Calibri"/>
                <w:b w:val="0"/>
                <w:sz w:val="18"/>
              </w:rPr>
              <w:t>Create instances and derived artifacts.</w:t>
            </w:r>
          </w:p>
        </w:tc>
        <w:tc>
          <w:tcPr>
            <w:tcW w:type="dxa" w:w="2210"/>
          </w:tcPr>
          <w:p>
            <w:pPr>
              <w:spacing w:before="0" w:after="0" w:line="252" w:lineRule="auto"/>
              <w:jc w:val="left"/>
            </w:pPr>
            <w:r>
              <w:rPr>
                <w:rFonts w:ascii="Calibri" w:hAnsi="Calibri"/>
                <w:b w:val="0"/>
                <w:sz w:val="18"/>
              </w:rPr>
              <w:t>Manifest records exact profile digest.</w:t>
            </w:r>
          </w:p>
        </w:tc>
      </w:tr>
      <w:tr>
        <w:tc>
          <w:tcPr>
            <w:tcW w:type="dxa" w:w="1300"/>
          </w:tcPr>
          <w:p>
            <w:pPr>
              <w:spacing w:before="0" w:after="0" w:line="252" w:lineRule="auto"/>
              <w:jc w:val="left"/>
            </w:pPr>
            <w:r>
              <w:rPr>
                <w:rFonts w:ascii="Calibri" w:hAnsi="Calibri"/>
                <w:b w:val="0"/>
                <w:sz w:val="18"/>
              </w:rPr>
              <w:t>Deprecated</w:t>
            </w:r>
          </w:p>
        </w:tc>
        <w:tc>
          <w:tcPr>
            <w:tcW w:type="dxa" w:w="2500"/>
          </w:tcPr>
          <w:p>
            <w:pPr>
              <w:spacing w:before="0" w:after="0" w:line="252" w:lineRule="auto"/>
              <w:jc w:val="left"/>
            </w:pPr>
            <w:r>
              <w:rPr>
                <w:rFonts w:ascii="Calibri" w:hAnsi="Calibri"/>
                <w:b w:val="0"/>
                <w:sz w:val="18"/>
              </w:rPr>
              <w:t>Still readable; no longer recommended for new instances.</w:t>
            </w:r>
          </w:p>
        </w:tc>
        <w:tc>
          <w:tcPr>
            <w:tcW w:type="dxa" w:w="3350"/>
          </w:tcPr>
          <w:p>
            <w:pPr>
              <w:spacing w:before="0" w:after="0" w:line="252" w:lineRule="auto"/>
              <w:jc w:val="left"/>
            </w:pPr>
            <w:r>
              <w:rPr>
                <w:rFonts w:ascii="Calibri" w:hAnsi="Calibri"/>
                <w:b w:val="0"/>
                <w:sz w:val="18"/>
              </w:rPr>
              <w:t>Query historical instances; build successor profile.</w:t>
            </w:r>
          </w:p>
        </w:tc>
        <w:tc>
          <w:tcPr>
            <w:tcW w:type="dxa" w:w="2210"/>
          </w:tcPr>
          <w:p>
            <w:pPr>
              <w:spacing w:before="0" w:after="0" w:line="252" w:lineRule="auto"/>
              <w:jc w:val="left"/>
            </w:pPr>
            <w:r>
              <w:rPr>
                <w:rFonts w:ascii="Calibri" w:hAnsi="Calibri"/>
                <w:b w:val="0"/>
                <w:sz w:val="18"/>
              </w:rPr>
              <w:t>Never delete without retention policy.</w:t>
            </w:r>
          </w:p>
        </w:tc>
      </w:tr>
      <w:tr>
        <w:tc>
          <w:tcPr>
            <w:tcW w:type="dxa" w:w="1300"/>
          </w:tcPr>
          <w:p>
            <w:pPr>
              <w:spacing w:before="0" w:after="0" w:line="252" w:lineRule="auto"/>
              <w:jc w:val="left"/>
            </w:pPr>
            <w:r>
              <w:rPr>
                <w:rFonts w:ascii="Calibri" w:hAnsi="Calibri"/>
                <w:b w:val="0"/>
                <w:sz w:val="18"/>
              </w:rPr>
              <w:t>Retired</w:t>
            </w:r>
          </w:p>
        </w:tc>
        <w:tc>
          <w:tcPr>
            <w:tcW w:type="dxa" w:w="2500"/>
          </w:tcPr>
          <w:p>
            <w:pPr>
              <w:spacing w:before="0" w:after="0" w:line="252" w:lineRule="auto"/>
              <w:jc w:val="left"/>
            </w:pPr>
            <w:r>
              <w:rPr>
                <w:rFonts w:ascii="Calibri" w:hAnsi="Calibri"/>
                <w:b w:val="0"/>
                <w:sz w:val="18"/>
              </w:rPr>
              <w:t>No longer supported for active tooling but retained for reproducibility.</w:t>
            </w:r>
          </w:p>
        </w:tc>
        <w:tc>
          <w:tcPr>
            <w:tcW w:type="dxa" w:w="3350"/>
          </w:tcPr>
          <w:p>
            <w:pPr>
              <w:spacing w:before="0" w:after="0" w:line="252" w:lineRule="auto"/>
              <w:jc w:val="left"/>
            </w:pPr>
            <w:r>
              <w:rPr>
                <w:rFonts w:ascii="Calibri" w:hAnsi="Calibri"/>
                <w:b w:val="0"/>
                <w:sz w:val="18"/>
              </w:rPr>
              <w:t>Read/export where feasible.</w:t>
            </w:r>
          </w:p>
        </w:tc>
        <w:tc>
          <w:tcPr>
            <w:tcW w:type="dxa" w:w="2210"/>
          </w:tcPr>
          <w:p>
            <w:pPr>
              <w:spacing w:before="0" w:after="0" w:line="252" w:lineRule="auto"/>
              <w:jc w:val="left"/>
            </w:pPr>
            <w:r>
              <w:rPr>
                <w:rFonts w:ascii="Calibri" w:hAnsi="Calibri"/>
                <w:b w:val="0"/>
                <w:sz w:val="18"/>
              </w:rPr>
              <w:t>Publication preserves declaration and compatibility notice.</w:t>
            </w:r>
          </w:p>
        </w:tc>
      </w:tr>
    </w:tbl>
    <w:p>
      <w:pPr>
        <w:spacing w:after="40"/>
      </w:pPr>
    </w:p>
    <w:p>
      <w:pPr>
        <w:pStyle w:val="Heading2"/>
      </w:pPr>
      <w:r>
        <w:rPr>
          <w:rFonts w:ascii="Calibri" w:hAnsi="Calibri"/>
          <w:b/>
          <w:color w:val="2E74B5"/>
          <w:sz w:val="26"/>
        </w:rPr>
        <w:t>8.2 Required profile declaration</w:t>
      </w:r>
    </w:p>
    <w:tbl>
      <w:tblPr>
        <w:tblStyle w:val="TableGrid"/>
        <w:tblW w:type="dxa" w:w="9360"/>
        <w:jc w:val="left"/>
        <w:tblLayout w:type="fixed"/>
        <w:tblLook w:firstColumn="1" w:firstRow="1" w:lastColumn="0" w:lastRow="0" w:noHBand="0" w:noVBand="1" w:val="04A0"/>
        <w:tblInd w:w="120" w:type="dxa"/>
      </w:tblPr>
      <w:tblGrid>
        <w:gridCol w:w="2000"/>
        <w:gridCol w:w="4850"/>
        <w:gridCol w:w="2510"/>
      </w:tblGrid>
      <w:tr>
        <w:trPr>
          <w:tblHeader w:val="true"/>
        </w:trPr>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4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w:t>
            </w:r>
          </w:p>
        </w:tc>
      </w:tr>
      <w:tr>
        <w:tc>
          <w:tcPr>
            <w:tcW w:type="dxa" w:w="2000"/>
          </w:tcPr>
          <w:p>
            <w:pPr>
              <w:spacing w:before="0" w:after="0" w:line="252" w:lineRule="auto"/>
              <w:jc w:val="left"/>
            </w:pPr>
            <w:r>
              <w:rPr>
                <w:rFonts w:ascii="Calibri" w:hAnsi="Calibri"/>
                <w:b w:val="0"/>
                <w:sz w:val="18"/>
              </w:rPr>
              <w:t>profile_id and version</w:t>
            </w:r>
          </w:p>
        </w:tc>
        <w:tc>
          <w:tcPr>
            <w:tcW w:type="dxa" w:w="4850"/>
          </w:tcPr>
          <w:p>
            <w:pPr>
              <w:spacing w:before="0" w:after="0" w:line="252" w:lineRule="auto"/>
              <w:jc w:val="left"/>
            </w:pPr>
            <w:r>
              <w:rPr>
                <w:rFonts w:ascii="Calibri" w:hAnsi="Calibri"/>
                <w:b w:val="0"/>
                <w:sz w:val="18"/>
              </w:rPr>
              <w:t>Globally unique stable identifier plus immutable content digest.</w:t>
            </w:r>
          </w:p>
        </w:tc>
        <w:tc>
          <w:tcPr>
            <w:tcW w:type="dxa" w:w="2510"/>
          </w:tcPr>
          <w:p>
            <w:pPr>
              <w:spacing w:before="0" w:after="0" w:line="252" w:lineRule="auto"/>
              <w:jc w:val="left"/>
            </w:pPr>
            <w:r>
              <w:rPr>
                <w:rFonts w:ascii="Calibri" w:hAnsi="Calibri"/>
                <w:b w:val="0"/>
                <w:sz w:val="18"/>
              </w:rPr>
              <w:t>Disambiguates profile labels and edits.</w:t>
            </w:r>
          </w:p>
        </w:tc>
      </w:tr>
      <w:tr>
        <w:tc>
          <w:tcPr>
            <w:tcW w:type="dxa" w:w="2000"/>
          </w:tcPr>
          <w:p>
            <w:pPr>
              <w:spacing w:before="0" w:after="0" w:line="252" w:lineRule="auto"/>
              <w:jc w:val="left"/>
            </w:pPr>
            <w:r>
              <w:rPr>
                <w:rFonts w:ascii="Calibri" w:hAnsi="Calibri"/>
                <w:b w:val="0"/>
                <w:sz w:val="18"/>
              </w:rPr>
              <w:t>input contract</w:t>
            </w:r>
          </w:p>
        </w:tc>
        <w:tc>
          <w:tcPr>
            <w:tcW w:type="dxa" w:w="4850"/>
          </w:tcPr>
          <w:p>
            <w:pPr>
              <w:spacing w:before="0" w:after="0" w:line="252" w:lineRule="auto"/>
              <w:jc w:val="left"/>
            </w:pPr>
            <w:r>
              <w:rPr>
                <w:rFonts w:ascii="Calibri" w:hAnsi="Calibri"/>
                <w:b w:val="0"/>
                <w:sz w:val="18"/>
              </w:rPr>
              <w:t>Record type, canonicalization, allowed alphabet, length/window handling, exclusions.</w:t>
            </w:r>
          </w:p>
        </w:tc>
        <w:tc>
          <w:tcPr>
            <w:tcW w:type="dxa" w:w="2510"/>
          </w:tcPr>
          <w:p>
            <w:pPr>
              <w:spacing w:before="0" w:after="0" w:line="252" w:lineRule="auto"/>
              <w:jc w:val="left"/>
            </w:pPr>
            <w:r>
              <w:rPr>
                <w:rFonts w:ascii="Calibri" w:hAnsi="Calibri"/>
                <w:b w:val="0"/>
                <w:sz w:val="18"/>
              </w:rPr>
              <w:t>Prevents incomparable inputs.</w:t>
            </w:r>
          </w:p>
        </w:tc>
      </w:tr>
      <w:tr>
        <w:tc>
          <w:tcPr>
            <w:tcW w:type="dxa" w:w="2000"/>
          </w:tcPr>
          <w:p>
            <w:pPr>
              <w:spacing w:before="0" w:after="0" w:line="252" w:lineRule="auto"/>
              <w:jc w:val="left"/>
            </w:pPr>
            <w:r>
              <w:rPr>
                <w:rFonts w:ascii="Calibri" w:hAnsi="Calibri"/>
                <w:b w:val="0"/>
                <w:sz w:val="18"/>
              </w:rPr>
              <w:t>representation method</w:t>
            </w:r>
          </w:p>
        </w:tc>
        <w:tc>
          <w:tcPr>
            <w:tcW w:type="dxa" w:w="4850"/>
          </w:tcPr>
          <w:p>
            <w:pPr>
              <w:spacing w:before="0" w:after="0" w:line="252" w:lineRule="auto"/>
              <w:jc w:val="left"/>
            </w:pPr>
            <w:r>
              <w:rPr>
                <w:rFonts w:ascii="Calibri" w:hAnsi="Calibri"/>
                <w:b w:val="0"/>
                <w:sz w:val="18"/>
              </w:rPr>
              <w:t>Model artifact identity/digest, tokenizer, pooling, normalization, precision policy.</w:t>
            </w:r>
          </w:p>
        </w:tc>
        <w:tc>
          <w:tcPr>
            <w:tcW w:type="dxa" w:w="2510"/>
          </w:tcPr>
          <w:p>
            <w:pPr>
              <w:spacing w:before="0" w:after="0" w:line="252" w:lineRule="auto"/>
              <w:jc w:val="left"/>
            </w:pPr>
            <w:r>
              <w:rPr>
                <w:rFonts w:ascii="Calibri" w:hAnsi="Calibri"/>
                <w:b w:val="0"/>
                <w:sz w:val="18"/>
              </w:rPr>
              <w:t>Preserves how vectors were made.</w:t>
            </w:r>
          </w:p>
        </w:tc>
      </w:tr>
      <w:tr>
        <w:tc>
          <w:tcPr>
            <w:tcW w:type="dxa" w:w="2000"/>
          </w:tcPr>
          <w:p>
            <w:pPr>
              <w:spacing w:before="0" w:after="0" w:line="252" w:lineRule="auto"/>
              <w:jc w:val="left"/>
            </w:pPr>
            <w:r>
              <w:rPr>
                <w:rFonts w:ascii="Calibri" w:hAnsi="Calibri"/>
                <w:b w:val="0"/>
                <w:sz w:val="18"/>
              </w:rPr>
              <w:t>output contract</w:t>
            </w:r>
          </w:p>
        </w:tc>
        <w:tc>
          <w:tcPr>
            <w:tcW w:type="dxa" w:w="4850"/>
          </w:tcPr>
          <w:p>
            <w:pPr>
              <w:spacing w:before="0" w:after="0" w:line="252" w:lineRule="auto"/>
              <w:jc w:val="left"/>
            </w:pPr>
            <w:r>
              <w:rPr>
                <w:rFonts w:ascii="Calibri" w:hAnsi="Calibri"/>
                <w:b w:val="0"/>
                <w:sz w:val="18"/>
              </w:rPr>
              <w:t>Dimension, data type, normalization, shard format, missing-vector policy.</w:t>
            </w:r>
          </w:p>
        </w:tc>
        <w:tc>
          <w:tcPr>
            <w:tcW w:type="dxa" w:w="2510"/>
          </w:tcPr>
          <w:p>
            <w:pPr>
              <w:spacing w:before="0" w:after="0" w:line="252" w:lineRule="auto"/>
              <w:jc w:val="left"/>
            </w:pPr>
            <w:r>
              <w:rPr>
                <w:rFonts w:ascii="Calibri" w:hAnsi="Calibri"/>
                <w:b w:val="0"/>
                <w:sz w:val="18"/>
              </w:rPr>
              <w:t>Makes storage and reader behavior testable.</w:t>
            </w:r>
          </w:p>
        </w:tc>
      </w:tr>
      <w:tr>
        <w:tc>
          <w:tcPr>
            <w:tcW w:type="dxa" w:w="2000"/>
          </w:tcPr>
          <w:p>
            <w:pPr>
              <w:spacing w:before="0" w:after="0" w:line="252" w:lineRule="auto"/>
              <w:jc w:val="left"/>
            </w:pPr>
            <w:r>
              <w:rPr>
                <w:rFonts w:ascii="Calibri" w:hAnsi="Calibri"/>
                <w:b w:val="0"/>
                <w:sz w:val="18"/>
              </w:rPr>
              <w:t>comparison contract</w:t>
            </w:r>
          </w:p>
        </w:tc>
        <w:tc>
          <w:tcPr>
            <w:tcW w:type="dxa" w:w="4850"/>
          </w:tcPr>
          <w:p>
            <w:pPr>
              <w:spacing w:before="0" w:after="0" w:line="252" w:lineRule="auto"/>
              <w:jc w:val="left"/>
            </w:pPr>
            <w:r>
              <w:rPr>
                <w:rFonts w:ascii="Calibri" w:hAnsi="Calibri"/>
                <w:b w:val="0"/>
                <w:sz w:val="18"/>
              </w:rPr>
              <w:t>Metric, direction, tie behavior, filter compatibility, exact/approximate rules.</w:t>
            </w:r>
          </w:p>
        </w:tc>
        <w:tc>
          <w:tcPr>
            <w:tcW w:type="dxa" w:w="2510"/>
          </w:tcPr>
          <w:p>
            <w:pPr>
              <w:spacing w:before="0" w:after="0" w:line="252" w:lineRule="auto"/>
              <w:jc w:val="left"/>
            </w:pPr>
            <w:r>
              <w:rPr>
                <w:rFonts w:ascii="Calibri" w:hAnsi="Calibri"/>
                <w:b w:val="0"/>
                <w:sz w:val="18"/>
              </w:rPr>
              <w:t>Makes similarity result interpretable.</w:t>
            </w:r>
          </w:p>
        </w:tc>
      </w:tr>
      <w:tr>
        <w:tc>
          <w:tcPr>
            <w:tcW w:type="dxa" w:w="2000"/>
          </w:tcPr>
          <w:p>
            <w:pPr>
              <w:spacing w:before="0" w:after="0" w:line="252" w:lineRule="auto"/>
              <w:jc w:val="left"/>
            </w:pPr>
            <w:r>
              <w:rPr>
                <w:rFonts w:ascii="Calibri" w:hAnsi="Calibri"/>
                <w:b w:val="0"/>
                <w:sz w:val="18"/>
              </w:rPr>
              <w:t>provenance</w:t>
            </w:r>
          </w:p>
        </w:tc>
        <w:tc>
          <w:tcPr>
            <w:tcW w:type="dxa" w:w="4850"/>
          </w:tcPr>
          <w:p>
            <w:pPr>
              <w:spacing w:before="0" w:after="0" w:line="252" w:lineRule="auto"/>
              <w:jc w:val="left"/>
            </w:pPr>
            <w:r>
              <w:rPr>
                <w:rFonts w:ascii="Calibri" w:hAnsi="Calibri"/>
                <w:b w:val="0"/>
                <w:sz w:val="18"/>
              </w:rPr>
              <w:t>Runner/plugin version, environment lock, license, creator, created time.</w:t>
            </w:r>
          </w:p>
        </w:tc>
        <w:tc>
          <w:tcPr>
            <w:tcW w:type="dxa" w:w="2510"/>
          </w:tcPr>
          <w:p>
            <w:pPr>
              <w:spacing w:before="0" w:after="0" w:line="252" w:lineRule="auto"/>
              <w:jc w:val="left"/>
            </w:pPr>
            <w:r>
              <w:rPr>
                <w:rFonts w:ascii="Calibri" w:hAnsi="Calibri"/>
                <w:b w:val="0"/>
                <w:sz w:val="18"/>
              </w:rPr>
              <w:t>Supports reproduction and legal review.</w:t>
            </w:r>
          </w:p>
        </w:tc>
      </w:tr>
      <w:tr>
        <w:tc>
          <w:tcPr>
            <w:tcW w:type="dxa" w:w="2000"/>
          </w:tcPr>
          <w:p>
            <w:pPr>
              <w:spacing w:before="0" w:after="0" w:line="252" w:lineRule="auto"/>
              <w:jc w:val="left"/>
            </w:pPr>
            <w:r>
              <w:rPr>
                <w:rFonts w:ascii="Calibri" w:hAnsi="Calibri"/>
                <w:b w:val="0"/>
                <w:sz w:val="18"/>
              </w:rPr>
              <w:t>validation status</w:t>
            </w:r>
          </w:p>
        </w:tc>
        <w:tc>
          <w:tcPr>
            <w:tcW w:type="dxa" w:w="4850"/>
          </w:tcPr>
          <w:p>
            <w:pPr>
              <w:spacing w:before="0" w:after="0" w:line="252" w:lineRule="auto"/>
              <w:jc w:val="left"/>
            </w:pPr>
            <w:r>
              <w:rPr>
                <w:rFonts w:ascii="Calibri" w:hAnsi="Calibri"/>
                <w:b w:val="0"/>
                <w:sz w:val="18"/>
              </w:rPr>
              <w:t>Evidence bundle links, intended use, limitations, lifecycle state.</w:t>
            </w:r>
          </w:p>
        </w:tc>
        <w:tc>
          <w:tcPr>
            <w:tcW w:type="dxa" w:w="2510"/>
          </w:tcPr>
          <w:p>
            <w:pPr>
              <w:spacing w:before="0" w:after="0" w:line="252" w:lineRule="auto"/>
              <w:jc w:val="left"/>
            </w:pPr>
            <w:r>
              <w:rPr>
                <w:rFonts w:ascii="Calibri" w:hAnsi="Calibri"/>
                <w:b w:val="0"/>
                <w:sz w:val="18"/>
              </w:rPr>
              <w:t>Avoids treating availability as validation.</w:t>
            </w:r>
          </w:p>
        </w:tc>
      </w:tr>
    </w:tbl>
    <w:p>
      <w:pPr>
        <w:spacing w:after="40"/>
      </w:pPr>
    </w:p>
    <w:p>
      <w:pPr>
        <w:pStyle w:val="Heading2"/>
      </w:pPr>
      <w:r>
        <w:rPr>
          <w:rFonts w:ascii="Calibri" w:hAnsi="Calibri"/>
          <w:b/>
          <w:color w:val="2E74B5"/>
          <w:sz w:val="26"/>
        </w:rPr>
        <w:t>8.3 Compatibility and cross-model comparisons</w:t>
      </w:r>
    </w:p>
    <w:p>
      <w:pPr>
        <w:keepLines w:val="0"/>
      </w:pPr>
      <w:r>
        <w:rPr>
          <w:rFonts w:ascii="Calibri" w:hAnsi="Calibri"/>
          <w:i w:val="0"/>
          <w:sz w:val="22"/>
        </w:rPr>
        <w:t>Same profile identity and compatible canonicalization are the default requirement for direct nearest-neighbour search. A vector dimension match is not proof of semantic compatibility. Cross-model comparison is prohibited by default. It MAY be enabled only by an explicit BridgeProfile that declares source profiles, alignment/training data, transformation, target metric, validation cohort, uncertainty, lifecycle state, and limitations. A BridgeProfile is a derived method and cannot make the source profiles retrospectively equivalent.</w:t>
      </w:r>
    </w:p>
    <w:tbl>
      <w:tblPr>
        <w:tblStyle w:val="TableGrid"/>
        <w:tblW w:type="dxa" w:w="9360"/>
        <w:jc w:val="left"/>
        <w:tblLayout w:type="fixed"/>
        <w:tblLook w:firstColumn="1" w:firstRow="1" w:lastColumn="0" w:lastRow="0" w:noHBand="0" w:noVBand="1" w:val="04A0"/>
        <w:tblInd w:w="120" w:type="dxa"/>
      </w:tblPr>
      <w:tblGrid>
        <w:gridCol w:w="1900"/>
        <w:gridCol w:w="2100"/>
        <w:gridCol w:w="3300"/>
        <w:gridCol w:w="206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Alternative</w:t>
            </w:r>
          </w:p>
        </w:tc>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Benefits</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Costs / failure modes</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Recommendation</w:t>
            </w:r>
          </w:p>
        </w:tc>
      </w:tr>
      <w:tr>
        <w:tc>
          <w:tcPr>
            <w:tcW w:type="dxa" w:w="1900"/>
          </w:tcPr>
          <w:p>
            <w:pPr>
              <w:spacing w:before="0" w:after="0" w:line="252" w:lineRule="auto"/>
              <w:jc w:val="left"/>
            </w:pPr>
            <w:r>
              <w:rPr>
                <w:rFonts w:ascii="Calibri" w:hAnsi="Calibri"/>
                <w:b w:val="0"/>
                <w:sz w:val="18"/>
              </w:rPr>
              <w:t>Single current model</w:t>
            </w:r>
          </w:p>
        </w:tc>
        <w:tc>
          <w:tcPr>
            <w:tcW w:type="dxa" w:w="2100"/>
          </w:tcPr>
          <w:p>
            <w:pPr>
              <w:spacing w:before="0" w:after="0" w:line="252" w:lineRule="auto"/>
              <w:jc w:val="left"/>
            </w:pPr>
            <w:r>
              <w:rPr>
                <w:rFonts w:ascii="Calibri" w:hAnsi="Calibri"/>
                <w:b w:val="0"/>
                <w:sz w:val="18"/>
              </w:rPr>
              <w:t>Lowest immediate complexity.</w:t>
            </w:r>
          </w:p>
        </w:tc>
        <w:tc>
          <w:tcPr>
            <w:tcW w:type="dxa" w:w="3300"/>
          </w:tcPr>
          <w:p>
            <w:pPr>
              <w:spacing w:before="0" w:after="0" w:line="252" w:lineRule="auto"/>
              <w:jc w:val="left"/>
            </w:pPr>
            <w:r>
              <w:rPr>
                <w:rFonts w:ascii="Calibri" w:hAnsi="Calibri"/>
                <w:b w:val="0"/>
                <w:sz w:val="18"/>
              </w:rPr>
              <w:t>Destroys historical semantics and makes upgrades coercive.</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Multiple profiles without registry</w:t>
            </w:r>
          </w:p>
        </w:tc>
        <w:tc>
          <w:tcPr>
            <w:tcW w:type="dxa" w:w="2100"/>
          </w:tcPr>
          <w:p>
            <w:pPr>
              <w:spacing w:before="0" w:after="0" w:line="252" w:lineRule="auto"/>
              <w:jc w:val="left"/>
            </w:pPr>
            <w:r>
              <w:rPr>
                <w:rFonts w:ascii="Calibri" w:hAnsi="Calibri"/>
                <w:b w:val="0"/>
                <w:sz w:val="18"/>
              </w:rPr>
              <w:t>Fast experimentation.</w:t>
            </w:r>
          </w:p>
        </w:tc>
        <w:tc>
          <w:tcPr>
            <w:tcW w:type="dxa" w:w="3300"/>
          </w:tcPr>
          <w:p>
            <w:pPr>
              <w:spacing w:before="0" w:after="0" w:line="252" w:lineRule="auto"/>
              <w:jc w:val="left"/>
            </w:pPr>
            <w:r>
              <w:rPr>
                <w:rFonts w:ascii="Calibri" w:hAnsi="Calibri"/>
                <w:b w:val="0"/>
                <w:sz w:val="18"/>
              </w:rPr>
              <w:t>Opaque meaning and accidental comparison.</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Versioned registry with immutable instances</w:t>
            </w:r>
          </w:p>
        </w:tc>
        <w:tc>
          <w:tcPr>
            <w:tcW w:type="dxa" w:w="2100"/>
          </w:tcPr>
          <w:p>
            <w:pPr>
              <w:spacing w:before="0" w:after="0" w:line="252" w:lineRule="auto"/>
              <w:jc w:val="left"/>
            </w:pPr>
            <w:r>
              <w:rPr>
                <w:rFonts w:ascii="Calibri" w:hAnsi="Calibri"/>
                <w:b w:val="0"/>
                <w:sz w:val="18"/>
              </w:rPr>
              <w:t>Preserves reproducibility and supports deliberate evolution.</w:t>
            </w:r>
          </w:p>
        </w:tc>
        <w:tc>
          <w:tcPr>
            <w:tcW w:type="dxa" w:w="3300"/>
          </w:tcPr>
          <w:p>
            <w:pPr>
              <w:spacing w:before="0" w:after="0" w:line="252" w:lineRule="auto"/>
              <w:jc w:val="left"/>
            </w:pPr>
            <w:r>
              <w:rPr>
                <w:rFonts w:ascii="Calibri" w:hAnsi="Calibri"/>
                <w:b w:val="0"/>
                <w:sz w:val="18"/>
              </w:rPr>
              <w:t>Metadata and storage discipline required.</w:t>
            </w:r>
          </w:p>
        </w:tc>
        <w:tc>
          <w:tcPr>
            <w:tcW w:type="dxa" w:w="2060"/>
          </w:tcPr>
          <w:p>
            <w:pPr>
              <w:spacing w:before="0" w:after="0" w:line="252" w:lineRule="auto"/>
              <w:jc w:val="left"/>
            </w:pPr>
            <w:r>
              <w:rPr>
                <w:rFonts w:ascii="Calibri" w:hAnsi="Calibri"/>
                <w:b w:val="0"/>
                <w:sz w:val="18"/>
              </w:rPr>
              <w:t>Adopt; ADR-004.</w:t>
            </w:r>
          </w:p>
        </w:tc>
      </w:tr>
      <w:tr>
        <w:tc>
          <w:tcPr>
            <w:tcW w:type="dxa" w:w="1900"/>
          </w:tcPr>
          <w:p>
            <w:pPr>
              <w:spacing w:before="0" w:after="0" w:line="252" w:lineRule="auto"/>
              <w:jc w:val="left"/>
            </w:pPr>
            <w:r>
              <w:rPr>
                <w:rFonts w:ascii="Calibri" w:hAnsi="Calibri"/>
                <w:b w:val="0"/>
                <w:sz w:val="18"/>
              </w:rPr>
              <w:t>Universal aligned space</w:t>
            </w:r>
          </w:p>
        </w:tc>
        <w:tc>
          <w:tcPr>
            <w:tcW w:type="dxa" w:w="2100"/>
          </w:tcPr>
          <w:p>
            <w:pPr>
              <w:spacing w:before="0" w:after="0" w:line="252" w:lineRule="auto"/>
              <w:jc w:val="left"/>
            </w:pPr>
            <w:r>
              <w:rPr>
                <w:rFonts w:ascii="Calibri" w:hAnsi="Calibri"/>
                <w:b w:val="0"/>
                <w:sz w:val="18"/>
              </w:rPr>
              <w:t>Potentially convenient cross-model retrieval.</w:t>
            </w:r>
          </w:p>
        </w:tc>
        <w:tc>
          <w:tcPr>
            <w:tcW w:type="dxa" w:w="3300"/>
          </w:tcPr>
          <w:p>
            <w:pPr>
              <w:spacing w:before="0" w:after="0" w:line="252" w:lineRule="auto"/>
              <w:jc w:val="left"/>
            </w:pPr>
            <w:r>
              <w:rPr>
                <w:rFonts w:ascii="Calibri" w:hAnsi="Calibri"/>
                <w:b w:val="0"/>
                <w:sz w:val="18"/>
              </w:rPr>
              <w:t>Requires evidence; may encode unmeasured distortion.</w:t>
            </w:r>
          </w:p>
        </w:tc>
        <w:tc>
          <w:tcPr>
            <w:tcW w:type="dxa" w:w="2060"/>
          </w:tcPr>
          <w:p>
            <w:pPr>
              <w:spacing w:before="0" w:after="0" w:line="252" w:lineRule="auto"/>
              <w:jc w:val="left"/>
            </w:pPr>
            <w:r>
              <w:rPr>
                <w:rFonts w:ascii="Calibri" w:hAnsi="Calibri"/>
                <w:b w:val="0"/>
                <w:sz w:val="18"/>
              </w:rPr>
              <w:t>Experimental BridgeProfile only.</w:t>
            </w:r>
          </w:p>
        </w:tc>
      </w:tr>
    </w:tbl>
    <w:p>
      <w:pPr>
        <w:spacing w:after="40"/>
      </w:pPr>
    </w:p>
    <w:p>
      <w:pPr>
        <w:pStyle w:val="Heading2"/>
      </w:pPr>
      <w:r>
        <w:rPr>
          <w:rFonts w:ascii="Calibri" w:hAnsi="Calibri"/>
          <w:b/>
          <w:color w:val="2E74B5"/>
          <w:sz w:val="26"/>
        </w:rPr>
        <w:t>8.4 Storage, upgrades, and deprecation</w:t>
      </w:r>
    </w:p>
    <w:p>
      <w:pPr>
        <w:keepLines w:val="0"/>
      </w:pPr>
      <w:r>
        <w:rPr>
          <w:rFonts w:ascii="Calibri" w:hAnsi="Calibri"/>
          <w:i w:val="0"/>
          <w:sz w:val="22"/>
        </w:rPr>
        <w:t>Vectors MUST be stored under profile-scoped paths with a shard manifest containing record IDs, dimension, dtype, row ordering or explicit mapping, checksum, and build provenance. An upgrade creates a new Profile and new Instances; it never mutates an older vector in place. Deprecation changes recommendation status, not historical availability. Quantized vectors and ANN-specific transforms are derived artifacts unless the profile explicitly defines them as its published output representation.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7A5A00"/>
                <w:sz w:val="20"/>
              </w:rPr>
              <w:t xml:space="preserve">Open questions: </w:t>
            </w:r>
            <w:r>
              <w:rPr>
                <w:rFonts w:ascii="Calibri" w:hAnsi="Calibri"/>
                <w:color w:val="0B2545"/>
                <w:sz w:val="20"/>
              </w:rPr>
              <w:t>Which baseline profile is suitable for M1; whether complete contigs, MAGs, or windows are the record unit; what canonicalization policy applies; and what evidence is sufficient to promote a profile to Active.</w:t>
            </w:r>
          </w:p>
        </w:tc>
      </w:tr>
    </w:tbl>
    <w:p>
      <w:pPr>
        <w:spacing w:after="40"/>
      </w:pPr>
    </w:p>
    <w:p>
      <w:pPr>
        <w:pStyle w:val="Heading1"/>
        <w:pageBreakBefore/>
      </w:pPr>
      <w:r>
        <w:rPr>
          <w:rFonts w:ascii="Calibri" w:hAnsi="Calibri"/>
          <w:b/>
          <w:color w:val="2E74B5"/>
          <w:sz w:val="32"/>
        </w:rPr>
        <w:t>9. Atlas Builder</w:t>
      </w:r>
    </w:p>
    <w:p>
      <w:pPr>
        <w:pStyle w:val="Heading2"/>
      </w:pPr>
      <w:r>
        <w:rPr>
          <w:rFonts w:ascii="Calibri" w:hAnsi="Calibri"/>
          <w:b/>
          <w:color w:val="2E74B5"/>
          <w:sz w:val="26"/>
        </w:rPr>
        <w:t>Why</w:t>
      </w:r>
    </w:p>
    <w:p>
      <w:pPr>
        <w:keepLines w:val="0"/>
      </w:pPr>
      <w:r>
        <w:rPr>
          <w:rFonts w:ascii="Calibri" w:hAnsi="Calibri"/>
          <w:i w:val="0"/>
          <w:sz w:val="22"/>
        </w:rPr>
        <w:t>Builder must be an inspectable compiler for releases rather than a black box. Each transformation needs declared inputs, outputs, gates, and failure semantics so another engineer can reproduce or audit it.</w:t>
      </w:r>
    </w:p>
    <w:p>
      <w:pPr>
        <w:pStyle w:val="Heading2"/>
      </w:pPr>
      <w:r>
        <w:rPr>
          <w:rFonts w:ascii="Calibri" w:hAnsi="Calibri"/>
          <w:b/>
          <w:color w:val="2E74B5"/>
          <w:sz w:val="26"/>
        </w:rPr>
        <w:t>What</w:t>
      </w:r>
    </w:p>
    <w:p>
      <w:pPr>
        <w:keepLines w:val="0"/>
      </w:pPr>
      <w:r>
        <w:rPr>
          <w:rFonts w:ascii="Calibri" w:hAnsi="Calibri"/>
          <w:i w:val="0"/>
          <w:sz w:val="22"/>
        </w:rPr>
        <w:t>Atlas Builder is a manifest-driven pipeline composed of Downloader/Acquirer, Registrar and Canonicalizer, Quality Validator, Embedding Worker, Annotation Worker, Derivation Compiler, Packager, Publisher, and Archivist. The orchestration model MAY be local first; distributed execution is an implementation detail.</w:t>
      </w:r>
    </w:p>
    <w:p>
      <w:pPr>
        <w:pStyle w:val="Heading2"/>
      </w:pPr>
      <w:r>
        <w:rPr>
          <w:rFonts w:ascii="Calibri" w:hAnsi="Calibri"/>
          <w:b/>
          <w:color w:val="2E74B5"/>
          <w:sz w:val="26"/>
        </w:rPr>
        <w:t>How</w:t>
      </w:r>
    </w:p>
    <w:p>
      <w:pPr>
        <w:keepLines w:val="0"/>
      </w:pPr>
      <w:r>
        <w:rPr>
          <w:rFonts w:ascii="Calibri" w:hAnsi="Calibri"/>
          <w:i w:val="0"/>
          <w:sz w:val="22"/>
        </w:rPr>
        <w:t>Builder consumes a build manifest, resolves pinned plugins and inputs, writes a draft workspace, and emits a candidate release only when all required gates pass. Content-addressing enables reuse of unchanged inputs and reproducible partial recomputation. Every stage writes a stage manifest and machine-readable outcome.</w:t>
      </w:r>
    </w:p>
    <w:p>
      <w:pPr>
        <w:pStyle w:val="Heading2"/>
      </w:pPr>
      <w:r>
        <w:rPr>
          <w:rFonts w:ascii="Calibri" w:hAnsi="Calibri"/>
          <w:b/>
          <w:color w:val="2E74B5"/>
          <w:sz w:val="26"/>
        </w:rPr>
        <w:t>Future considerations</w:t>
      </w:r>
    </w:p>
    <w:p>
      <w:pPr>
        <w:keepLines w:val="0"/>
      </w:pPr>
      <w:r>
        <w:rPr>
          <w:rFonts w:ascii="Calibri" w:hAnsi="Calibri"/>
          <w:i w:val="0"/>
          <w:sz w:val="22"/>
        </w:rPr>
        <w:t>Incremental construction, distributed workers, private inputs, and remote execution are future extensions. They MUST preserve the stage contracts and should not be introduced until M1 validates the local reference path.</w:t>
      </w:r>
    </w:p>
    <w:p>
      <w:pPr>
        <w:pStyle w:val="Heading2"/>
      </w:pPr>
      <w:r>
        <w:rPr>
          <w:rFonts w:ascii="Calibri" w:hAnsi="Calibri"/>
          <w:b/>
          <w:color w:val="2E74B5"/>
          <w:sz w:val="26"/>
        </w:rPr>
        <w:t>9.1 Reference pipeline</w:t>
      </w:r>
    </w:p>
    <w:p>
      <w:pPr>
        <w:keepLines w:val="0"/>
      </w:pPr>
      <w:r>
        <w:rPr>
          <w:rFonts w:ascii="Calibri" w:hAnsi="Calibri"/>
          <w:i w:val="0"/>
          <w:sz w:val="22"/>
        </w:rPr>
        <w:t>Acquire -&gt; Register and canonicalize -&gt; Quality validate -&gt; Embed -&gt; Annotate -&gt; Derive -&gt; Validate release -&gt; Package -&gt; Publish -&gt; Archive. This order is normative at the level of artifacts and gates, not a mandate for one process topology. A stage may parallelize eligible records but cannot bypass its declared input contract.</w:t>
      </w:r>
    </w:p>
    <w:tbl>
      <w:tblPr>
        <w:tblStyle w:val="TableGrid"/>
        <w:tblW w:type="dxa" w:w="9360"/>
        <w:jc w:val="left"/>
        <w:tblLayout w:type="fixed"/>
        <w:tblLook w:firstColumn="1" w:firstRow="1" w:lastColumn="0" w:lastRow="0" w:noHBand="0" w:noVBand="1" w:val="04A0"/>
        <w:tblInd w:w="120" w:type="dxa"/>
      </w:tblPr>
      <w:tblGrid>
        <w:gridCol w:w="1250"/>
        <w:gridCol w:w="2600"/>
        <w:gridCol w:w="2750"/>
        <w:gridCol w:w="276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Stage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Inputs</w:t>
            </w:r>
          </w:p>
        </w:tc>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Outputs</w:t>
            </w:r>
          </w:p>
        </w:tc>
        <w:tc>
          <w:tcPr>
            <w:tcW w:type="dxa" w:w="2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Quality gate and failure mode</w:t>
            </w:r>
          </w:p>
        </w:tc>
      </w:tr>
      <w:tr>
        <w:tc>
          <w:tcPr>
            <w:tcW w:type="dxa" w:w="1250"/>
          </w:tcPr>
          <w:p>
            <w:pPr>
              <w:spacing w:before="0" w:after="0" w:line="252" w:lineRule="auto"/>
              <w:jc w:val="left"/>
            </w:pPr>
            <w:r>
              <w:rPr>
                <w:rFonts w:ascii="Calibri" w:hAnsi="Calibri"/>
                <w:b w:val="0"/>
                <w:sz w:val="16"/>
              </w:rPr>
              <w:t>1. Acquire</w:t>
            </w:r>
          </w:p>
        </w:tc>
        <w:tc>
          <w:tcPr>
            <w:tcW w:type="dxa" w:w="2600"/>
          </w:tcPr>
          <w:p>
            <w:pPr>
              <w:spacing w:before="0" w:after="0" w:line="252" w:lineRule="auto"/>
              <w:jc w:val="left"/>
            </w:pPr>
            <w:r>
              <w:rPr>
                <w:rFonts w:ascii="Calibri" w:hAnsi="Calibri"/>
                <w:b w:val="0"/>
                <w:sz w:val="16"/>
              </w:rPr>
              <w:t>Declared source accessions/files, licenses, acquisition configuration.</w:t>
            </w:r>
          </w:p>
        </w:tc>
        <w:tc>
          <w:tcPr>
            <w:tcW w:type="dxa" w:w="2750"/>
          </w:tcPr>
          <w:p>
            <w:pPr>
              <w:spacing w:before="0" w:after="0" w:line="252" w:lineRule="auto"/>
              <w:jc w:val="left"/>
            </w:pPr>
            <w:r>
              <w:rPr>
                <w:rFonts w:ascii="Calibri" w:hAnsi="Calibri"/>
                <w:b w:val="0"/>
                <w:sz w:val="16"/>
              </w:rPr>
              <w:t>Source manifest, raw immutable references or blobs, checksums.</w:t>
            </w:r>
          </w:p>
        </w:tc>
        <w:tc>
          <w:tcPr>
            <w:tcW w:type="dxa" w:w="2760"/>
          </w:tcPr>
          <w:p>
            <w:pPr>
              <w:spacing w:before="0" w:after="0" w:line="252" w:lineRule="auto"/>
              <w:jc w:val="left"/>
            </w:pPr>
            <w:r>
              <w:rPr>
                <w:rFonts w:ascii="Calibri" w:hAnsi="Calibri"/>
                <w:b w:val="0"/>
                <w:sz w:val="16"/>
              </w:rPr>
              <w:t>Completeness, checksum, license, source-version checks. Failure: acquisition error; no silent substitution.</w:t>
            </w:r>
          </w:p>
        </w:tc>
      </w:tr>
      <w:tr>
        <w:tc>
          <w:tcPr>
            <w:tcW w:type="dxa" w:w="1250"/>
          </w:tcPr>
          <w:p>
            <w:pPr>
              <w:spacing w:before="0" w:after="0" w:line="252" w:lineRule="auto"/>
              <w:jc w:val="left"/>
            </w:pPr>
            <w:r>
              <w:rPr>
                <w:rFonts w:ascii="Calibri" w:hAnsi="Calibri"/>
                <w:b w:val="0"/>
                <w:sz w:val="16"/>
              </w:rPr>
              <w:t>2. Register and canonicalize</w:t>
            </w:r>
          </w:p>
        </w:tc>
        <w:tc>
          <w:tcPr>
            <w:tcW w:type="dxa" w:w="2600"/>
          </w:tcPr>
          <w:p>
            <w:pPr>
              <w:spacing w:before="0" w:after="0" w:line="252" w:lineRule="auto"/>
              <w:jc w:val="left"/>
            </w:pPr>
            <w:r>
              <w:rPr>
                <w:rFonts w:ascii="Calibri" w:hAnsi="Calibri"/>
                <w:b w:val="0"/>
                <w:sz w:val="16"/>
              </w:rPr>
              <w:t>Raw records, canonicalization specification, deduplication policy.</w:t>
            </w:r>
          </w:p>
        </w:tc>
        <w:tc>
          <w:tcPr>
            <w:tcW w:type="dxa" w:w="2750"/>
          </w:tcPr>
          <w:p>
            <w:pPr>
              <w:spacing w:before="0" w:after="0" w:line="252" w:lineRule="auto"/>
              <w:jc w:val="left"/>
            </w:pPr>
            <w:r>
              <w:rPr>
                <w:rFonts w:ascii="Calibri" w:hAnsi="Calibri"/>
                <w:b w:val="0"/>
                <w:sz w:val="16"/>
              </w:rPr>
              <w:t>Entity/record versions, aliases, raw-to-canonical mapping, provenance.</w:t>
            </w:r>
          </w:p>
        </w:tc>
        <w:tc>
          <w:tcPr>
            <w:tcW w:type="dxa" w:w="2760"/>
          </w:tcPr>
          <w:p>
            <w:pPr>
              <w:spacing w:before="0" w:after="0" w:line="252" w:lineRule="auto"/>
              <w:jc w:val="left"/>
            </w:pPr>
            <w:r>
              <w:rPr>
                <w:rFonts w:ascii="Calibri" w:hAnsi="Calibri"/>
                <w:b w:val="0"/>
                <w:sz w:val="16"/>
              </w:rPr>
              <w:t>Schema/digest/duplicate-policy review. Failure: explicit quarantine or exclusion reason.</w:t>
            </w:r>
          </w:p>
        </w:tc>
      </w:tr>
      <w:tr>
        <w:tc>
          <w:tcPr>
            <w:tcW w:type="dxa" w:w="1250"/>
          </w:tcPr>
          <w:p>
            <w:pPr>
              <w:spacing w:before="0" w:after="0" w:line="252" w:lineRule="auto"/>
              <w:jc w:val="left"/>
            </w:pPr>
            <w:r>
              <w:rPr>
                <w:rFonts w:ascii="Calibri" w:hAnsi="Calibri"/>
                <w:b w:val="0"/>
                <w:sz w:val="16"/>
              </w:rPr>
              <w:t>3. Quality validate</w:t>
            </w:r>
          </w:p>
        </w:tc>
        <w:tc>
          <w:tcPr>
            <w:tcW w:type="dxa" w:w="2600"/>
          </w:tcPr>
          <w:p>
            <w:pPr>
              <w:spacing w:before="0" w:after="0" w:line="252" w:lineRule="auto"/>
              <w:jc w:val="left"/>
            </w:pPr>
            <w:r>
              <w:rPr>
                <w:rFonts w:ascii="Calibri" w:hAnsi="Calibri"/>
                <w:b w:val="0"/>
                <w:sz w:val="16"/>
              </w:rPr>
              <w:t>Normalized record versions and declared rule set.</w:t>
            </w:r>
          </w:p>
        </w:tc>
        <w:tc>
          <w:tcPr>
            <w:tcW w:type="dxa" w:w="2750"/>
          </w:tcPr>
          <w:p>
            <w:pPr>
              <w:spacing w:before="0" w:after="0" w:line="252" w:lineRule="auto"/>
              <w:jc w:val="left"/>
            </w:pPr>
            <w:r>
              <w:rPr>
                <w:rFonts w:ascii="Calibri" w:hAnsi="Calibri"/>
                <w:b w:val="0"/>
                <w:sz w:val="16"/>
              </w:rPr>
              <w:t>Validation assertions, eligible set, exclusion ledger.</w:t>
            </w:r>
          </w:p>
        </w:tc>
        <w:tc>
          <w:tcPr>
            <w:tcW w:type="dxa" w:w="2760"/>
          </w:tcPr>
          <w:p>
            <w:pPr>
              <w:spacing w:before="0" w:after="0" w:line="252" w:lineRule="auto"/>
              <w:jc w:val="left"/>
            </w:pPr>
            <w:r>
              <w:rPr>
                <w:rFonts w:ascii="Calibri" w:hAnsi="Calibri"/>
                <w:b w:val="0"/>
                <w:sz w:val="16"/>
              </w:rPr>
              <w:t>All rules recorded with rationale. Failure: ineligible record excluded, not deleted.</w:t>
            </w:r>
          </w:p>
        </w:tc>
      </w:tr>
      <w:tr>
        <w:tc>
          <w:tcPr>
            <w:tcW w:type="dxa" w:w="1250"/>
          </w:tcPr>
          <w:p>
            <w:pPr>
              <w:spacing w:before="0" w:after="0" w:line="252" w:lineRule="auto"/>
              <w:jc w:val="left"/>
            </w:pPr>
            <w:r>
              <w:rPr>
                <w:rFonts w:ascii="Calibri" w:hAnsi="Calibri"/>
                <w:b w:val="0"/>
                <w:sz w:val="16"/>
              </w:rPr>
              <w:t>4. Embed</w:t>
            </w:r>
          </w:p>
        </w:tc>
        <w:tc>
          <w:tcPr>
            <w:tcW w:type="dxa" w:w="2600"/>
          </w:tcPr>
          <w:p>
            <w:pPr>
              <w:spacing w:before="0" w:after="0" w:line="252" w:lineRule="auto"/>
              <w:jc w:val="left"/>
            </w:pPr>
            <w:r>
              <w:rPr>
                <w:rFonts w:ascii="Calibri" w:hAnsi="Calibri"/>
                <w:b w:val="0"/>
                <w:sz w:val="16"/>
              </w:rPr>
              <w:t>Eligible records, Active/Candidate profile, runner configuration.</w:t>
            </w:r>
          </w:p>
        </w:tc>
        <w:tc>
          <w:tcPr>
            <w:tcW w:type="dxa" w:w="2750"/>
          </w:tcPr>
          <w:p>
            <w:pPr>
              <w:spacing w:before="0" w:after="0" w:line="252" w:lineRule="auto"/>
              <w:jc w:val="left"/>
            </w:pPr>
            <w:r>
              <w:rPr>
                <w:rFonts w:ascii="Calibri" w:hAnsi="Calibri"/>
                <w:b w:val="0"/>
                <w:sz w:val="16"/>
              </w:rPr>
              <w:t>Embedding instances, vector shards, runner/run manifest.</w:t>
            </w:r>
          </w:p>
        </w:tc>
        <w:tc>
          <w:tcPr>
            <w:tcW w:type="dxa" w:w="2760"/>
          </w:tcPr>
          <w:p>
            <w:pPr>
              <w:spacing w:before="0" w:after="0" w:line="252" w:lineRule="auto"/>
              <w:jc w:val="left"/>
            </w:pPr>
            <w:r>
              <w:rPr>
                <w:rFonts w:ascii="Calibri" w:hAnsi="Calibri"/>
                <w:b w:val="0"/>
                <w:sz w:val="16"/>
              </w:rPr>
              <w:t>Profile match, expected dimension, numeric sanity, shard checksum. Failure: record-level failure ledger.</w:t>
            </w:r>
          </w:p>
        </w:tc>
      </w:tr>
      <w:tr>
        <w:tc>
          <w:tcPr>
            <w:tcW w:type="dxa" w:w="1250"/>
          </w:tcPr>
          <w:p>
            <w:pPr>
              <w:spacing w:before="0" w:after="0" w:line="252" w:lineRule="auto"/>
              <w:jc w:val="left"/>
            </w:pPr>
            <w:r>
              <w:rPr>
                <w:rFonts w:ascii="Calibri" w:hAnsi="Calibri"/>
                <w:b w:val="0"/>
                <w:sz w:val="16"/>
              </w:rPr>
              <w:t>5. Annotate</w:t>
            </w:r>
          </w:p>
        </w:tc>
        <w:tc>
          <w:tcPr>
            <w:tcW w:type="dxa" w:w="2600"/>
          </w:tcPr>
          <w:p>
            <w:pPr>
              <w:spacing w:before="0" w:after="0" w:line="252" w:lineRule="auto"/>
              <w:jc w:val="left"/>
            </w:pPr>
            <w:r>
              <w:rPr>
                <w:rFonts w:ascii="Calibri" w:hAnsi="Calibri"/>
                <w:b w:val="0"/>
                <w:sz w:val="16"/>
              </w:rPr>
              <w:t>Targets, provider configurations, controlled vocabularies.</w:t>
            </w:r>
          </w:p>
        </w:tc>
        <w:tc>
          <w:tcPr>
            <w:tcW w:type="dxa" w:w="2750"/>
          </w:tcPr>
          <w:p>
            <w:pPr>
              <w:spacing w:before="0" w:after="0" w:line="252" w:lineRule="auto"/>
              <w:jc w:val="left"/>
            </w:pPr>
            <w:r>
              <w:rPr>
                <w:rFonts w:ascii="Calibri" w:hAnsi="Calibri"/>
                <w:b w:val="0"/>
                <w:sz w:val="16"/>
              </w:rPr>
              <w:t>Annotation assertions and provider evidence.</w:t>
            </w:r>
          </w:p>
        </w:tc>
        <w:tc>
          <w:tcPr>
            <w:tcW w:type="dxa" w:w="2760"/>
          </w:tcPr>
          <w:p>
            <w:pPr>
              <w:spacing w:before="0" w:after="0" w:line="252" w:lineRule="auto"/>
              <w:jc w:val="left"/>
            </w:pPr>
            <w:r>
              <w:rPr>
                <w:rFonts w:ascii="Calibri" w:hAnsi="Calibri"/>
                <w:b w:val="0"/>
                <w:sz w:val="16"/>
              </w:rPr>
              <w:t>Source/version/evidence semantics. Failure: unavailable evidence; no fabricated negative.</w:t>
            </w:r>
          </w:p>
        </w:tc>
      </w:tr>
      <w:tr>
        <w:tc>
          <w:tcPr>
            <w:tcW w:type="dxa" w:w="1250"/>
          </w:tcPr>
          <w:p>
            <w:pPr>
              <w:spacing w:before="0" w:after="0" w:line="252" w:lineRule="auto"/>
              <w:jc w:val="left"/>
            </w:pPr>
            <w:r>
              <w:rPr>
                <w:rFonts w:ascii="Calibri" w:hAnsi="Calibri"/>
                <w:b w:val="0"/>
                <w:sz w:val="16"/>
              </w:rPr>
              <w:t>6. Derive</w:t>
            </w:r>
          </w:p>
        </w:tc>
        <w:tc>
          <w:tcPr>
            <w:tcW w:type="dxa" w:w="2600"/>
          </w:tcPr>
          <w:p>
            <w:pPr>
              <w:spacing w:before="0" w:after="0" w:line="252" w:lineRule="auto"/>
              <w:jc w:val="left"/>
            </w:pPr>
            <w:r>
              <w:rPr>
                <w:rFonts w:ascii="Calibri" w:hAnsi="Calibri"/>
                <w:b w:val="0"/>
                <w:sz w:val="16"/>
              </w:rPr>
              <w:t>Embedding instances, declared parameters, optional metadata filters.</w:t>
            </w:r>
          </w:p>
        </w:tc>
        <w:tc>
          <w:tcPr>
            <w:tcW w:type="dxa" w:w="2750"/>
          </w:tcPr>
          <w:p>
            <w:pPr>
              <w:spacing w:before="0" w:after="0" w:line="252" w:lineRule="auto"/>
              <w:jc w:val="left"/>
            </w:pPr>
            <w:r>
              <w:rPr>
                <w:rFonts w:ascii="Calibri" w:hAnsi="Calibri"/>
                <w:b w:val="0"/>
                <w:sz w:val="16"/>
              </w:rPr>
              <w:t>Neighbour relations, graph, index, optional projection/cluster artifacts.</w:t>
            </w:r>
          </w:p>
        </w:tc>
        <w:tc>
          <w:tcPr>
            <w:tcW w:type="dxa" w:w="2760"/>
          </w:tcPr>
          <w:p>
            <w:pPr>
              <w:spacing w:before="0" w:after="0" w:line="252" w:lineRule="auto"/>
              <w:jc w:val="left"/>
            </w:pPr>
            <w:r>
              <w:rPr>
                <w:rFonts w:ascii="Calibri" w:hAnsi="Calibri"/>
                <w:b w:val="0"/>
                <w:sz w:val="16"/>
              </w:rPr>
              <w:t>Lineage, parameter capture, artifact checksum; experimental status where applicable.</w:t>
            </w:r>
          </w:p>
        </w:tc>
      </w:tr>
      <w:tr>
        <w:tc>
          <w:tcPr>
            <w:tcW w:type="dxa" w:w="1250"/>
          </w:tcPr>
          <w:p>
            <w:pPr>
              <w:spacing w:before="0" w:after="0" w:line="252" w:lineRule="auto"/>
              <w:jc w:val="left"/>
            </w:pPr>
            <w:r>
              <w:rPr>
                <w:rFonts w:ascii="Calibri" w:hAnsi="Calibri"/>
                <w:b w:val="0"/>
                <w:sz w:val="16"/>
              </w:rPr>
              <w:t>7. Validate release</w:t>
            </w:r>
          </w:p>
        </w:tc>
        <w:tc>
          <w:tcPr>
            <w:tcW w:type="dxa" w:w="2600"/>
          </w:tcPr>
          <w:p>
            <w:pPr>
              <w:spacing w:before="0" w:after="0" w:line="252" w:lineRule="auto"/>
              <w:jc w:val="left"/>
            </w:pPr>
            <w:r>
              <w:rPr>
                <w:rFonts w:ascii="Calibri" w:hAnsi="Calibri"/>
                <w:b w:val="0"/>
                <w:sz w:val="16"/>
              </w:rPr>
              <w:t>All candidate artifacts and evidence requirements.</w:t>
            </w:r>
          </w:p>
        </w:tc>
        <w:tc>
          <w:tcPr>
            <w:tcW w:type="dxa" w:w="2750"/>
          </w:tcPr>
          <w:p>
            <w:pPr>
              <w:spacing w:before="0" w:after="0" w:line="252" w:lineRule="auto"/>
              <w:jc w:val="left"/>
            </w:pPr>
            <w:r>
              <w:rPr>
                <w:rFonts w:ascii="Calibri" w:hAnsi="Calibri"/>
                <w:b w:val="0"/>
                <w:sz w:val="16"/>
              </w:rPr>
              <w:t>Validation bundle, pass/fail report, waivers if authorized.</w:t>
            </w:r>
          </w:p>
        </w:tc>
        <w:tc>
          <w:tcPr>
            <w:tcW w:type="dxa" w:w="2760"/>
          </w:tcPr>
          <w:p>
            <w:pPr>
              <w:spacing w:before="0" w:after="0" w:line="252" w:lineRule="auto"/>
              <w:jc w:val="left"/>
            </w:pPr>
            <w:r>
              <w:rPr>
                <w:rFonts w:ascii="Calibri" w:hAnsi="Calibri"/>
                <w:b w:val="0"/>
                <w:sz w:val="16"/>
              </w:rPr>
              <w:t>Schema, referential integrity, digest, reader reconstruction, policy checks. Failure blocks publication.</w:t>
            </w:r>
          </w:p>
        </w:tc>
      </w:tr>
      <w:tr>
        <w:tc>
          <w:tcPr>
            <w:tcW w:type="dxa" w:w="1250"/>
          </w:tcPr>
          <w:p>
            <w:pPr>
              <w:spacing w:before="0" w:after="0" w:line="252" w:lineRule="auto"/>
              <w:jc w:val="left"/>
            </w:pPr>
            <w:r>
              <w:rPr>
                <w:rFonts w:ascii="Calibri" w:hAnsi="Calibri"/>
                <w:b w:val="0"/>
                <w:sz w:val="16"/>
              </w:rPr>
              <w:t>8. Package and publish</w:t>
            </w:r>
          </w:p>
        </w:tc>
        <w:tc>
          <w:tcPr>
            <w:tcW w:type="dxa" w:w="2600"/>
          </w:tcPr>
          <w:p>
            <w:pPr>
              <w:spacing w:before="0" w:after="0" w:line="252" w:lineRule="auto"/>
              <w:jc w:val="left"/>
            </w:pPr>
            <w:r>
              <w:rPr>
                <w:rFonts w:ascii="Calibri" w:hAnsi="Calibri"/>
                <w:b w:val="0"/>
                <w:sz w:val="16"/>
              </w:rPr>
              <w:t>Approved candidate, citation/license metadata, target repository config.</w:t>
            </w:r>
          </w:p>
        </w:tc>
        <w:tc>
          <w:tcPr>
            <w:tcW w:type="dxa" w:w="2750"/>
          </w:tcPr>
          <w:p>
            <w:pPr>
              <w:spacing w:before="0" w:after="0" w:line="252" w:lineRule="auto"/>
              <w:jc w:val="left"/>
            </w:pPr>
            <w:r>
              <w:rPr>
                <w:rFonts w:ascii="Calibri" w:hAnsi="Calibri"/>
                <w:b w:val="0"/>
                <w:sz w:val="16"/>
              </w:rPr>
              <w:t>Immutable snapshot, deposit receipt, publication record.</w:t>
            </w:r>
          </w:p>
        </w:tc>
        <w:tc>
          <w:tcPr>
            <w:tcW w:type="dxa" w:w="2760"/>
          </w:tcPr>
          <w:p>
            <w:pPr>
              <w:spacing w:before="0" w:after="0" w:line="252" w:lineRule="auto"/>
              <w:jc w:val="left"/>
            </w:pPr>
            <w:r>
              <w:rPr>
                <w:rFonts w:ascii="Calibri" w:hAnsi="Calibri"/>
                <w:b w:val="0"/>
                <w:sz w:val="16"/>
              </w:rPr>
              <w:t>Archive rehearsal and approval. Failure leaves Candidate state.</w:t>
            </w:r>
          </w:p>
        </w:tc>
      </w:tr>
      <w:tr>
        <w:tc>
          <w:tcPr>
            <w:tcW w:type="dxa" w:w="1250"/>
          </w:tcPr>
          <w:p>
            <w:pPr>
              <w:spacing w:before="0" w:after="0" w:line="252" w:lineRule="auto"/>
              <w:jc w:val="left"/>
            </w:pPr>
            <w:r>
              <w:rPr>
                <w:rFonts w:ascii="Calibri" w:hAnsi="Calibri"/>
                <w:b w:val="0"/>
                <w:sz w:val="16"/>
              </w:rPr>
              <w:t>9. Archive and catalog</w:t>
            </w:r>
          </w:p>
        </w:tc>
        <w:tc>
          <w:tcPr>
            <w:tcW w:type="dxa" w:w="2600"/>
          </w:tcPr>
          <w:p>
            <w:pPr>
              <w:spacing w:before="0" w:after="0" w:line="252" w:lineRule="auto"/>
              <w:jc w:val="left"/>
            </w:pPr>
            <w:r>
              <w:rPr>
                <w:rFonts w:ascii="Calibri" w:hAnsi="Calibri"/>
                <w:b w:val="0"/>
                <w:sz w:val="16"/>
              </w:rPr>
              <w:t>Published snapshot and repository identifiers.</w:t>
            </w:r>
          </w:p>
        </w:tc>
        <w:tc>
          <w:tcPr>
            <w:tcW w:type="dxa" w:w="2750"/>
          </w:tcPr>
          <w:p>
            <w:pPr>
              <w:spacing w:before="0" w:after="0" w:line="252" w:lineRule="auto"/>
              <w:jc w:val="left"/>
            </w:pPr>
            <w:r>
              <w:rPr>
                <w:rFonts w:ascii="Calibri" w:hAnsi="Calibri"/>
                <w:b w:val="0"/>
                <w:sz w:val="16"/>
              </w:rPr>
              <w:t>Catalog entry, successor links, retention metadata.</w:t>
            </w:r>
          </w:p>
        </w:tc>
        <w:tc>
          <w:tcPr>
            <w:tcW w:type="dxa" w:w="2760"/>
          </w:tcPr>
          <w:p>
            <w:pPr>
              <w:spacing w:before="0" w:after="0" w:line="252" w:lineRule="auto"/>
              <w:jc w:val="left"/>
            </w:pPr>
            <w:r>
              <w:rPr>
                <w:rFonts w:ascii="Calibri" w:hAnsi="Calibri"/>
                <w:b w:val="0"/>
                <w:sz w:val="16"/>
              </w:rPr>
              <w:t>Independent verification. Failure triggers publication incident process.</w:t>
            </w:r>
          </w:p>
        </w:tc>
      </w:tr>
    </w:tbl>
    <w:p>
      <w:pPr>
        <w:spacing w:after="40"/>
      </w:pPr>
    </w:p>
    <w:p>
      <w:pPr>
        <w:pStyle w:val="Heading2"/>
      </w:pPr>
      <w:r>
        <w:rPr>
          <w:rFonts w:ascii="Calibri" w:hAnsi="Calibri"/>
          <w:b/>
          <w:color w:val="2E74B5"/>
          <w:sz w:val="26"/>
        </w:rPr>
        <w:t>9.2 Builder manifest</w:t>
      </w:r>
    </w:p>
    <w:p>
      <w:pPr>
        <w:keepLines w:val="0"/>
      </w:pPr>
      <w:r>
        <w:rPr>
          <w:rFonts w:ascii="Calibri" w:hAnsi="Calibri"/>
          <w:i w:val="0"/>
          <w:sz w:val="22"/>
        </w:rPr>
        <w:t>The build manifest is a versioned declarative plan. It MUST identify source inventories, inclusion/exclusion policy, canonicalization profile, quality rules, embedding profiles, plugin versions/configuration digests, derivation specifications, validation suite, output schema, and intended release metadata. It SHOULD contain no credential material; secret references belong to deployment configuration and never enter a published release.</w:t>
      </w:r>
    </w:p>
    <w:p>
      <w:pPr>
        <w:pStyle w:val="Heading2"/>
      </w:pPr>
      <w:r>
        <w:rPr>
          <w:rFonts w:ascii="Calibri" w:hAnsi="Calibri"/>
          <w:b/>
          <w:color w:val="2E74B5"/>
          <w:sz w:val="26"/>
        </w:rPr>
        <w:t>9.3 Content-addressed execution</w:t>
      </w:r>
    </w:p>
    <w:p>
      <w:pPr>
        <w:keepLines w:val="0"/>
      </w:pPr>
      <w:r>
        <w:rPr>
          <w:rFonts w:ascii="Calibri" w:hAnsi="Calibri"/>
          <w:i w:val="0"/>
          <w:sz w:val="22"/>
        </w:rPr>
        <w:t>Each stage input and output has a digest over its declared content and relevant configuration. A stage may reuse an existing artifact only when its input digests, plugin identity, configuration digest, and schema compatibility match. Cache reuse is an optimization, not a provenance shortcut: the final stage manifest MUST name the reused artifact and its original build record.</w:t>
      </w:r>
    </w:p>
    <w:p>
      <w:pPr>
        <w:pStyle w:val="Heading2"/>
      </w:pPr>
      <w:r>
        <w:rPr>
          <w:rFonts w:ascii="Calibri" w:hAnsi="Calibri"/>
          <w:b/>
          <w:color w:val="2E74B5"/>
          <w:sz w:val="26"/>
        </w:rPr>
        <w:t>9.4 Failure and recovery policy</w:t>
      </w:r>
    </w:p>
    <w:p>
      <w:pPr>
        <w:pStyle w:val="ListBullet"/>
        <w:spacing w:after="80" w:line="300" w:lineRule="auto"/>
      </w:pPr>
      <w:r>
        <w:rPr>
          <w:rFonts w:ascii="Calibri" w:hAnsi="Calibri"/>
          <w:sz w:val="22"/>
        </w:rPr>
        <w:t>Builder MUST be resumable from completed, verified stage artifacts; it MUST NOT resume from an unverified partial output.</w:t>
      </w:r>
    </w:p>
    <w:p>
      <w:pPr>
        <w:pStyle w:val="ListBullet"/>
        <w:spacing w:after="80" w:line="300" w:lineRule="auto"/>
      </w:pPr>
      <w:r>
        <w:rPr>
          <w:rFonts w:ascii="Calibri" w:hAnsi="Calibri"/>
          <w:sz w:val="22"/>
        </w:rPr>
        <w:t>Record-level errors produce an exclusion or quarantine assertion with reason and source link. They do not disappear from source accounting.</w:t>
      </w:r>
    </w:p>
    <w:p>
      <w:pPr>
        <w:pStyle w:val="ListBullet"/>
        <w:spacing w:after="80" w:line="300" w:lineRule="auto"/>
      </w:pPr>
      <w:r>
        <w:rPr>
          <w:rFonts w:ascii="Calibri" w:hAnsi="Calibri"/>
          <w:sz w:val="22"/>
        </w:rPr>
        <w:t>A failed mandatory gate prevents Candidate-to-Published transition. A waiver requires an owner, rationale, scope, expiry or review point, and manifest reference.</w:t>
      </w:r>
    </w:p>
    <w:p>
      <w:pPr>
        <w:pStyle w:val="ListBullet"/>
        <w:spacing w:after="80" w:line="300" w:lineRule="auto"/>
      </w:pPr>
      <w:r>
        <w:rPr>
          <w:rFonts w:ascii="Calibri" w:hAnsi="Calibri"/>
          <w:sz w:val="22"/>
        </w:rPr>
        <w:t>A plugin crash is operational failure, not scientific evidence. The published release records only successful, verified outputs.</w:t>
      </w:r>
    </w:p>
    <w:p>
      <w:pPr>
        <w:pStyle w:val="ListBullet"/>
        <w:spacing w:after="80" w:line="300" w:lineRule="auto"/>
      </w:pPr>
      <w:r>
        <w:rPr>
          <w:rFonts w:ascii="Calibri" w:hAnsi="Calibri"/>
          <w:sz w:val="22"/>
        </w:rPr>
        <w:t>Non-deterministic steps MUST state seeds, environment, and expected tolerance. If reproducibility cannot be demonstrated, their output remains Experimental.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ADR-008 (manifest-driven, content-addressed Builder) and ADR-012 (formal release gates) before M1 implementation.</w:t>
            </w:r>
          </w:p>
        </w:tc>
      </w:tr>
    </w:tbl>
    <w:p>
      <w:pPr>
        <w:spacing w:after="40"/>
      </w:pPr>
    </w:p>
    <w:p>
      <w:pPr>
        <w:pStyle w:val="Heading1"/>
        <w:pageBreakBefore/>
      </w:pPr>
      <w:r>
        <w:rPr>
          <w:rFonts w:ascii="Calibri" w:hAnsi="Calibri"/>
          <w:b/>
          <w:color w:val="2E74B5"/>
          <w:sz w:val="32"/>
        </w:rPr>
        <w:t>10. Explorer</w:t>
      </w:r>
    </w:p>
    <w:p>
      <w:pPr>
        <w:pStyle w:val="Heading2"/>
      </w:pPr>
      <w:r>
        <w:rPr>
          <w:rFonts w:ascii="Calibri" w:hAnsi="Calibri"/>
          <w:b/>
          <w:color w:val="2E74B5"/>
          <w:sz w:val="26"/>
        </w:rPr>
        <w:t>Why</w:t>
      </w:r>
    </w:p>
    <w:p>
      <w:pPr>
        <w:keepLines w:val="0"/>
      </w:pPr>
      <w:r>
        <w:rPr>
          <w:rFonts w:ascii="Calibri" w:hAnsi="Calibri"/>
          <w:i w:val="0"/>
          <w:sz w:val="22"/>
        </w:rPr>
        <w:t>A human-facing client makes a release usable, but visual convenience must not obscure provenance or elevate exploratory visualizations into scientific evidence.</w:t>
      </w:r>
    </w:p>
    <w:p>
      <w:pPr>
        <w:pStyle w:val="Heading2"/>
      </w:pPr>
      <w:r>
        <w:rPr>
          <w:rFonts w:ascii="Calibri" w:hAnsi="Calibri"/>
          <w:b/>
          <w:color w:val="2E74B5"/>
          <w:sz w:val="26"/>
        </w:rPr>
        <w:t>What</w:t>
      </w:r>
    </w:p>
    <w:p>
      <w:pPr>
        <w:keepLines w:val="0"/>
      </w:pPr>
      <w:r>
        <w:rPr>
          <w:rFonts w:ascii="Calibri" w:hAnsi="Calibri"/>
          <w:i w:val="0"/>
          <w:sz w:val="22"/>
        </w:rPr>
        <w:t>Explorer is a release-aware client that displays release identity, record provenance, annotations, embeddings, relations, similarity results, and optional projections. Revision 3 reports a process-isolated PySide6 explorer with interactive Discovery Atlas elements; this EDS does not independently audit that claim. Atlas mode is Planned.</w:t>
      </w:r>
    </w:p>
    <w:p>
      <w:pPr>
        <w:pStyle w:val="Heading2"/>
      </w:pPr>
      <w:r>
        <w:rPr>
          <w:rFonts w:ascii="Calibri" w:hAnsi="Calibri"/>
          <w:b/>
          <w:color w:val="2E74B5"/>
          <w:sz w:val="26"/>
        </w:rPr>
        <w:t>How</w:t>
      </w:r>
    </w:p>
    <w:p>
      <w:pPr>
        <w:keepLines w:val="0"/>
      </w:pPr>
      <w:r>
        <w:rPr>
          <w:rFonts w:ascii="Calibri" w:hAnsi="Calibri"/>
          <w:i w:val="0"/>
          <w:sz w:val="22"/>
        </w:rPr>
        <w:t>Explorer calls Query Core directly or through REST. Before opening a release, it displays scope, citation, compatibility, and integrity state. Every result panel identifies the selected profile, metric, relation lineage, and evidence status. Projection views expose parameters and state that they are derived exploration artifacts.</w:t>
      </w:r>
    </w:p>
    <w:p>
      <w:pPr>
        <w:pStyle w:val="Heading2"/>
      </w:pPr>
      <w:r>
        <w:rPr>
          <w:rFonts w:ascii="Calibri" w:hAnsi="Calibri"/>
          <w:b/>
          <w:color w:val="2E74B5"/>
          <w:sz w:val="26"/>
        </w:rPr>
        <w:t>Future considerations</w:t>
      </w:r>
    </w:p>
    <w:p>
      <w:pPr>
        <w:keepLines w:val="0"/>
      </w:pPr>
      <w:r>
        <w:rPr>
          <w:rFonts w:ascii="Calibri" w:hAnsi="Calibri"/>
          <w:i w:val="0"/>
          <w:sz w:val="22"/>
        </w:rPr>
        <w:t>Alternative clients, notebooks, web deployment, and accessible visual modes are extensions. UI process isolation is a local-client implementation concern; it must not leak into release contracts or Query Core semantics.</w:t>
      </w:r>
    </w:p>
    <w:tbl>
      <w:tblPr>
        <w:tblStyle w:val="TableGrid"/>
        <w:tblW w:type="dxa" w:w="9360"/>
        <w:jc w:val="left"/>
        <w:tblLayout w:type="fixed"/>
        <w:tblLook w:firstColumn="1" w:firstRow="1" w:lastColumn="0" w:lastRow="0" w:noHBand="0" w:noVBand="1" w:val="04A0"/>
        <w:tblInd w:w="120" w:type="dxa"/>
      </w:tblPr>
      <w:tblGrid>
        <w:gridCol w:w="1750"/>
        <w:gridCol w:w="5100"/>
        <w:gridCol w:w="25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Function</w:t>
            </w:r>
          </w:p>
        </w:tc>
        <w:tc>
          <w:tcPr>
            <w:tcW w:type="dxa" w:w="5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behavior</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Dependency / status</w:t>
            </w:r>
          </w:p>
        </w:tc>
      </w:tr>
      <w:tr>
        <w:tc>
          <w:tcPr>
            <w:tcW w:type="dxa" w:w="1750"/>
          </w:tcPr>
          <w:p>
            <w:pPr>
              <w:spacing w:before="0" w:after="0" w:line="252" w:lineRule="auto"/>
              <w:jc w:val="left"/>
            </w:pPr>
            <w:r>
              <w:rPr>
                <w:rFonts w:ascii="Calibri" w:hAnsi="Calibri"/>
                <w:b w:val="0"/>
                <w:sz w:val="18"/>
              </w:rPr>
              <w:t>Release selection</w:t>
            </w:r>
          </w:p>
        </w:tc>
        <w:tc>
          <w:tcPr>
            <w:tcW w:type="dxa" w:w="5100"/>
          </w:tcPr>
          <w:p>
            <w:pPr>
              <w:spacing w:before="0" w:after="0" w:line="252" w:lineRule="auto"/>
              <w:jc w:val="left"/>
            </w:pPr>
            <w:r>
              <w:rPr>
                <w:rFonts w:ascii="Calibri" w:hAnsi="Calibri"/>
                <w:b w:val="0"/>
                <w:sz w:val="18"/>
              </w:rPr>
              <w:t>Show scope, citation, schema compatibility, license, and integrity result before open.</w:t>
            </w:r>
          </w:p>
        </w:tc>
        <w:tc>
          <w:tcPr>
            <w:tcW w:type="dxa" w:w="2510"/>
          </w:tcPr>
          <w:p>
            <w:pPr>
              <w:spacing w:before="0" w:after="0" w:line="252" w:lineRule="auto"/>
              <w:jc w:val="left"/>
            </w:pPr>
            <w:r>
              <w:rPr>
                <w:rFonts w:ascii="Calibri" w:hAnsi="Calibri"/>
                <w:b w:val="0"/>
                <w:sz w:val="18"/>
              </w:rPr>
              <w:t>Release Catalog; Planned.</w:t>
            </w:r>
          </w:p>
        </w:tc>
      </w:tr>
      <w:tr>
        <w:tc>
          <w:tcPr>
            <w:tcW w:type="dxa" w:w="1750"/>
          </w:tcPr>
          <w:p>
            <w:pPr>
              <w:spacing w:before="0" w:after="0" w:line="252" w:lineRule="auto"/>
              <w:jc w:val="left"/>
            </w:pPr>
            <w:r>
              <w:rPr>
                <w:rFonts w:ascii="Calibri" w:hAnsi="Calibri"/>
                <w:b w:val="0"/>
                <w:sz w:val="18"/>
              </w:rPr>
              <w:t>Record view</w:t>
            </w:r>
          </w:p>
        </w:tc>
        <w:tc>
          <w:tcPr>
            <w:tcW w:type="dxa" w:w="5100"/>
          </w:tcPr>
          <w:p>
            <w:pPr>
              <w:spacing w:before="0" w:after="0" w:line="252" w:lineRule="auto"/>
              <w:jc w:val="left"/>
            </w:pPr>
            <w:r>
              <w:rPr>
                <w:rFonts w:ascii="Calibri" w:hAnsi="Calibri"/>
                <w:b w:val="0"/>
                <w:sz w:val="18"/>
              </w:rPr>
              <w:t>Show immutable record version, entity link, aliases, provenance, annotations, profiles, and derived relations.</w:t>
            </w:r>
          </w:p>
        </w:tc>
        <w:tc>
          <w:tcPr>
            <w:tcW w:type="dxa" w:w="2510"/>
          </w:tcPr>
          <w:p>
            <w:pPr>
              <w:spacing w:before="0" w:after="0" w:line="252" w:lineRule="auto"/>
              <w:jc w:val="left"/>
            </w:pPr>
            <w:r>
              <w:rPr>
                <w:rFonts w:ascii="Calibri" w:hAnsi="Calibri"/>
                <w:b w:val="0"/>
                <w:sz w:val="18"/>
              </w:rPr>
              <w:t>Query Core; Planned.</w:t>
            </w:r>
          </w:p>
        </w:tc>
      </w:tr>
      <w:tr>
        <w:tc>
          <w:tcPr>
            <w:tcW w:type="dxa" w:w="1750"/>
          </w:tcPr>
          <w:p>
            <w:pPr>
              <w:spacing w:before="0" w:after="0" w:line="252" w:lineRule="auto"/>
              <w:jc w:val="left"/>
            </w:pPr>
            <w:r>
              <w:rPr>
                <w:rFonts w:ascii="Calibri" w:hAnsi="Calibri"/>
                <w:b w:val="0"/>
                <w:sz w:val="18"/>
              </w:rPr>
              <w:t>Similarity</w:t>
            </w:r>
          </w:p>
        </w:tc>
        <w:tc>
          <w:tcPr>
            <w:tcW w:type="dxa" w:w="5100"/>
          </w:tcPr>
          <w:p>
            <w:pPr>
              <w:spacing w:before="0" w:after="0" w:line="252" w:lineRule="auto"/>
              <w:jc w:val="left"/>
            </w:pPr>
            <w:r>
              <w:rPr>
                <w:rFonts w:ascii="Calibri" w:hAnsi="Calibri"/>
                <w:b w:val="0"/>
                <w:sz w:val="18"/>
              </w:rPr>
              <w:t>Require explicit profile; show metric, exact/approximate mode, filters, scores, and result evidence.</w:t>
            </w:r>
          </w:p>
        </w:tc>
        <w:tc>
          <w:tcPr>
            <w:tcW w:type="dxa" w:w="2510"/>
          </w:tcPr>
          <w:p>
            <w:pPr>
              <w:spacing w:before="0" w:after="0" w:line="252" w:lineRule="auto"/>
              <w:jc w:val="left"/>
            </w:pPr>
            <w:r>
              <w:rPr>
                <w:rFonts w:ascii="Calibri" w:hAnsi="Calibri"/>
                <w:b w:val="0"/>
                <w:sz w:val="18"/>
              </w:rPr>
              <w:t>Query Core/index adapter; Planned.</w:t>
            </w:r>
          </w:p>
        </w:tc>
      </w:tr>
      <w:tr>
        <w:tc>
          <w:tcPr>
            <w:tcW w:type="dxa" w:w="1750"/>
          </w:tcPr>
          <w:p>
            <w:pPr>
              <w:spacing w:before="0" w:after="0" w:line="252" w:lineRule="auto"/>
              <w:jc w:val="left"/>
            </w:pPr>
            <w:r>
              <w:rPr>
                <w:rFonts w:ascii="Calibri" w:hAnsi="Calibri"/>
                <w:b w:val="0"/>
                <w:sz w:val="18"/>
              </w:rPr>
              <w:t>Projection</w:t>
            </w:r>
          </w:p>
        </w:tc>
        <w:tc>
          <w:tcPr>
            <w:tcW w:type="dxa" w:w="5100"/>
          </w:tcPr>
          <w:p>
            <w:pPr>
              <w:spacing w:before="0" w:after="0" w:line="252" w:lineRule="auto"/>
              <w:jc w:val="left"/>
            </w:pPr>
            <w:r>
              <w:rPr>
                <w:rFonts w:ascii="Calibri" w:hAnsi="Calibri"/>
                <w:b w:val="0"/>
                <w:sz w:val="18"/>
              </w:rPr>
              <w:t>Mark as derived/exploratory; show parameters and artifact digest; provide exportable view metadata.</w:t>
            </w:r>
          </w:p>
        </w:tc>
        <w:tc>
          <w:tcPr>
            <w:tcW w:type="dxa" w:w="2510"/>
          </w:tcPr>
          <w:p>
            <w:pPr>
              <w:spacing w:before="0" w:after="0" w:line="252" w:lineRule="auto"/>
              <w:jc w:val="left"/>
            </w:pPr>
            <w:r>
              <w:rPr>
                <w:rFonts w:ascii="Calibri" w:hAnsi="Calibri"/>
                <w:b w:val="0"/>
                <w:sz w:val="18"/>
              </w:rPr>
              <w:t>Projection artifact; reported visualization, Atlas mode Planned.</w:t>
            </w:r>
          </w:p>
        </w:tc>
      </w:tr>
      <w:tr>
        <w:tc>
          <w:tcPr>
            <w:tcW w:type="dxa" w:w="1750"/>
          </w:tcPr>
          <w:p>
            <w:pPr>
              <w:spacing w:before="0" w:after="0" w:line="252" w:lineRule="auto"/>
              <w:jc w:val="left"/>
            </w:pPr>
            <w:r>
              <w:rPr>
                <w:rFonts w:ascii="Calibri" w:hAnsi="Calibri"/>
                <w:b w:val="0"/>
                <w:sz w:val="18"/>
              </w:rPr>
              <w:t>Candidate display</w:t>
            </w:r>
          </w:p>
        </w:tc>
        <w:tc>
          <w:tcPr>
            <w:tcW w:type="dxa" w:w="5100"/>
          </w:tcPr>
          <w:p>
            <w:pPr>
              <w:spacing w:before="0" w:after="0" w:line="252" w:lineRule="auto"/>
              <w:jc w:val="left"/>
            </w:pPr>
            <w:r>
              <w:rPr>
                <w:rFonts w:ascii="Calibri" w:hAnsi="Calibri"/>
                <w:b w:val="0"/>
                <w:sz w:val="18"/>
              </w:rPr>
              <w:t>Use non-confirmatory language; distinguish unavailable annotation from negative evidence.</w:t>
            </w:r>
          </w:p>
        </w:tc>
        <w:tc>
          <w:tcPr>
            <w:tcW w:type="dxa" w:w="2510"/>
          </w:tcPr>
          <w:p>
            <w:pPr>
              <w:spacing w:before="0" w:after="0" w:line="252" w:lineRule="auto"/>
              <w:jc w:val="left"/>
            </w:pPr>
            <w:r>
              <w:rPr>
                <w:rFonts w:ascii="Calibri" w:hAnsi="Calibri"/>
                <w:b w:val="0"/>
                <w:sz w:val="18"/>
              </w:rPr>
              <w:t>Evidence rules; wording contract Planned.</w:t>
            </w:r>
          </w:p>
        </w:tc>
      </w:tr>
    </w:tbl>
    <w:p>
      <w:pPr>
        <w:spacing w:after="40"/>
      </w:pPr>
    </w:p>
    <w:p>
      <w:pPr>
        <w:pStyle w:val="Heading1"/>
        <w:pageBreakBefore/>
      </w:pPr>
      <w:r>
        <w:rPr>
          <w:rFonts w:ascii="Calibri" w:hAnsi="Calibri"/>
          <w:b/>
          <w:color w:val="2E74B5"/>
          <w:sz w:val="32"/>
        </w:rPr>
        <w:t>11. SDK and REST API</w:t>
      </w:r>
    </w:p>
    <w:p>
      <w:pPr>
        <w:pStyle w:val="Heading2"/>
      </w:pPr>
      <w:r>
        <w:rPr>
          <w:rFonts w:ascii="Calibri" w:hAnsi="Calibri"/>
          <w:b/>
          <w:color w:val="2E74B5"/>
          <w:sz w:val="26"/>
        </w:rPr>
        <w:t>Why</w:t>
      </w:r>
    </w:p>
    <w:p>
      <w:pPr>
        <w:keepLines w:val="0"/>
      </w:pPr>
      <w:r>
        <w:rPr>
          <w:rFonts w:ascii="Calibri" w:hAnsi="Calibri"/>
          <w:i w:val="0"/>
          <w:sz w:val="22"/>
        </w:rPr>
        <w:t>Scientific clients should share query semantics and result provenance. A desktop-only query path or API-specific behavior would create multiple interpretations of the same release.</w:t>
      </w:r>
    </w:p>
    <w:p>
      <w:pPr>
        <w:pStyle w:val="Heading2"/>
      </w:pPr>
      <w:r>
        <w:rPr>
          <w:rFonts w:ascii="Calibri" w:hAnsi="Calibri"/>
          <w:b/>
          <w:color w:val="2E74B5"/>
          <w:sz w:val="26"/>
        </w:rPr>
        <w:t>What</w:t>
      </w:r>
    </w:p>
    <w:p>
      <w:pPr>
        <w:keepLines w:val="0"/>
      </w:pPr>
      <w:r>
        <w:rPr>
          <w:rFonts w:ascii="Calibri" w:hAnsi="Calibri"/>
          <w:i w:val="0"/>
          <w:sz w:val="22"/>
        </w:rPr>
        <w:t>Query Core is the reference read-only query service in-process. The Python SDK is a typed wrapper; REST is a transport adapter with an OpenAPI contract. Both return the same logical result structures and never mutate a Published release.</w:t>
      </w:r>
    </w:p>
    <w:p>
      <w:pPr>
        <w:pStyle w:val="Heading2"/>
      </w:pPr>
      <w:r>
        <w:rPr>
          <w:rFonts w:ascii="Calibri" w:hAnsi="Calibri"/>
          <w:b/>
          <w:color w:val="2E74B5"/>
          <w:sz w:val="26"/>
        </w:rPr>
        <w:t>How</w:t>
      </w:r>
    </w:p>
    <w:p>
      <w:pPr>
        <w:keepLines w:val="0"/>
      </w:pPr>
      <w:r>
        <w:rPr>
          <w:rFonts w:ascii="Calibri" w:hAnsi="Calibri"/>
          <w:i w:val="0"/>
          <w:sz w:val="22"/>
        </w:rPr>
        <w:t>Query results include release identifier/digest, schema version, selected profile, metric, exact or approximate mode, filter expression, relation/artifact lineage where relevant, result rows, warnings, and evidence status. REST is versioned under /v1 and requires authentication only when deployed as a service.</w:t>
      </w:r>
    </w:p>
    <w:p>
      <w:pPr>
        <w:pStyle w:val="Heading2"/>
      </w:pPr>
      <w:r>
        <w:rPr>
          <w:rFonts w:ascii="Calibri" w:hAnsi="Calibri"/>
          <w:b/>
          <w:color w:val="2E74B5"/>
          <w:sz w:val="26"/>
        </w:rPr>
        <w:t>Future considerations</w:t>
      </w:r>
    </w:p>
    <w:p>
      <w:pPr>
        <w:keepLines w:val="0"/>
      </w:pPr>
      <w:r>
        <w:rPr>
          <w:rFonts w:ascii="Calibri" w:hAnsi="Calibri"/>
          <w:i w:val="0"/>
          <w:sz w:val="22"/>
        </w:rPr>
        <w:t>Additional language SDKs, remote federation, access control, rate limits, and asynchronous exports should be added only after a local reference reader and conformance suite exist.</w:t>
      </w:r>
    </w:p>
    <w:tbl>
      <w:tblPr>
        <w:tblStyle w:val="TableGrid"/>
        <w:tblW w:type="dxa" w:w="9360"/>
        <w:jc w:val="left"/>
        <w:tblLayout w:type="fixed"/>
        <w:tblLook w:firstColumn="1" w:firstRow="1" w:lastColumn="0" w:lastRow="0" w:noHBand="0" w:noVBand="1" w:val="04A0"/>
        <w:tblInd w:w="120" w:type="dxa"/>
      </w:tblPr>
      <w:tblGrid>
        <w:gridCol w:w="1650"/>
        <w:gridCol w:w="2500"/>
        <w:gridCol w:w="2600"/>
        <w:gridCol w:w="261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Operation</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SDK shape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REST route</w:t>
            </w:r>
          </w:p>
        </w:tc>
        <w:tc>
          <w:tcPr>
            <w:tcW w:type="dxa" w:w="2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Required result context</w:t>
            </w:r>
          </w:p>
        </w:tc>
      </w:tr>
      <w:tr>
        <w:tc>
          <w:tcPr>
            <w:tcW w:type="dxa" w:w="1650"/>
          </w:tcPr>
          <w:p>
            <w:pPr>
              <w:spacing w:before="0" w:after="0" w:line="252" w:lineRule="auto"/>
              <w:jc w:val="left"/>
            </w:pPr>
            <w:r>
              <w:rPr>
                <w:rFonts w:ascii="Calibri" w:hAnsi="Calibri"/>
                <w:b w:val="0"/>
                <w:sz w:val="17"/>
              </w:rPr>
              <w:t>List releases</w:t>
            </w:r>
          </w:p>
        </w:tc>
        <w:tc>
          <w:tcPr>
            <w:tcW w:type="dxa" w:w="2500"/>
          </w:tcPr>
          <w:p>
            <w:pPr>
              <w:spacing w:before="0" w:after="0" w:line="252" w:lineRule="auto"/>
              <w:jc w:val="left"/>
            </w:pPr>
            <w:r>
              <w:rPr>
                <w:rFonts w:ascii="Calibri" w:hAnsi="Calibri"/>
                <w:b w:val="0"/>
                <w:sz w:val="17"/>
              </w:rPr>
              <w:t>catalog.list(scope=None)</w:t>
            </w:r>
          </w:p>
        </w:tc>
        <w:tc>
          <w:tcPr>
            <w:tcW w:type="dxa" w:w="2600"/>
          </w:tcPr>
          <w:p>
            <w:pPr>
              <w:spacing w:before="0" w:after="0" w:line="252" w:lineRule="auto"/>
              <w:jc w:val="left"/>
            </w:pPr>
            <w:r>
              <w:rPr>
                <w:rFonts w:ascii="Calibri" w:hAnsi="Calibri"/>
                <w:b w:val="0"/>
                <w:sz w:val="17"/>
              </w:rPr>
              <w:t>GET /v1/releases</w:t>
            </w:r>
          </w:p>
        </w:tc>
        <w:tc>
          <w:tcPr>
            <w:tcW w:type="dxa" w:w="2610"/>
          </w:tcPr>
          <w:p>
            <w:pPr>
              <w:spacing w:before="0" w:after="0" w:line="252" w:lineRule="auto"/>
              <w:jc w:val="left"/>
            </w:pPr>
            <w:r>
              <w:rPr>
                <w:rFonts w:ascii="Calibri" w:hAnsi="Calibri"/>
                <w:b w:val="0"/>
                <w:sz w:val="17"/>
              </w:rPr>
              <w:t>ID, digest, scope, compatibility, citation, state.</w:t>
            </w:r>
          </w:p>
        </w:tc>
      </w:tr>
      <w:tr>
        <w:tc>
          <w:tcPr>
            <w:tcW w:type="dxa" w:w="1650"/>
          </w:tcPr>
          <w:p>
            <w:pPr>
              <w:spacing w:before="0" w:after="0" w:line="252" w:lineRule="auto"/>
              <w:jc w:val="left"/>
            </w:pPr>
            <w:r>
              <w:rPr>
                <w:rFonts w:ascii="Calibri" w:hAnsi="Calibri"/>
                <w:b w:val="0"/>
                <w:sz w:val="17"/>
              </w:rPr>
              <w:t>Open release</w:t>
            </w:r>
          </w:p>
        </w:tc>
        <w:tc>
          <w:tcPr>
            <w:tcW w:type="dxa" w:w="2500"/>
          </w:tcPr>
          <w:p>
            <w:pPr>
              <w:spacing w:before="0" w:after="0" w:line="252" w:lineRule="auto"/>
              <w:jc w:val="left"/>
            </w:pPr>
            <w:r>
              <w:rPr>
                <w:rFonts w:ascii="Calibri" w:hAnsi="Calibri"/>
                <w:b w:val="0"/>
                <w:sz w:val="17"/>
              </w:rPr>
              <w:t>atlas.open(release_id)</w:t>
            </w:r>
          </w:p>
        </w:tc>
        <w:tc>
          <w:tcPr>
            <w:tcW w:type="dxa" w:w="2600"/>
          </w:tcPr>
          <w:p>
            <w:pPr>
              <w:spacing w:before="0" w:after="0" w:line="252" w:lineRule="auto"/>
              <w:jc w:val="left"/>
            </w:pPr>
            <w:r>
              <w:rPr>
                <w:rFonts w:ascii="Calibri" w:hAnsi="Calibri"/>
                <w:b w:val="0"/>
                <w:sz w:val="17"/>
              </w:rPr>
              <w:t>GET /v1/releases/{release_id}</w:t>
            </w:r>
          </w:p>
        </w:tc>
        <w:tc>
          <w:tcPr>
            <w:tcW w:type="dxa" w:w="2610"/>
          </w:tcPr>
          <w:p>
            <w:pPr>
              <w:spacing w:before="0" w:after="0" w:line="252" w:lineRule="auto"/>
              <w:jc w:val="left"/>
            </w:pPr>
            <w:r>
              <w:rPr>
                <w:rFonts w:ascii="Calibri" w:hAnsi="Calibri"/>
                <w:b w:val="0"/>
                <w:sz w:val="17"/>
              </w:rPr>
              <w:t>Manifest summary and integrity status.</w:t>
            </w:r>
          </w:p>
        </w:tc>
      </w:tr>
      <w:tr>
        <w:tc>
          <w:tcPr>
            <w:tcW w:type="dxa" w:w="1650"/>
          </w:tcPr>
          <w:p>
            <w:pPr>
              <w:spacing w:before="0" w:after="0" w:line="252" w:lineRule="auto"/>
              <w:jc w:val="left"/>
            </w:pPr>
            <w:r>
              <w:rPr>
                <w:rFonts w:ascii="Calibri" w:hAnsi="Calibri"/>
                <w:b w:val="0"/>
                <w:sz w:val="17"/>
              </w:rPr>
              <w:t>Get record</w:t>
            </w:r>
          </w:p>
        </w:tc>
        <w:tc>
          <w:tcPr>
            <w:tcW w:type="dxa" w:w="2500"/>
          </w:tcPr>
          <w:p>
            <w:pPr>
              <w:spacing w:before="0" w:after="0" w:line="252" w:lineRule="auto"/>
              <w:jc w:val="left"/>
            </w:pPr>
            <w:r>
              <w:rPr>
                <w:rFonts w:ascii="Calibri" w:hAnsi="Calibri"/>
                <w:b w:val="0"/>
                <w:sz w:val="17"/>
              </w:rPr>
              <w:t>atlas.record(record_id)</w:t>
            </w:r>
          </w:p>
        </w:tc>
        <w:tc>
          <w:tcPr>
            <w:tcW w:type="dxa" w:w="2600"/>
          </w:tcPr>
          <w:p>
            <w:pPr>
              <w:spacing w:before="0" w:after="0" w:line="252" w:lineRule="auto"/>
              <w:jc w:val="left"/>
            </w:pPr>
            <w:r>
              <w:rPr>
                <w:rFonts w:ascii="Calibri" w:hAnsi="Calibri"/>
                <w:b w:val="0"/>
                <w:sz w:val="17"/>
              </w:rPr>
              <w:t>GET /v1/records/{record_id}</w:t>
            </w:r>
          </w:p>
        </w:tc>
        <w:tc>
          <w:tcPr>
            <w:tcW w:type="dxa" w:w="2610"/>
          </w:tcPr>
          <w:p>
            <w:pPr>
              <w:spacing w:before="0" w:after="0" w:line="252" w:lineRule="auto"/>
              <w:jc w:val="left"/>
            </w:pPr>
            <w:r>
              <w:rPr>
                <w:rFonts w:ascii="Calibri" w:hAnsi="Calibri"/>
                <w:b w:val="0"/>
                <w:sz w:val="17"/>
              </w:rPr>
              <w:t>Immutable record view plus provenance references.</w:t>
            </w:r>
          </w:p>
        </w:tc>
      </w:tr>
      <w:tr>
        <w:tc>
          <w:tcPr>
            <w:tcW w:type="dxa" w:w="1650"/>
          </w:tcPr>
          <w:p>
            <w:pPr>
              <w:spacing w:before="0" w:after="0" w:line="252" w:lineRule="auto"/>
              <w:jc w:val="left"/>
            </w:pPr>
            <w:r>
              <w:rPr>
                <w:rFonts w:ascii="Calibri" w:hAnsi="Calibri"/>
                <w:b w:val="0"/>
                <w:sz w:val="17"/>
              </w:rPr>
              <w:t>Similarity</w:t>
            </w:r>
          </w:p>
        </w:tc>
        <w:tc>
          <w:tcPr>
            <w:tcW w:type="dxa" w:w="2500"/>
          </w:tcPr>
          <w:p>
            <w:pPr>
              <w:spacing w:before="0" w:after="0" w:line="252" w:lineRule="auto"/>
              <w:jc w:val="left"/>
            </w:pPr>
            <w:r>
              <w:rPr>
                <w:rFonts w:ascii="Calibri" w:hAnsi="Calibri"/>
                <w:b w:val="0"/>
                <w:sz w:val="17"/>
              </w:rPr>
              <w:t>atlas.similar(query, profile, k, filters)</w:t>
            </w:r>
          </w:p>
        </w:tc>
        <w:tc>
          <w:tcPr>
            <w:tcW w:type="dxa" w:w="2600"/>
          </w:tcPr>
          <w:p>
            <w:pPr>
              <w:spacing w:before="0" w:after="0" w:line="252" w:lineRule="auto"/>
              <w:jc w:val="left"/>
            </w:pPr>
            <w:r>
              <w:rPr>
                <w:rFonts w:ascii="Calibri" w:hAnsi="Calibri"/>
                <w:b w:val="0"/>
                <w:sz w:val="17"/>
              </w:rPr>
              <w:t>POST /v1/similarity:search</w:t>
            </w:r>
          </w:p>
        </w:tc>
        <w:tc>
          <w:tcPr>
            <w:tcW w:type="dxa" w:w="2610"/>
          </w:tcPr>
          <w:p>
            <w:pPr>
              <w:spacing w:before="0" w:after="0" w:line="252" w:lineRule="auto"/>
              <w:jc w:val="left"/>
            </w:pPr>
            <w:r>
              <w:rPr>
                <w:rFonts w:ascii="Calibri" w:hAnsi="Calibri"/>
                <w:b w:val="0"/>
                <w:sz w:val="17"/>
              </w:rPr>
              <w:t>Profile, metric, exact/approximate, scores, relation lineage.</w:t>
            </w:r>
          </w:p>
        </w:tc>
      </w:tr>
      <w:tr>
        <w:tc>
          <w:tcPr>
            <w:tcW w:type="dxa" w:w="1650"/>
          </w:tcPr>
          <w:p>
            <w:pPr>
              <w:spacing w:before="0" w:after="0" w:line="252" w:lineRule="auto"/>
              <w:jc w:val="left"/>
            </w:pPr>
            <w:r>
              <w:rPr>
                <w:rFonts w:ascii="Calibri" w:hAnsi="Calibri"/>
                <w:b w:val="0"/>
                <w:sz w:val="17"/>
              </w:rPr>
              <w:t>Neighbourhood</w:t>
            </w:r>
          </w:p>
        </w:tc>
        <w:tc>
          <w:tcPr>
            <w:tcW w:type="dxa" w:w="2500"/>
          </w:tcPr>
          <w:p>
            <w:pPr>
              <w:spacing w:before="0" w:after="0" w:line="252" w:lineRule="auto"/>
              <w:jc w:val="left"/>
            </w:pPr>
            <w:r>
              <w:rPr>
                <w:rFonts w:ascii="Calibri" w:hAnsi="Calibri"/>
                <w:b w:val="0"/>
                <w:sz w:val="17"/>
              </w:rPr>
              <w:t>atlas.neighbourhood(record_id, relation)</w:t>
            </w:r>
          </w:p>
        </w:tc>
        <w:tc>
          <w:tcPr>
            <w:tcW w:type="dxa" w:w="2600"/>
          </w:tcPr>
          <w:p>
            <w:pPr>
              <w:spacing w:before="0" w:after="0" w:line="252" w:lineRule="auto"/>
              <w:jc w:val="left"/>
            </w:pPr>
            <w:r>
              <w:rPr>
                <w:rFonts w:ascii="Calibri" w:hAnsi="Calibri"/>
                <w:b w:val="0"/>
                <w:sz w:val="17"/>
              </w:rPr>
              <w:t>GET /v1/records/{record_id}/neighbourhood</w:t>
            </w:r>
          </w:p>
        </w:tc>
        <w:tc>
          <w:tcPr>
            <w:tcW w:type="dxa" w:w="2610"/>
          </w:tcPr>
          <w:p>
            <w:pPr>
              <w:spacing w:before="0" w:after="0" w:line="252" w:lineRule="auto"/>
              <w:jc w:val="left"/>
            </w:pPr>
            <w:r>
              <w:rPr>
                <w:rFonts w:ascii="Calibri" w:hAnsi="Calibri"/>
                <w:b w:val="0"/>
                <w:sz w:val="17"/>
              </w:rPr>
              <w:t>Relation derivation ID and source artifact.</w:t>
            </w:r>
          </w:p>
        </w:tc>
      </w:tr>
      <w:tr>
        <w:tc>
          <w:tcPr>
            <w:tcW w:type="dxa" w:w="1650"/>
          </w:tcPr>
          <w:p>
            <w:pPr>
              <w:spacing w:before="0" w:after="0" w:line="252" w:lineRule="auto"/>
              <w:jc w:val="left"/>
            </w:pPr>
            <w:r>
              <w:rPr>
                <w:rFonts w:ascii="Calibri" w:hAnsi="Calibri"/>
                <w:b w:val="0"/>
                <w:sz w:val="17"/>
              </w:rPr>
              <w:t>Evidence</w:t>
            </w:r>
          </w:p>
        </w:tc>
        <w:tc>
          <w:tcPr>
            <w:tcW w:type="dxa" w:w="2500"/>
          </w:tcPr>
          <w:p>
            <w:pPr>
              <w:spacing w:before="0" w:after="0" w:line="252" w:lineRule="auto"/>
              <w:jc w:val="left"/>
            </w:pPr>
            <w:r>
              <w:rPr>
                <w:rFonts w:ascii="Calibri" w:hAnsi="Calibri"/>
                <w:b w:val="0"/>
                <w:sz w:val="17"/>
              </w:rPr>
              <w:t>atlas.evidence(target_id)</w:t>
            </w:r>
          </w:p>
        </w:tc>
        <w:tc>
          <w:tcPr>
            <w:tcW w:type="dxa" w:w="2600"/>
          </w:tcPr>
          <w:p>
            <w:pPr>
              <w:spacing w:before="0" w:after="0" w:line="252" w:lineRule="auto"/>
              <w:jc w:val="left"/>
            </w:pPr>
            <w:r>
              <w:rPr>
                <w:rFonts w:ascii="Calibri" w:hAnsi="Calibri"/>
                <w:b w:val="0"/>
                <w:sz w:val="17"/>
              </w:rPr>
              <w:t>GET /v1/evidence/{target_id}</w:t>
            </w:r>
          </w:p>
        </w:tc>
        <w:tc>
          <w:tcPr>
            <w:tcW w:type="dxa" w:w="2610"/>
          </w:tcPr>
          <w:p>
            <w:pPr>
              <w:spacing w:before="0" w:after="0" w:line="252" w:lineRule="auto"/>
              <w:jc w:val="left"/>
            </w:pPr>
            <w:r>
              <w:rPr>
                <w:rFonts w:ascii="Calibri" w:hAnsi="Calibri"/>
                <w:b w:val="0"/>
                <w:sz w:val="17"/>
              </w:rPr>
              <w:t>Assertions, sources, versions, limitations.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ADR-010: SDK and REST are thin adapters over Query Core; no client implements independent retrieval semantics.</w:t>
            </w:r>
          </w:p>
        </w:tc>
      </w:tr>
    </w:tbl>
    <w:p>
      <w:pPr>
        <w:spacing w:after="40"/>
      </w:pPr>
    </w:p>
    <w:p>
      <w:pPr>
        <w:pStyle w:val="Heading1"/>
        <w:pageBreakBefore/>
      </w:pPr>
      <w:r>
        <w:rPr>
          <w:rFonts w:ascii="Calibri" w:hAnsi="Calibri"/>
          <w:b/>
          <w:color w:val="2E74B5"/>
          <w:sz w:val="32"/>
        </w:rPr>
        <w:t>12. Validation and benchmark protocol</w:t>
      </w:r>
    </w:p>
    <w:p>
      <w:pPr>
        <w:pStyle w:val="Heading2"/>
      </w:pPr>
      <w:r>
        <w:rPr>
          <w:rFonts w:ascii="Calibri" w:hAnsi="Calibri"/>
          <w:b/>
          <w:color w:val="2E74B5"/>
          <w:sz w:val="26"/>
        </w:rPr>
        <w:t>Why</w:t>
      </w:r>
    </w:p>
    <w:p>
      <w:pPr>
        <w:keepLines w:val="0"/>
      </w:pPr>
      <w:r>
        <w:rPr>
          <w:rFonts w:ascii="Calibri" w:hAnsi="Calibri"/>
          <w:i w:val="0"/>
          <w:sz w:val="22"/>
        </w:rPr>
        <w:t>A credible Atlas needs both engineering verification and method-specific evidence. Revision 3 correctly notes missing biological validation; this EDS turns that gap into a gated program rather than a future claim.</w:t>
      </w:r>
    </w:p>
    <w:p>
      <w:pPr>
        <w:pStyle w:val="Heading2"/>
      </w:pPr>
      <w:r>
        <w:rPr>
          <w:rFonts w:ascii="Calibri" w:hAnsi="Calibri"/>
          <w:b/>
          <w:color w:val="2E74B5"/>
          <w:sz w:val="26"/>
        </w:rPr>
        <w:t>What</w:t>
      </w:r>
    </w:p>
    <w:p>
      <w:pPr>
        <w:keepLines w:val="0"/>
      </w:pPr>
      <w:r>
        <w:rPr>
          <w:rFonts w:ascii="Calibri" w:hAnsi="Calibri"/>
          <w:i w:val="0"/>
          <w:sz w:val="22"/>
        </w:rPr>
        <w:t>Validation is four separate tracks: software verification, release integrity, retrieval/method evaluation, and scientific interpretation. The benchmark protocol defines questions, data, splits, baselines, metrics, acceptance criteria, uncertainty reporting, and promotion rules before default method selection.</w:t>
      </w:r>
    </w:p>
    <w:p>
      <w:pPr>
        <w:pStyle w:val="Heading2"/>
      </w:pPr>
      <w:r>
        <w:rPr>
          <w:rFonts w:ascii="Calibri" w:hAnsi="Calibri"/>
          <w:b/>
          <w:color w:val="2E74B5"/>
          <w:sz w:val="26"/>
        </w:rPr>
        <w:t>How</w:t>
      </w:r>
    </w:p>
    <w:p>
      <w:pPr>
        <w:keepLines w:val="0"/>
      </w:pPr>
      <w:r>
        <w:rPr>
          <w:rFonts w:ascii="Calibri" w:hAnsi="Calibri"/>
          <w:i w:val="0"/>
          <w:sz w:val="22"/>
        </w:rPr>
        <w:t>For each study, preregister the cohort, inclusion/exclusion criteria, profile(s), preprocessing, baseline methods, exact ground-truth computation where applicable, metrics, statistical treatment, failure analysis, and claim language. Publish raw or appropriately governed result artifacts with the release evidence bundle.</w:t>
      </w:r>
    </w:p>
    <w:p>
      <w:pPr>
        <w:pStyle w:val="Heading2"/>
      </w:pPr>
      <w:r>
        <w:rPr>
          <w:rFonts w:ascii="Calibri" w:hAnsi="Calibri"/>
          <w:b/>
          <w:color w:val="2E74B5"/>
          <w:sz w:val="26"/>
        </w:rPr>
        <w:t>Future considerations</w:t>
      </w:r>
    </w:p>
    <w:p>
      <w:pPr>
        <w:keepLines w:val="0"/>
      </w:pPr>
      <w:r>
        <w:rPr>
          <w:rFonts w:ascii="Calibri" w:hAnsi="Calibri"/>
          <w:i w:val="0"/>
          <w:sz w:val="22"/>
        </w:rPr>
        <w:t>No numerical threshold is invented in this specification. Owners must set task-specific acceptance criteria before a study runs, with rationale and an ADR if a default method or claim changes.</w:t>
      </w:r>
    </w:p>
    <w:tbl>
      <w:tblPr>
        <w:tblStyle w:val="TableGrid"/>
        <w:tblW w:type="dxa" w:w="9360"/>
        <w:jc w:val="left"/>
        <w:tblLayout w:type="fixed"/>
        <w:tblLook w:firstColumn="1" w:firstRow="1" w:lastColumn="0" w:lastRow="0" w:noHBand="0" w:noVBand="1" w:val="04A0"/>
        <w:tblInd w:w="120" w:type="dxa"/>
      </w:tblPr>
      <w:tblGrid>
        <w:gridCol w:w="1650"/>
        <w:gridCol w:w="2550"/>
        <w:gridCol w:w="3300"/>
        <w:gridCol w:w="186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Track</w:t>
            </w:r>
          </w:p>
        </w:tc>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Question</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evidence</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Promotion / acceptance</w:t>
            </w:r>
          </w:p>
        </w:tc>
      </w:tr>
      <w:tr>
        <w:tc>
          <w:tcPr>
            <w:tcW w:type="dxa" w:w="1650"/>
          </w:tcPr>
          <w:p>
            <w:pPr>
              <w:spacing w:before="0" w:after="0" w:line="252" w:lineRule="auto"/>
              <w:jc w:val="left"/>
            </w:pPr>
            <w:r>
              <w:rPr>
                <w:rFonts w:ascii="Calibri" w:hAnsi="Calibri"/>
                <w:b w:val="0"/>
                <w:sz w:val="18"/>
              </w:rPr>
              <w:t>Software verification</w:t>
            </w:r>
          </w:p>
        </w:tc>
        <w:tc>
          <w:tcPr>
            <w:tcW w:type="dxa" w:w="2550"/>
          </w:tcPr>
          <w:p>
            <w:pPr>
              <w:spacing w:before="0" w:after="0" w:line="252" w:lineRule="auto"/>
              <w:jc w:val="left"/>
            </w:pPr>
            <w:r>
              <w:rPr>
                <w:rFonts w:ascii="Calibri" w:hAnsi="Calibri"/>
                <w:b w:val="0"/>
                <w:sz w:val="18"/>
              </w:rPr>
              <w:t>Does implementation satisfy interface and failure contracts?</w:t>
            </w:r>
          </w:p>
        </w:tc>
        <w:tc>
          <w:tcPr>
            <w:tcW w:type="dxa" w:w="3300"/>
          </w:tcPr>
          <w:p>
            <w:pPr>
              <w:spacing w:before="0" w:after="0" w:line="252" w:lineRule="auto"/>
              <w:jc w:val="left"/>
            </w:pPr>
            <w:r>
              <w:rPr>
                <w:rFonts w:ascii="Calibri" w:hAnsi="Calibri"/>
                <w:b w:val="0"/>
                <w:sz w:val="18"/>
              </w:rPr>
              <w:t>Automated tests, fixtures, CI environment, error-path coverage.</w:t>
            </w:r>
          </w:p>
        </w:tc>
        <w:tc>
          <w:tcPr>
            <w:tcW w:type="dxa" w:w="1860"/>
          </w:tcPr>
          <w:p>
            <w:pPr>
              <w:spacing w:before="0" w:after="0" w:line="252" w:lineRule="auto"/>
              <w:jc w:val="left"/>
            </w:pPr>
            <w:r>
              <w:rPr>
                <w:rFonts w:ascii="Calibri" w:hAnsi="Calibri"/>
                <w:b w:val="0"/>
                <w:sz w:val="18"/>
              </w:rPr>
              <w:t>All required tests pass on pinned environment.</w:t>
            </w:r>
          </w:p>
        </w:tc>
      </w:tr>
      <w:tr>
        <w:tc>
          <w:tcPr>
            <w:tcW w:type="dxa" w:w="1650"/>
          </w:tcPr>
          <w:p>
            <w:pPr>
              <w:spacing w:before="0" w:after="0" w:line="252" w:lineRule="auto"/>
              <w:jc w:val="left"/>
            </w:pPr>
            <w:r>
              <w:rPr>
                <w:rFonts w:ascii="Calibri" w:hAnsi="Calibri"/>
                <w:b w:val="0"/>
                <w:sz w:val="18"/>
              </w:rPr>
              <w:t>Release integrity</w:t>
            </w:r>
          </w:p>
        </w:tc>
        <w:tc>
          <w:tcPr>
            <w:tcW w:type="dxa" w:w="2550"/>
          </w:tcPr>
          <w:p>
            <w:pPr>
              <w:spacing w:before="0" w:after="0" w:line="252" w:lineRule="auto"/>
              <w:jc w:val="left"/>
            </w:pPr>
            <w:r>
              <w:rPr>
                <w:rFonts w:ascii="Calibri" w:hAnsi="Calibri"/>
                <w:b w:val="0"/>
                <w:sz w:val="18"/>
              </w:rPr>
              <w:t>Can another environment open and verify the release?</w:t>
            </w:r>
          </w:p>
        </w:tc>
        <w:tc>
          <w:tcPr>
            <w:tcW w:type="dxa" w:w="3300"/>
          </w:tcPr>
          <w:p>
            <w:pPr>
              <w:spacing w:before="0" w:after="0" w:line="252" w:lineRule="auto"/>
              <w:jc w:val="left"/>
            </w:pPr>
            <w:r>
              <w:rPr>
                <w:rFonts w:ascii="Calibri" w:hAnsi="Calibri"/>
                <w:b w:val="0"/>
                <w:sz w:val="18"/>
              </w:rPr>
              <w:t>Manifest/schema/digest checks, reconstruction test, reader fixture.</w:t>
            </w:r>
          </w:p>
        </w:tc>
        <w:tc>
          <w:tcPr>
            <w:tcW w:type="dxa" w:w="1860"/>
          </w:tcPr>
          <w:p>
            <w:pPr>
              <w:spacing w:before="0" w:after="0" w:line="252" w:lineRule="auto"/>
              <w:jc w:val="left"/>
            </w:pPr>
            <w:r>
              <w:rPr>
                <w:rFonts w:ascii="Calibri" w:hAnsi="Calibri"/>
                <w:b w:val="0"/>
                <w:sz w:val="18"/>
              </w:rPr>
              <w:t>Independent clean-room open/verify succeeds.</w:t>
            </w:r>
          </w:p>
        </w:tc>
      </w:tr>
      <w:tr>
        <w:tc>
          <w:tcPr>
            <w:tcW w:type="dxa" w:w="1650"/>
          </w:tcPr>
          <w:p>
            <w:pPr>
              <w:spacing w:before="0" w:after="0" w:line="252" w:lineRule="auto"/>
              <w:jc w:val="left"/>
            </w:pPr>
            <w:r>
              <w:rPr>
                <w:rFonts w:ascii="Calibri" w:hAnsi="Calibri"/>
                <w:b w:val="0"/>
                <w:sz w:val="18"/>
              </w:rPr>
              <w:t>Retrieval / method</w:t>
            </w:r>
          </w:p>
        </w:tc>
        <w:tc>
          <w:tcPr>
            <w:tcW w:type="dxa" w:w="2550"/>
          </w:tcPr>
          <w:p>
            <w:pPr>
              <w:spacing w:before="0" w:after="0" w:line="252" w:lineRule="auto"/>
              <w:jc w:val="left"/>
            </w:pPr>
            <w:r>
              <w:rPr>
                <w:rFonts w:ascii="Calibri" w:hAnsi="Calibri"/>
                <w:b w:val="0"/>
                <w:sz w:val="18"/>
              </w:rPr>
              <w:t>Does a declared profile serve a stated task relative to baselines?</w:t>
            </w:r>
          </w:p>
        </w:tc>
        <w:tc>
          <w:tcPr>
            <w:tcW w:type="dxa" w:w="3300"/>
          </w:tcPr>
          <w:p>
            <w:pPr>
              <w:spacing w:before="0" w:after="0" w:line="252" w:lineRule="auto"/>
              <w:jc w:val="left"/>
            </w:pPr>
            <w:r>
              <w:rPr>
                <w:rFonts w:ascii="Calibri" w:hAnsi="Calibri"/>
                <w:b w:val="0"/>
                <w:sz w:val="18"/>
              </w:rPr>
              <w:t>Preregistered comparison, raw results, uncertainty, failure analysis.</w:t>
            </w:r>
          </w:p>
        </w:tc>
        <w:tc>
          <w:tcPr>
            <w:tcW w:type="dxa" w:w="1860"/>
          </w:tcPr>
          <w:p>
            <w:pPr>
              <w:spacing w:before="0" w:after="0" w:line="252" w:lineRule="auto"/>
              <w:jc w:val="left"/>
            </w:pPr>
            <w:r>
              <w:rPr>
                <w:rFonts w:ascii="Calibri" w:hAnsi="Calibri"/>
                <w:b w:val="0"/>
                <w:sz w:val="18"/>
              </w:rPr>
              <w:t>No default-method promotion without review.</w:t>
            </w:r>
          </w:p>
        </w:tc>
      </w:tr>
      <w:tr>
        <w:tc>
          <w:tcPr>
            <w:tcW w:type="dxa" w:w="1650"/>
          </w:tcPr>
          <w:p>
            <w:pPr>
              <w:spacing w:before="0" w:after="0" w:line="252" w:lineRule="auto"/>
              <w:jc w:val="left"/>
            </w:pPr>
            <w:r>
              <w:rPr>
                <w:rFonts w:ascii="Calibri" w:hAnsi="Calibri"/>
                <w:b w:val="0"/>
                <w:sz w:val="18"/>
              </w:rPr>
              <w:t>Scientific interpretation</w:t>
            </w:r>
          </w:p>
        </w:tc>
        <w:tc>
          <w:tcPr>
            <w:tcW w:type="dxa" w:w="2550"/>
          </w:tcPr>
          <w:p>
            <w:pPr>
              <w:spacing w:before="0" w:after="0" w:line="252" w:lineRule="auto"/>
              <w:jc w:val="left"/>
            </w:pPr>
            <w:r>
              <w:rPr>
                <w:rFonts w:ascii="Calibri" w:hAnsi="Calibri"/>
                <w:b w:val="0"/>
                <w:sz w:val="18"/>
              </w:rPr>
              <w:t>What interpretation is defensible?</w:t>
            </w:r>
          </w:p>
        </w:tc>
        <w:tc>
          <w:tcPr>
            <w:tcW w:type="dxa" w:w="3300"/>
          </w:tcPr>
          <w:p>
            <w:pPr>
              <w:spacing w:before="0" w:after="0" w:line="252" w:lineRule="auto"/>
              <w:jc w:val="left"/>
            </w:pPr>
            <w:r>
              <w:rPr>
                <w:rFonts w:ascii="Calibri" w:hAnsi="Calibri"/>
                <w:b w:val="0"/>
                <w:sz w:val="18"/>
              </w:rPr>
              <w:t>Appropriate labelled/phylogenetic/functional evidence and domain review.</w:t>
            </w:r>
          </w:p>
        </w:tc>
        <w:tc>
          <w:tcPr>
            <w:tcW w:type="dxa" w:w="1860"/>
          </w:tcPr>
          <w:p>
            <w:pPr>
              <w:spacing w:before="0" w:after="0" w:line="252" w:lineRule="auto"/>
              <w:jc w:val="left"/>
            </w:pPr>
            <w:r>
              <w:rPr>
                <w:rFonts w:ascii="Calibri" w:hAnsi="Calibri"/>
                <w:b w:val="0"/>
                <w:sz w:val="18"/>
              </w:rPr>
              <w:t>Claim text restricted to supporting evidence.</w:t>
            </w:r>
          </w:p>
        </w:tc>
      </w:tr>
    </w:tbl>
    <w:p>
      <w:pPr>
        <w:spacing w:after="40"/>
      </w:pPr>
    </w:p>
    <w:p>
      <w:pPr>
        <w:pStyle w:val="Heading2"/>
      </w:pPr>
      <w:r>
        <w:rPr>
          <w:rFonts w:ascii="Calibri" w:hAnsi="Calibri"/>
          <w:b/>
          <w:color w:val="2E74B5"/>
          <w:sz w:val="26"/>
        </w:rPr>
        <w:t>12.1 Benchmark catalogue</w:t>
      </w:r>
    </w:p>
    <w:tbl>
      <w:tblPr>
        <w:tblStyle w:val="TableGrid"/>
        <w:tblW w:type="dxa" w:w="9360"/>
        <w:jc w:val="left"/>
        <w:tblLayout w:type="fixed"/>
        <w:tblLook w:firstColumn="1" w:firstRow="1" w:lastColumn="0" w:lastRow="0" w:noHBand="0" w:noVBand="1" w:val="04A0"/>
        <w:tblInd w:w="120" w:type="dxa"/>
      </w:tblPr>
      <w:tblGrid>
        <w:gridCol w:w="1600"/>
        <w:gridCol w:w="3000"/>
        <w:gridCol w:w="3050"/>
        <w:gridCol w:w="171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Study</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Question and metric family</w:t>
            </w:r>
          </w:p>
        </w:tc>
        <w:tc>
          <w:tcPr>
            <w:tcW w:type="dxa" w:w="3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Data / baseline requirements</w:t>
            </w:r>
          </w:p>
        </w:tc>
        <w:tc>
          <w:tcPr>
            <w:tcW w:type="dxa" w:w="17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 use</w:t>
            </w:r>
          </w:p>
        </w:tc>
      </w:tr>
      <w:tr>
        <w:tc>
          <w:tcPr>
            <w:tcW w:type="dxa" w:w="1600"/>
          </w:tcPr>
          <w:p>
            <w:pPr>
              <w:spacing w:before="0" w:after="0" w:line="252" w:lineRule="auto"/>
              <w:jc w:val="left"/>
            </w:pPr>
            <w:r>
              <w:rPr>
                <w:rFonts w:ascii="Calibri" w:hAnsi="Calibri"/>
                <w:b w:val="0"/>
                <w:sz w:val="16"/>
              </w:rPr>
              <w:t>ANN recall</w:t>
            </w:r>
          </w:p>
        </w:tc>
        <w:tc>
          <w:tcPr>
            <w:tcW w:type="dxa" w:w="3000"/>
          </w:tcPr>
          <w:p>
            <w:pPr>
              <w:spacing w:before="0" w:after="0" w:line="252" w:lineRule="auto"/>
              <w:jc w:val="left"/>
            </w:pPr>
            <w:r>
              <w:rPr>
                <w:rFonts w:ascii="Calibri" w:hAnsi="Calibri"/>
                <w:b w:val="0"/>
                <w:sz w:val="16"/>
              </w:rPr>
              <w:t>Approximate-versus-exact neighbour agreement, query cost, build/read resource measurements.</w:t>
            </w:r>
          </w:p>
        </w:tc>
        <w:tc>
          <w:tcPr>
            <w:tcW w:type="dxa" w:w="3050"/>
          </w:tcPr>
          <w:p>
            <w:pPr>
              <w:spacing w:before="0" w:after="0" w:line="252" w:lineRule="auto"/>
              <w:jc w:val="left"/>
            </w:pPr>
            <w:r>
              <w:rPr>
                <w:rFonts w:ascii="Calibri" w:hAnsi="Calibri"/>
                <w:b w:val="0"/>
                <w:sz w:val="16"/>
              </w:rPr>
              <w:t>Held-out exact search on same profile; declared filters and k values.</w:t>
            </w:r>
          </w:p>
        </w:tc>
        <w:tc>
          <w:tcPr>
            <w:tcW w:type="dxa" w:w="1710"/>
          </w:tcPr>
          <w:p>
            <w:pPr>
              <w:spacing w:before="0" w:after="0" w:line="252" w:lineRule="auto"/>
              <w:jc w:val="left"/>
            </w:pPr>
            <w:r>
              <w:rPr>
                <w:rFonts w:ascii="Calibri" w:hAnsi="Calibri"/>
                <w:b w:val="0"/>
                <w:sz w:val="16"/>
              </w:rPr>
              <w:t>Choose index configuration, not biological usefulness.</w:t>
            </w:r>
          </w:p>
        </w:tc>
      </w:tr>
      <w:tr>
        <w:tc>
          <w:tcPr>
            <w:tcW w:type="dxa" w:w="1600"/>
          </w:tcPr>
          <w:p>
            <w:pPr>
              <w:spacing w:before="0" w:after="0" w:line="252" w:lineRule="auto"/>
              <w:jc w:val="left"/>
            </w:pPr>
            <w:r>
              <w:rPr>
                <w:rFonts w:ascii="Calibri" w:hAnsi="Calibri"/>
                <w:b w:val="0"/>
                <w:sz w:val="16"/>
              </w:rPr>
              <w:t>Taxonomic retrieval</w:t>
            </w:r>
          </w:p>
        </w:tc>
        <w:tc>
          <w:tcPr>
            <w:tcW w:type="dxa" w:w="3000"/>
          </w:tcPr>
          <w:p>
            <w:pPr>
              <w:spacing w:before="0" w:after="0" w:line="252" w:lineRule="auto"/>
              <w:jc w:val="left"/>
            </w:pPr>
            <w:r>
              <w:rPr>
                <w:rFonts w:ascii="Calibri" w:hAnsi="Calibri"/>
                <w:b w:val="0"/>
                <w:sz w:val="16"/>
              </w:rPr>
              <w:t>Retrieval agreement against a declared taxonomy and rank; report coverage and uncertainty.</w:t>
            </w:r>
          </w:p>
        </w:tc>
        <w:tc>
          <w:tcPr>
            <w:tcW w:type="dxa" w:w="3050"/>
          </w:tcPr>
          <w:p>
            <w:pPr>
              <w:spacing w:before="0" w:after="0" w:line="252" w:lineRule="auto"/>
              <w:jc w:val="left"/>
            </w:pPr>
            <w:r>
              <w:rPr>
                <w:rFonts w:ascii="Calibri" w:hAnsi="Calibri"/>
                <w:b w:val="0"/>
                <w:sz w:val="16"/>
              </w:rPr>
              <w:t>Versioned labeled cohort; simple baselines; leakage controls.</w:t>
            </w:r>
          </w:p>
        </w:tc>
        <w:tc>
          <w:tcPr>
            <w:tcW w:type="dxa" w:w="1710"/>
          </w:tcPr>
          <w:p>
            <w:pPr>
              <w:spacing w:before="0" w:after="0" w:line="252" w:lineRule="auto"/>
              <w:jc w:val="left"/>
            </w:pPr>
            <w:r>
              <w:rPr>
                <w:rFonts w:ascii="Calibri" w:hAnsi="Calibri"/>
                <w:b w:val="0"/>
                <w:sz w:val="16"/>
              </w:rPr>
              <w:t>Supports only profile-task usefulness statement.</w:t>
            </w:r>
          </w:p>
        </w:tc>
      </w:tr>
      <w:tr>
        <w:tc>
          <w:tcPr>
            <w:tcW w:type="dxa" w:w="1600"/>
          </w:tcPr>
          <w:p>
            <w:pPr>
              <w:spacing w:before="0" w:after="0" w:line="252" w:lineRule="auto"/>
              <w:jc w:val="left"/>
            </w:pPr>
            <w:r>
              <w:rPr>
                <w:rFonts w:ascii="Calibri" w:hAnsi="Calibri"/>
                <w:b w:val="0"/>
                <w:sz w:val="16"/>
              </w:rPr>
              <w:t>Functional retrieval</w:t>
            </w:r>
          </w:p>
        </w:tc>
        <w:tc>
          <w:tcPr>
            <w:tcW w:type="dxa" w:w="3000"/>
          </w:tcPr>
          <w:p>
            <w:pPr>
              <w:spacing w:before="0" w:after="0" w:line="252" w:lineRule="auto"/>
              <w:jc w:val="left"/>
            </w:pPr>
            <w:r>
              <w:rPr>
                <w:rFonts w:ascii="Calibri" w:hAnsi="Calibri"/>
                <w:b w:val="0"/>
                <w:sz w:val="16"/>
              </w:rPr>
              <w:t>Retrieval agreement using declared functional annotations; handle incompleteness/conflict.</w:t>
            </w:r>
          </w:p>
        </w:tc>
        <w:tc>
          <w:tcPr>
            <w:tcW w:type="dxa" w:w="3050"/>
          </w:tcPr>
          <w:p>
            <w:pPr>
              <w:spacing w:before="0" w:after="0" w:line="252" w:lineRule="auto"/>
              <w:jc w:val="left"/>
            </w:pPr>
            <w:r>
              <w:rPr>
                <w:rFonts w:ascii="Calibri" w:hAnsi="Calibri"/>
                <w:b w:val="0"/>
                <w:sz w:val="16"/>
              </w:rPr>
              <w:t>Versioned source assertions; baselines; source-semantic audit.</w:t>
            </w:r>
          </w:p>
        </w:tc>
        <w:tc>
          <w:tcPr>
            <w:tcW w:type="dxa" w:w="1710"/>
          </w:tcPr>
          <w:p>
            <w:pPr>
              <w:spacing w:before="0" w:after="0" w:line="252" w:lineRule="auto"/>
              <w:jc w:val="left"/>
            </w:pPr>
            <w:r>
              <w:rPr>
                <w:rFonts w:ascii="Calibri" w:hAnsi="Calibri"/>
                <w:b w:val="0"/>
                <w:sz w:val="16"/>
              </w:rPr>
              <w:t>Supports limited association statement.</w:t>
            </w:r>
          </w:p>
        </w:tc>
      </w:tr>
      <w:tr>
        <w:tc>
          <w:tcPr>
            <w:tcW w:type="dxa" w:w="1600"/>
          </w:tcPr>
          <w:p>
            <w:pPr>
              <w:spacing w:before="0" w:after="0" w:line="252" w:lineRule="auto"/>
              <w:jc w:val="left"/>
            </w:pPr>
            <w:r>
              <w:rPr>
                <w:rFonts w:ascii="Calibri" w:hAnsi="Calibri"/>
                <w:b w:val="0"/>
                <w:sz w:val="16"/>
              </w:rPr>
              <w:t>Phylogenetic correlation</w:t>
            </w:r>
          </w:p>
        </w:tc>
        <w:tc>
          <w:tcPr>
            <w:tcW w:type="dxa" w:w="3000"/>
          </w:tcPr>
          <w:p>
            <w:pPr>
              <w:spacing w:before="0" w:after="0" w:line="252" w:lineRule="auto"/>
              <w:jc w:val="left"/>
            </w:pPr>
            <w:r>
              <w:rPr>
                <w:rFonts w:ascii="Calibri" w:hAnsi="Calibri"/>
                <w:b w:val="0"/>
                <w:sz w:val="16"/>
              </w:rPr>
              <w:t>Association between representation distance and a declared phylogenetic reference.</w:t>
            </w:r>
          </w:p>
        </w:tc>
        <w:tc>
          <w:tcPr>
            <w:tcW w:type="dxa" w:w="3050"/>
          </w:tcPr>
          <w:p>
            <w:pPr>
              <w:spacing w:before="0" w:after="0" w:line="252" w:lineRule="auto"/>
              <w:jc w:val="left"/>
            </w:pPr>
            <w:r>
              <w:rPr>
                <w:rFonts w:ascii="Calibri" w:hAnsi="Calibri"/>
                <w:b w:val="0"/>
                <w:sz w:val="16"/>
              </w:rPr>
              <w:t>Versioned reference tree/distance; sensitivity analysis.</w:t>
            </w:r>
          </w:p>
        </w:tc>
        <w:tc>
          <w:tcPr>
            <w:tcW w:type="dxa" w:w="1710"/>
          </w:tcPr>
          <w:p>
            <w:pPr>
              <w:spacing w:before="0" w:after="0" w:line="252" w:lineRule="auto"/>
              <w:jc w:val="left"/>
            </w:pPr>
            <w:r>
              <w:rPr>
                <w:rFonts w:ascii="Calibri" w:hAnsi="Calibri"/>
                <w:b w:val="0"/>
                <w:sz w:val="16"/>
              </w:rPr>
              <w:t>Does not establish evolutionary distance without appropriate evidence.</w:t>
            </w:r>
          </w:p>
        </w:tc>
      </w:tr>
      <w:tr>
        <w:tc>
          <w:tcPr>
            <w:tcW w:type="dxa" w:w="1600"/>
          </w:tcPr>
          <w:p>
            <w:pPr>
              <w:spacing w:before="0" w:after="0" w:line="252" w:lineRule="auto"/>
              <w:jc w:val="left"/>
            </w:pPr>
            <w:r>
              <w:rPr>
                <w:rFonts w:ascii="Calibri" w:hAnsi="Calibri"/>
                <w:b w:val="0"/>
                <w:sz w:val="16"/>
              </w:rPr>
              <w:t>Novelty calibration</w:t>
            </w:r>
          </w:p>
        </w:tc>
        <w:tc>
          <w:tcPr>
            <w:tcW w:type="dxa" w:w="3000"/>
          </w:tcPr>
          <w:p>
            <w:pPr>
              <w:spacing w:before="0" w:after="0" w:line="252" w:lineRule="auto"/>
              <w:jc w:val="left"/>
            </w:pPr>
            <w:r>
              <w:rPr>
                <w:rFonts w:ascii="Calibri" w:hAnsi="Calibri"/>
                <w:b w:val="0"/>
                <w:sz w:val="16"/>
              </w:rPr>
              <w:t>Outlier/novelty behavior against a defined reference and known holdouts.</w:t>
            </w:r>
          </w:p>
        </w:tc>
        <w:tc>
          <w:tcPr>
            <w:tcW w:type="dxa" w:w="3050"/>
          </w:tcPr>
          <w:p>
            <w:pPr>
              <w:spacing w:before="0" w:after="0" w:line="252" w:lineRule="auto"/>
              <w:jc w:val="left"/>
            </w:pPr>
            <w:r>
              <w:rPr>
                <w:rFonts w:ascii="Calibri" w:hAnsi="Calibri"/>
                <w:b w:val="0"/>
                <w:sz w:val="16"/>
              </w:rPr>
              <w:t>Preregistered cohorts and calibration method; false-positive analysis.</w:t>
            </w:r>
          </w:p>
        </w:tc>
        <w:tc>
          <w:tcPr>
            <w:tcW w:type="dxa" w:w="1710"/>
          </w:tcPr>
          <w:p>
            <w:pPr>
              <w:spacing w:before="0" w:after="0" w:line="252" w:lineRule="auto"/>
              <w:jc w:val="left"/>
            </w:pPr>
            <w:r>
              <w:rPr>
                <w:rFonts w:ascii="Calibri" w:hAnsi="Calibri"/>
                <w:b w:val="0"/>
                <w:sz w:val="16"/>
              </w:rPr>
              <w:t>Controls cautious candidate wording.</w:t>
            </w:r>
          </w:p>
        </w:tc>
      </w:tr>
      <w:tr>
        <w:tc>
          <w:tcPr>
            <w:tcW w:type="dxa" w:w="1600"/>
          </w:tcPr>
          <w:p>
            <w:pPr>
              <w:spacing w:before="0" w:after="0" w:line="252" w:lineRule="auto"/>
              <w:jc w:val="left"/>
            </w:pPr>
            <w:r>
              <w:rPr>
                <w:rFonts w:ascii="Calibri" w:hAnsi="Calibri"/>
                <w:b w:val="0"/>
                <w:sz w:val="16"/>
              </w:rPr>
              <w:t>Storage and reader</w:t>
            </w:r>
          </w:p>
        </w:tc>
        <w:tc>
          <w:tcPr>
            <w:tcW w:type="dxa" w:w="3000"/>
          </w:tcPr>
          <w:p>
            <w:pPr>
              <w:spacing w:before="0" w:after="0" w:line="252" w:lineRule="auto"/>
              <w:jc w:val="left"/>
            </w:pPr>
            <w:r>
              <w:rPr>
                <w:rFonts w:ascii="Calibri" w:hAnsi="Calibri"/>
                <w:b w:val="0"/>
                <w:sz w:val="16"/>
              </w:rPr>
              <w:t>Package size, open time, memory, portability, integrity behavior.</w:t>
            </w:r>
          </w:p>
        </w:tc>
        <w:tc>
          <w:tcPr>
            <w:tcW w:type="dxa" w:w="3050"/>
          </w:tcPr>
          <w:p>
            <w:pPr>
              <w:spacing w:before="0" w:after="0" w:line="252" w:lineRule="auto"/>
              <w:jc w:val="left"/>
            </w:pPr>
            <w:r>
              <w:rPr>
                <w:rFonts w:ascii="Calibri" w:hAnsi="Calibri"/>
                <w:b w:val="0"/>
                <w:sz w:val="16"/>
              </w:rPr>
              <w:t>Representative release fixtures; environment capture.</w:t>
            </w:r>
          </w:p>
        </w:tc>
        <w:tc>
          <w:tcPr>
            <w:tcW w:type="dxa" w:w="1710"/>
          </w:tcPr>
          <w:p>
            <w:pPr>
              <w:spacing w:before="0" w:after="0" w:line="252" w:lineRule="auto"/>
              <w:jc w:val="left"/>
            </w:pPr>
            <w:r>
              <w:rPr>
                <w:rFonts w:ascii="Calibri" w:hAnsi="Calibri"/>
                <w:b w:val="0"/>
                <w:sz w:val="16"/>
              </w:rPr>
              <w:t>Storage choice and usability, not scientific performance.</w:t>
            </w:r>
          </w:p>
        </w:tc>
      </w:tr>
      <w:tr>
        <w:tc>
          <w:tcPr>
            <w:tcW w:type="dxa" w:w="1600"/>
          </w:tcPr>
          <w:p>
            <w:pPr>
              <w:spacing w:before="0" w:after="0" w:line="252" w:lineRule="auto"/>
              <w:jc w:val="left"/>
            </w:pPr>
            <w:r>
              <w:rPr>
                <w:rFonts w:ascii="Calibri" w:hAnsi="Calibri"/>
                <w:b w:val="0"/>
                <w:sz w:val="16"/>
              </w:rPr>
              <w:t>Graph refinement</w:t>
            </w:r>
          </w:p>
        </w:tc>
        <w:tc>
          <w:tcPr>
            <w:tcW w:type="dxa" w:w="3000"/>
          </w:tcPr>
          <w:p>
            <w:pPr>
              <w:spacing w:before="0" w:after="0" w:line="252" w:lineRule="auto"/>
              <w:jc w:val="left"/>
            </w:pPr>
            <w:r>
              <w:rPr>
                <w:rFonts w:ascii="Calibri" w:hAnsi="Calibri"/>
                <w:b w:val="0"/>
                <w:sz w:val="16"/>
              </w:rPr>
              <w:t>Does a declared graph transformation improve stated retrieval task over no-op and simple baselines?</w:t>
            </w:r>
          </w:p>
        </w:tc>
        <w:tc>
          <w:tcPr>
            <w:tcW w:type="dxa" w:w="3050"/>
          </w:tcPr>
          <w:p>
            <w:pPr>
              <w:spacing w:before="0" w:after="0" w:line="252" w:lineRule="auto"/>
              <w:jc w:val="left"/>
            </w:pPr>
            <w:r>
              <w:rPr>
                <w:rFonts w:ascii="Calibri" w:hAnsi="Calibri"/>
                <w:b w:val="0"/>
                <w:sz w:val="16"/>
              </w:rPr>
              <w:t>Identity/no-op, simple smoothing, and preregistered comparison.</w:t>
            </w:r>
          </w:p>
        </w:tc>
        <w:tc>
          <w:tcPr>
            <w:tcW w:type="dxa" w:w="1710"/>
          </w:tcPr>
          <w:p>
            <w:pPr>
              <w:spacing w:before="0" w:after="0" w:line="252" w:lineRule="auto"/>
              <w:jc w:val="left"/>
            </w:pPr>
            <w:r>
              <w:rPr>
                <w:rFonts w:ascii="Calibri" w:hAnsi="Calibri"/>
                <w:b w:val="0"/>
                <w:sz w:val="16"/>
              </w:rPr>
              <w:t>Only then consider promotion from Experimental.</w:t>
            </w:r>
          </w:p>
        </w:tc>
      </w:tr>
    </w:tbl>
    <w:p>
      <w:pPr>
        <w:spacing w:after="40"/>
      </w:pPr>
    </w:p>
    <w:p>
      <w:pPr>
        <w:pStyle w:val="Heading2"/>
      </w:pPr>
      <w:r>
        <w:rPr>
          <w:rFonts w:ascii="Calibri" w:hAnsi="Calibri"/>
          <w:b/>
          <w:color w:val="2E74B5"/>
          <w:sz w:val="26"/>
        </w:rPr>
        <w:t>12.2 Experimental-method policy</w:t>
      </w:r>
    </w:p>
    <w:p>
      <w:pPr>
        <w:keepLines w:val="0"/>
      </w:pPr>
      <w:r>
        <w:rPr>
          <w:rFonts w:ascii="Calibri" w:hAnsi="Calibri"/>
          <w:i w:val="0"/>
          <w:sz w:val="22"/>
        </w:rPr>
        <w:t>The reported FP16 GENERanno notebook, UMAP/HDBSCAN workflow, and zero-shot GAT are not normative Builder requirements. Hardware-specific configurations belong in profiles and run manifests. A randomly initialized GATv2 transformation is Experimental, MUST be disabled by default for canonical retrieval, and MUST be compared with identity/no-op and simple smoothing baselines before promotion. UMAP and clustering outputs are explorative derived artifacts and MUST not be treated as validation by their existence.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ADR-009 (experimental methods off the default scientific path) and ADR-014 (preregistered benchmark governance) before public method claims.</w:t>
            </w:r>
          </w:p>
        </w:tc>
      </w:tr>
    </w:tbl>
    <w:p>
      <w:pPr>
        <w:spacing w:after="40"/>
      </w:pPr>
    </w:p>
    <w:p>
      <w:pPr>
        <w:pStyle w:val="Heading1"/>
        <w:pageBreakBefore/>
      </w:pPr>
      <w:r>
        <w:rPr>
          <w:rFonts w:ascii="Calibri" w:hAnsi="Calibri"/>
          <w:b/>
          <w:color w:val="2E74B5"/>
          <w:sz w:val="32"/>
        </w:rPr>
        <w:t>13. Storage</w:t>
      </w:r>
    </w:p>
    <w:p>
      <w:pPr>
        <w:pStyle w:val="Heading2"/>
      </w:pPr>
      <w:r>
        <w:rPr>
          <w:rFonts w:ascii="Calibri" w:hAnsi="Calibri"/>
          <w:b/>
          <w:color w:val="2E74B5"/>
          <w:sz w:val="26"/>
        </w:rPr>
        <w:t>Why</w:t>
      </w:r>
    </w:p>
    <w:p>
      <w:pPr>
        <w:keepLines w:val="0"/>
      </w:pPr>
      <w:r>
        <w:rPr>
          <w:rFonts w:ascii="Calibri" w:hAnsi="Calibri"/>
          <w:i w:val="0"/>
          <w:sz w:val="22"/>
        </w:rPr>
        <w:t>Release storage must be portable, inspectable, versionable, and usable without operating a production database. Acceleration layers should remain replaceable.</w:t>
      </w:r>
    </w:p>
    <w:p>
      <w:pPr>
        <w:pStyle w:val="Heading2"/>
      </w:pPr>
      <w:r>
        <w:rPr>
          <w:rFonts w:ascii="Calibri" w:hAnsi="Calibri"/>
          <w:b/>
          <w:color w:val="2E74B5"/>
          <w:sz w:val="26"/>
        </w:rPr>
        <w:t>What</w:t>
      </w:r>
    </w:p>
    <w:p>
      <w:pPr>
        <w:keepLines w:val="0"/>
      </w:pPr>
      <w:r>
        <w:rPr>
          <w:rFonts w:ascii="Calibri" w:hAnsi="Calibri"/>
          <w:i w:val="0"/>
          <w:sz w:val="22"/>
        </w:rPr>
        <w:t>The baseline is Parquet for contract tables, Arrow for in-memory interchange, DuckDB for local catalog/filter/query execution, content-addressed blobs for sequences and large evidence, and a profile-specific ANN adapter for acceleration. FAISS is the first adapter to evaluate for immutable releases; HNSW remains optional.</w:t>
      </w:r>
    </w:p>
    <w:p>
      <w:pPr>
        <w:pStyle w:val="Heading2"/>
      </w:pPr>
      <w:r>
        <w:rPr>
          <w:rFonts w:ascii="Calibri" w:hAnsi="Calibri"/>
          <w:b/>
          <w:color w:val="2E74B5"/>
          <w:sz w:val="26"/>
        </w:rPr>
        <w:t>How</w:t>
      </w:r>
    </w:p>
    <w:p>
      <w:pPr>
        <w:keepLines w:val="0"/>
      </w:pPr>
      <w:r>
        <w:rPr>
          <w:rFonts w:ascii="Calibri" w:hAnsi="Calibri"/>
          <w:i w:val="0"/>
          <w:sz w:val="22"/>
        </w:rPr>
        <w:t>Schemas define tables; readers validate them. DuckDB reads release tables locally and joins canonical/derived records. Vector shards are profile-scoped. An ANN index is built from a declared shard set and serialized as a derived artifact with build parameters and recall evidence. Query Core may use exact scan for verification fixtures and selected small inputs.</w:t>
      </w:r>
    </w:p>
    <w:p>
      <w:pPr>
        <w:pStyle w:val="Heading2"/>
      </w:pPr>
      <w:r>
        <w:rPr>
          <w:rFonts w:ascii="Calibri" w:hAnsi="Calibri"/>
          <w:b/>
          <w:color w:val="2E74B5"/>
          <w:sz w:val="26"/>
        </w:rPr>
        <w:t>Future considerations</w:t>
      </w:r>
    </w:p>
    <w:p>
      <w:pPr>
        <w:keepLines w:val="0"/>
      </w:pPr>
      <w:r>
        <w:rPr>
          <w:rFonts w:ascii="Calibri" w:hAnsi="Calibri"/>
          <w:i w:val="0"/>
          <w:sz w:val="22"/>
        </w:rPr>
        <w:t>Columnar storage, remote object stores, alternative ANN engines, and serving caches MAY be added behind adapters. A graph database is explicitly not a baseline dependency. Any replacement must pass contract, integrity, and query-conformance tests.</w:t>
      </w:r>
    </w:p>
    <w:tbl>
      <w:tblPr>
        <w:tblStyle w:val="TableGrid"/>
        <w:tblW w:type="dxa" w:w="9360"/>
        <w:jc w:val="left"/>
        <w:tblLayout w:type="fixed"/>
        <w:tblLook w:firstColumn="1" w:firstRow="1" w:lastColumn="0" w:lastRow="0" w:noHBand="0" w:noVBand="1" w:val="04A0"/>
        <w:tblInd w:w="120" w:type="dxa"/>
      </w:tblPr>
      <w:tblGrid>
        <w:gridCol w:w="1400"/>
        <w:gridCol w:w="2050"/>
        <w:gridCol w:w="3550"/>
        <w:gridCol w:w="2360"/>
      </w:tblGrid>
      <w:tr>
        <w:trPr>
          <w:tblHeader w:val="true"/>
        </w:trPr>
        <w:tc>
          <w:tcPr>
            <w:tcW w:type="dxa" w:w="14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Layer</w:t>
            </w:r>
          </w:p>
        </w:tc>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Role</w:t>
            </w:r>
          </w:p>
        </w:tc>
        <w:tc>
          <w:tcPr>
            <w:tcW w:type="dxa" w:w="3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 selected</w:t>
            </w:r>
          </w:p>
        </w:tc>
        <w:tc>
          <w:tcPr>
            <w:tcW w:type="dxa" w:w="23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Trade-off</w:t>
            </w:r>
          </w:p>
        </w:tc>
      </w:tr>
      <w:tr>
        <w:tc>
          <w:tcPr>
            <w:tcW w:type="dxa" w:w="1400"/>
          </w:tcPr>
          <w:p>
            <w:pPr>
              <w:spacing w:before="0" w:after="0" w:line="252" w:lineRule="auto"/>
              <w:jc w:val="left"/>
            </w:pPr>
            <w:r>
              <w:rPr>
                <w:rFonts w:ascii="Calibri" w:hAnsi="Calibri"/>
                <w:b w:val="0"/>
                <w:sz w:val="18"/>
              </w:rPr>
              <w:t>Parquet</w:t>
            </w:r>
          </w:p>
        </w:tc>
        <w:tc>
          <w:tcPr>
            <w:tcW w:type="dxa" w:w="2050"/>
          </w:tcPr>
          <w:p>
            <w:pPr>
              <w:spacing w:before="0" w:after="0" w:line="252" w:lineRule="auto"/>
              <w:jc w:val="left"/>
            </w:pPr>
            <w:r>
              <w:rPr>
                <w:rFonts w:ascii="Calibri" w:hAnsi="Calibri"/>
                <w:b w:val="0"/>
                <w:sz w:val="18"/>
              </w:rPr>
              <w:t>Canonical and derived tabular release data.</w:t>
            </w:r>
          </w:p>
        </w:tc>
        <w:tc>
          <w:tcPr>
            <w:tcW w:type="dxa" w:w="3550"/>
          </w:tcPr>
          <w:p>
            <w:pPr>
              <w:spacing w:before="0" w:after="0" w:line="252" w:lineRule="auto"/>
              <w:jc w:val="left"/>
            </w:pPr>
            <w:r>
              <w:rPr>
                <w:rFonts w:ascii="Calibri" w:hAnsi="Calibri"/>
                <w:b w:val="0"/>
                <w:sz w:val="18"/>
              </w:rPr>
              <w:t>Portable, columnar, broadly analyzable, schema-friendly.</w:t>
            </w:r>
          </w:p>
        </w:tc>
        <w:tc>
          <w:tcPr>
            <w:tcW w:type="dxa" w:w="2360"/>
          </w:tcPr>
          <w:p>
            <w:pPr>
              <w:spacing w:before="0" w:after="0" w:line="252" w:lineRule="auto"/>
              <w:jc w:val="left"/>
            </w:pPr>
            <w:r>
              <w:rPr>
                <w:rFonts w:ascii="Calibri" w:hAnsi="Calibri"/>
                <w:b w:val="0"/>
                <w:sz w:val="18"/>
              </w:rPr>
              <w:t>Requires disciplined schema evolution and row identity.</w:t>
            </w:r>
          </w:p>
        </w:tc>
      </w:tr>
      <w:tr>
        <w:tc>
          <w:tcPr>
            <w:tcW w:type="dxa" w:w="1400"/>
          </w:tcPr>
          <w:p>
            <w:pPr>
              <w:spacing w:before="0" w:after="0" w:line="252" w:lineRule="auto"/>
              <w:jc w:val="left"/>
            </w:pPr>
            <w:r>
              <w:rPr>
                <w:rFonts w:ascii="Calibri" w:hAnsi="Calibri"/>
                <w:b w:val="0"/>
                <w:sz w:val="18"/>
              </w:rPr>
              <w:t>Arrow</w:t>
            </w:r>
          </w:p>
        </w:tc>
        <w:tc>
          <w:tcPr>
            <w:tcW w:type="dxa" w:w="2050"/>
          </w:tcPr>
          <w:p>
            <w:pPr>
              <w:spacing w:before="0" w:after="0" w:line="252" w:lineRule="auto"/>
              <w:jc w:val="left"/>
            </w:pPr>
            <w:r>
              <w:rPr>
                <w:rFonts w:ascii="Calibri" w:hAnsi="Calibri"/>
                <w:b w:val="0"/>
                <w:sz w:val="18"/>
              </w:rPr>
              <w:t>In-memory interchange across reader, SDK, and optional plugins.</w:t>
            </w:r>
          </w:p>
        </w:tc>
        <w:tc>
          <w:tcPr>
            <w:tcW w:type="dxa" w:w="3550"/>
          </w:tcPr>
          <w:p>
            <w:pPr>
              <w:spacing w:before="0" w:after="0" w:line="252" w:lineRule="auto"/>
              <w:jc w:val="left"/>
            </w:pPr>
            <w:r>
              <w:rPr>
                <w:rFonts w:ascii="Calibri" w:hAnsi="Calibri"/>
                <w:b w:val="0"/>
                <w:sz w:val="18"/>
              </w:rPr>
              <w:t>Typed, efficient interchange without making a service mandatory.</w:t>
            </w:r>
          </w:p>
        </w:tc>
        <w:tc>
          <w:tcPr>
            <w:tcW w:type="dxa" w:w="2360"/>
          </w:tcPr>
          <w:p>
            <w:pPr>
              <w:spacing w:before="0" w:after="0" w:line="252" w:lineRule="auto"/>
              <w:jc w:val="left"/>
            </w:pPr>
            <w:r>
              <w:rPr>
                <w:rFonts w:ascii="Calibri" w:hAnsi="Calibri"/>
                <w:b w:val="0"/>
                <w:sz w:val="18"/>
              </w:rPr>
              <w:t>Version compatibility must be tested.</w:t>
            </w:r>
          </w:p>
        </w:tc>
      </w:tr>
      <w:tr>
        <w:tc>
          <w:tcPr>
            <w:tcW w:type="dxa" w:w="1400"/>
          </w:tcPr>
          <w:p>
            <w:pPr>
              <w:spacing w:before="0" w:after="0" w:line="252" w:lineRule="auto"/>
              <w:jc w:val="left"/>
            </w:pPr>
            <w:r>
              <w:rPr>
                <w:rFonts w:ascii="Calibri" w:hAnsi="Calibri"/>
                <w:b w:val="0"/>
                <w:sz w:val="18"/>
              </w:rPr>
              <w:t>DuckDB</w:t>
            </w:r>
          </w:p>
        </w:tc>
        <w:tc>
          <w:tcPr>
            <w:tcW w:type="dxa" w:w="2050"/>
          </w:tcPr>
          <w:p>
            <w:pPr>
              <w:spacing w:before="0" w:after="0" w:line="252" w:lineRule="auto"/>
              <w:jc w:val="left"/>
            </w:pPr>
            <w:r>
              <w:rPr>
                <w:rFonts w:ascii="Calibri" w:hAnsi="Calibri"/>
                <w:b w:val="0"/>
                <w:sz w:val="18"/>
              </w:rPr>
              <w:t>Local catalog, filters, joins, release inspection.</w:t>
            </w:r>
          </w:p>
        </w:tc>
        <w:tc>
          <w:tcPr>
            <w:tcW w:type="dxa" w:w="3550"/>
          </w:tcPr>
          <w:p>
            <w:pPr>
              <w:spacing w:before="0" w:after="0" w:line="252" w:lineRule="auto"/>
              <w:jc w:val="left"/>
            </w:pPr>
            <w:r>
              <w:rPr>
                <w:rFonts w:ascii="Calibri" w:hAnsi="Calibri"/>
                <w:b w:val="0"/>
                <w:sz w:val="18"/>
              </w:rPr>
              <w:t>Low operational burden and strong local analytical reader.</w:t>
            </w:r>
          </w:p>
        </w:tc>
        <w:tc>
          <w:tcPr>
            <w:tcW w:type="dxa" w:w="2360"/>
          </w:tcPr>
          <w:p>
            <w:pPr>
              <w:spacing w:before="0" w:after="0" w:line="252" w:lineRule="auto"/>
              <w:jc w:val="left"/>
            </w:pPr>
            <w:r>
              <w:rPr>
                <w:rFonts w:ascii="Calibri" w:hAnsi="Calibri"/>
                <w:b w:val="0"/>
                <w:sz w:val="18"/>
              </w:rPr>
              <w:t>Not a replacement for every remote serving need.</w:t>
            </w:r>
          </w:p>
        </w:tc>
      </w:tr>
      <w:tr>
        <w:tc>
          <w:tcPr>
            <w:tcW w:type="dxa" w:w="1400"/>
          </w:tcPr>
          <w:p>
            <w:pPr>
              <w:spacing w:before="0" w:after="0" w:line="252" w:lineRule="auto"/>
              <w:jc w:val="left"/>
            </w:pPr>
            <w:r>
              <w:rPr>
                <w:rFonts w:ascii="Calibri" w:hAnsi="Calibri"/>
                <w:b w:val="0"/>
                <w:sz w:val="18"/>
              </w:rPr>
              <w:t>Content-addressed blobs</w:t>
            </w:r>
          </w:p>
        </w:tc>
        <w:tc>
          <w:tcPr>
            <w:tcW w:type="dxa" w:w="2050"/>
          </w:tcPr>
          <w:p>
            <w:pPr>
              <w:spacing w:before="0" w:after="0" w:line="252" w:lineRule="auto"/>
              <w:jc w:val="left"/>
            </w:pPr>
            <w:r>
              <w:rPr>
                <w:rFonts w:ascii="Calibri" w:hAnsi="Calibri"/>
                <w:b w:val="0"/>
                <w:sz w:val="18"/>
              </w:rPr>
              <w:t>Sequences and large evidence payloads.</w:t>
            </w:r>
          </w:p>
        </w:tc>
        <w:tc>
          <w:tcPr>
            <w:tcW w:type="dxa" w:w="3550"/>
          </w:tcPr>
          <w:p>
            <w:pPr>
              <w:spacing w:before="0" w:after="0" w:line="252" w:lineRule="auto"/>
              <w:jc w:val="left"/>
            </w:pPr>
            <w:r>
              <w:rPr>
                <w:rFonts w:ascii="Calibri" w:hAnsi="Calibri"/>
                <w:b w:val="0"/>
                <w:sz w:val="18"/>
              </w:rPr>
              <w:t>Integrity and deduplication through digests.</w:t>
            </w:r>
          </w:p>
        </w:tc>
        <w:tc>
          <w:tcPr>
            <w:tcW w:type="dxa" w:w="2360"/>
          </w:tcPr>
          <w:p>
            <w:pPr>
              <w:spacing w:before="0" w:after="0" w:line="252" w:lineRule="auto"/>
              <w:jc w:val="left"/>
            </w:pPr>
            <w:r>
              <w:rPr>
                <w:rFonts w:ascii="Calibri" w:hAnsi="Calibri"/>
                <w:b w:val="0"/>
                <w:sz w:val="18"/>
              </w:rPr>
              <w:t>Garbage collection/retention needs explicit policy.</w:t>
            </w:r>
          </w:p>
        </w:tc>
      </w:tr>
      <w:tr>
        <w:tc>
          <w:tcPr>
            <w:tcW w:type="dxa" w:w="1400"/>
          </w:tcPr>
          <w:p>
            <w:pPr>
              <w:spacing w:before="0" w:after="0" w:line="252" w:lineRule="auto"/>
              <w:jc w:val="left"/>
            </w:pPr>
            <w:r>
              <w:rPr>
                <w:rFonts w:ascii="Calibri" w:hAnsi="Calibri"/>
                <w:b w:val="0"/>
                <w:sz w:val="18"/>
              </w:rPr>
              <w:t>FAISS adapter</w:t>
            </w:r>
          </w:p>
        </w:tc>
        <w:tc>
          <w:tcPr>
            <w:tcW w:type="dxa" w:w="2050"/>
          </w:tcPr>
          <w:p>
            <w:pPr>
              <w:spacing w:before="0" w:after="0" w:line="252" w:lineRule="auto"/>
              <w:jc w:val="left"/>
            </w:pPr>
            <w:r>
              <w:rPr>
                <w:rFonts w:ascii="Calibri" w:hAnsi="Calibri"/>
                <w:b w:val="0"/>
                <w:sz w:val="18"/>
              </w:rPr>
              <w:t>Immutable ANN index candidate.</w:t>
            </w:r>
          </w:p>
        </w:tc>
        <w:tc>
          <w:tcPr>
            <w:tcW w:type="dxa" w:w="3550"/>
          </w:tcPr>
          <w:p>
            <w:pPr>
              <w:spacing w:before="0" w:after="0" w:line="252" w:lineRule="auto"/>
              <w:jc w:val="left"/>
            </w:pPr>
            <w:r>
              <w:rPr>
                <w:rFonts w:ascii="Calibri" w:hAnsi="Calibri"/>
                <w:b w:val="0"/>
                <w:sz w:val="18"/>
              </w:rPr>
              <w:t>Mature vector search implementation and explicit serializable index artifact.</w:t>
            </w:r>
          </w:p>
        </w:tc>
        <w:tc>
          <w:tcPr>
            <w:tcW w:type="dxa" w:w="2360"/>
          </w:tcPr>
          <w:p>
            <w:pPr>
              <w:spacing w:before="0" w:after="0" w:line="252" w:lineRule="auto"/>
              <w:jc w:val="left"/>
            </w:pPr>
            <w:r>
              <w:rPr>
                <w:rFonts w:ascii="Calibri" w:hAnsi="Calibri"/>
                <w:b w:val="0"/>
                <w:sz w:val="18"/>
              </w:rPr>
              <w:t>Approximation recall and build parameters must be measured.</w:t>
            </w:r>
          </w:p>
        </w:tc>
      </w:tr>
      <w:tr>
        <w:tc>
          <w:tcPr>
            <w:tcW w:type="dxa" w:w="1400"/>
          </w:tcPr>
          <w:p>
            <w:pPr>
              <w:spacing w:before="0" w:after="0" w:line="252" w:lineRule="auto"/>
              <w:jc w:val="left"/>
            </w:pPr>
            <w:r>
              <w:rPr>
                <w:rFonts w:ascii="Calibri" w:hAnsi="Calibri"/>
                <w:b w:val="0"/>
                <w:sz w:val="18"/>
              </w:rPr>
              <w:t>HNSW adapter</w:t>
            </w:r>
          </w:p>
        </w:tc>
        <w:tc>
          <w:tcPr>
            <w:tcW w:type="dxa" w:w="2050"/>
          </w:tcPr>
          <w:p>
            <w:pPr>
              <w:spacing w:before="0" w:after="0" w:line="252" w:lineRule="auto"/>
              <w:jc w:val="left"/>
            </w:pPr>
            <w:r>
              <w:rPr>
                <w:rFonts w:ascii="Calibri" w:hAnsi="Calibri"/>
                <w:b w:val="0"/>
                <w:sz w:val="18"/>
              </w:rPr>
              <w:t>Optional alternate ANN behavior.</w:t>
            </w:r>
          </w:p>
        </w:tc>
        <w:tc>
          <w:tcPr>
            <w:tcW w:type="dxa" w:w="3550"/>
          </w:tcPr>
          <w:p>
            <w:pPr>
              <w:spacing w:before="0" w:after="0" w:line="252" w:lineRule="auto"/>
              <w:jc w:val="left"/>
            </w:pPr>
            <w:r>
              <w:rPr>
                <w:rFonts w:ascii="Calibri" w:hAnsi="Calibri"/>
                <w:b w:val="0"/>
                <w:sz w:val="18"/>
              </w:rPr>
              <w:t>May suit some serving/update needs.</w:t>
            </w:r>
          </w:p>
        </w:tc>
        <w:tc>
          <w:tcPr>
            <w:tcW w:type="dxa" w:w="2360"/>
          </w:tcPr>
          <w:p>
            <w:pPr>
              <w:spacing w:before="0" w:after="0" w:line="252" w:lineRule="auto"/>
              <w:jc w:val="left"/>
            </w:pPr>
            <w:r>
              <w:rPr>
                <w:rFonts w:ascii="Calibri" w:hAnsi="Calibri"/>
                <w:b w:val="0"/>
                <w:sz w:val="18"/>
              </w:rPr>
              <w:t>Not required for immutable releases; tuning is separate.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ADR-011: adopt the local columnar baseline and evaluate FAISS first for immutable ANN. Do not mandate incremental index insertion for immutable release construction.</w:t>
            </w:r>
          </w:p>
        </w:tc>
      </w:tr>
    </w:tbl>
    <w:p>
      <w:pPr>
        <w:spacing w:after="40"/>
      </w:pPr>
    </w:p>
    <w:p>
      <w:pPr>
        <w:pStyle w:val="Heading1"/>
        <w:pageBreakBefore/>
      </w:pPr>
      <w:r>
        <w:rPr>
          <w:rFonts w:ascii="Calibri" w:hAnsi="Calibri"/>
          <w:b/>
          <w:color w:val="2E74B5"/>
          <w:sz w:val="32"/>
        </w:rPr>
        <w:t>14. Release Engineering</w:t>
      </w:r>
    </w:p>
    <w:p>
      <w:pPr>
        <w:pStyle w:val="Heading2"/>
      </w:pPr>
      <w:r>
        <w:rPr>
          <w:rFonts w:ascii="Calibri" w:hAnsi="Calibri"/>
          <w:b/>
          <w:color w:val="2E74B5"/>
          <w:sz w:val="26"/>
        </w:rPr>
        <w:t>Why</w:t>
      </w:r>
    </w:p>
    <w:p>
      <w:pPr>
        <w:keepLines w:val="0"/>
      </w:pPr>
      <w:r>
        <w:rPr>
          <w:rFonts w:ascii="Calibri" w:hAnsi="Calibri"/>
          <w:i w:val="0"/>
          <w:sz w:val="22"/>
        </w:rPr>
        <w:t>Publishing creates a long-lived scientific-record obligation. The release process must make integrity, correction, and stewardship explicit before persistent identifiers are minted.</w:t>
      </w:r>
    </w:p>
    <w:p>
      <w:pPr>
        <w:pStyle w:val="Heading2"/>
      </w:pPr>
      <w:r>
        <w:rPr>
          <w:rFonts w:ascii="Calibri" w:hAnsi="Calibri"/>
          <w:b/>
          <w:color w:val="2E74B5"/>
          <w:sz w:val="26"/>
        </w:rPr>
        <w:t>What</w:t>
      </w:r>
    </w:p>
    <w:p>
      <w:pPr>
        <w:keepLines w:val="0"/>
      </w:pPr>
      <w:r>
        <w:rPr>
          <w:rFonts w:ascii="Calibri" w:hAnsi="Calibri"/>
          <w:i w:val="0"/>
          <w:sz w:val="22"/>
        </w:rPr>
        <w:t>Release Engineering covers state transitions, versioning, manifests, validation gates, reproducible build capture, archival deposition, cataloging, correction, withdrawal, and incident response. Semantic versions may be used for software, but Atlas Release identifiers are date/scope governed and immutable.</w:t>
      </w:r>
    </w:p>
    <w:p>
      <w:pPr>
        <w:pStyle w:val="Heading2"/>
      </w:pPr>
      <w:r>
        <w:rPr>
          <w:rFonts w:ascii="Calibri" w:hAnsi="Calibri"/>
          <w:b/>
          <w:color w:val="2E74B5"/>
          <w:sz w:val="26"/>
        </w:rPr>
        <w:t>How</w:t>
      </w:r>
    </w:p>
    <w:p>
      <w:pPr>
        <w:keepLines w:val="0"/>
      </w:pPr>
      <w:r>
        <w:rPr>
          <w:rFonts w:ascii="Calibri" w:hAnsi="Calibri"/>
          <w:i w:val="0"/>
          <w:sz w:val="22"/>
        </w:rPr>
        <w:t>Draft artifacts are mutable. Candidate freezes content for review. Published is immutable and citable. A later correction creates a successor and supersession link. Withdrawal preserves a tombstone, reason, and provenance; it never silently erases a published record. The exact archive platform is an operational choice that must meet the release contract.</w:t>
      </w:r>
    </w:p>
    <w:p>
      <w:pPr>
        <w:pStyle w:val="Heading2"/>
      </w:pPr>
      <w:r>
        <w:rPr>
          <w:rFonts w:ascii="Calibri" w:hAnsi="Calibri"/>
          <w:b/>
          <w:color w:val="2E74B5"/>
          <w:sz w:val="26"/>
        </w:rPr>
        <w:t>Future considerations</w:t>
      </w:r>
    </w:p>
    <w:p>
      <w:pPr>
        <w:keepLines w:val="0"/>
      </w:pPr>
      <w:r>
        <w:rPr>
          <w:rFonts w:ascii="Calibri" w:hAnsi="Calibri"/>
          <w:i w:val="0"/>
          <w:sz w:val="22"/>
        </w:rPr>
        <w:t>Governance must define approvers, repository choice, retention term, signature policy, mirror strategy, vulnerability response for reader tooling, and support boundary. These are blockers for public M4/M5, not details to defer after publication.</w:t>
      </w:r>
    </w:p>
    <w:tbl>
      <w:tblPr>
        <w:tblStyle w:val="TableGrid"/>
        <w:tblW w:type="dxa" w:w="9360"/>
        <w:jc w:val="left"/>
        <w:tblLayout w:type="fixed"/>
        <w:tblLook w:firstColumn="1" w:firstRow="1" w:lastColumn="0" w:lastRow="0" w:noHBand="0" w:noVBand="1" w:val="04A0"/>
        <w:tblInd w:w="120" w:type="dxa"/>
      </w:tblPr>
      <w:tblGrid>
        <w:gridCol w:w="1750"/>
        <w:gridCol w:w="3950"/>
        <w:gridCol w:w="366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3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6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r>
      <w:tr>
        <w:tc>
          <w:tcPr>
            <w:tcW w:type="dxa" w:w="1750"/>
          </w:tcPr>
          <w:p>
            <w:pPr>
              <w:spacing w:before="0" w:after="0" w:line="252" w:lineRule="auto"/>
              <w:jc w:val="left"/>
            </w:pPr>
            <w:r>
              <w:rPr>
                <w:rFonts w:ascii="Calibri" w:hAnsi="Calibri"/>
                <w:b w:val="0"/>
                <w:sz w:val="18"/>
              </w:rPr>
              <w:t>Draft</w:t>
            </w:r>
          </w:p>
        </w:tc>
        <w:tc>
          <w:tcPr>
            <w:tcW w:type="dxa" w:w="3950"/>
          </w:tcPr>
          <w:p>
            <w:pPr>
              <w:spacing w:before="0" w:after="0" w:line="252" w:lineRule="auto"/>
              <w:jc w:val="left"/>
            </w:pPr>
            <w:r>
              <w:rPr>
                <w:rFonts w:ascii="Calibri" w:hAnsi="Calibri"/>
                <w:b w:val="0"/>
                <w:sz w:val="18"/>
              </w:rPr>
              <w:t>Build artifacts exist; release gates not yet satisfied.</w:t>
            </w:r>
          </w:p>
        </w:tc>
        <w:tc>
          <w:tcPr>
            <w:tcW w:type="dxa" w:w="3660"/>
          </w:tcPr>
          <w:p>
            <w:pPr>
              <w:spacing w:before="0" w:after="0" w:line="252" w:lineRule="auto"/>
              <w:jc w:val="left"/>
            </w:pPr>
            <w:r>
              <w:rPr>
                <w:rFonts w:ascii="Calibri" w:hAnsi="Calibri"/>
                <w:b w:val="0"/>
                <w:sz w:val="18"/>
              </w:rPr>
              <w:t>Rebuild, replace, discard.</w:t>
            </w:r>
          </w:p>
        </w:tc>
      </w:tr>
      <w:tr>
        <w:tc>
          <w:tcPr>
            <w:tcW w:type="dxa" w:w="1750"/>
          </w:tcPr>
          <w:p>
            <w:pPr>
              <w:spacing w:before="0" w:after="0" w:line="252" w:lineRule="auto"/>
              <w:jc w:val="left"/>
            </w:pPr>
            <w:r>
              <w:rPr>
                <w:rFonts w:ascii="Calibri" w:hAnsi="Calibri"/>
                <w:b w:val="0"/>
                <w:sz w:val="18"/>
              </w:rPr>
              <w:t>Candidate</w:t>
            </w:r>
          </w:p>
        </w:tc>
        <w:tc>
          <w:tcPr>
            <w:tcW w:type="dxa" w:w="3950"/>
          </w:tcPr>
          <w:p>
            <w:pPr>
              <w:spacing w:before="0" w:after="0" w:line="252" w:lineRule="auto"/>
              <w:jc w:val="left"/>
            </w:pPr>
            <w:r>
              <w:rPr>
                <w:rFonts w:ascii="Calibri" w:hAnsi="Calibri"/>
                <w:b w:val="0"/>
                <w:sz w:val="18"/>
              </w:rPr>
              <w:t>Manifest and evidence frozen for review.</w:t>
            </w:r>
          </w:p>
        </w:tc>
        <w:tc>
          <w:tcPr>
            <w:tcW w:type="dxa" w:w="3660"/>
          </w:tcPr>
          <w:p>
            <w:pPr>
              <w:spacing w:before="0" w:after="0" w:line="252" w:lineRule="auto"/>
              <w:jc w:val="left"/>
            </w:pPr>
            <w:r>
              <w:rPr>
                <w:rFonts w:ascii="Calibri" w:hAnsi="Calibri"/>
                <w:b w:val="0"/>
                <w:sz w:val="18"/>
              </w:rPr>
              <w:t>Verify, review, approve, reject; no content edits.</w:t>
            </w:r>
          </w:p>
        </w:tc>
      </w:tr>
      <w:tr>
        <w:tc>
          <w:tcPr>
            <w:tcW w:type="dxa" w:w="1750"/>
          </w:tcPr>
          <w:p>
            <w:pPr>
              <w:spacing w:before="0" w:after="0" w:line="252" w:lineRule="auto"/>
              <w:jc w:val="left"/>
            </w:pPr>
            <w:r>
              <w:rPr>
                <w:rFonts w:ascii="Calibri" w:hAnsi="Calibri"/>
                <w:b w:val="0"/>
                <w:sz w:val="18"/>
              </w:rPr>
              <w:t>Published</w:t>
            </w:r>
          </w:p>
        </w:tc>
        <w:tc>
          <w:tcPr>
            <w:tcW w:type="dxa" w:w="3950"/>
          </w:tcPr>
          <w:p>
            <w:pPr>
              <w:spacing w:before="0" w:after="0" w:line="252" w:lineRule="auto"/>
              <w:jc w:val="left"/>
            </w:pPr>
            <w:r>
              <w:rPr>
                <w:rFonts w:ascii="Calibri" w:hAnsi="Calibri"/>
                <w:b w:val="0"/>
                <w:sz w:val="18"/>
              </w:rPr>
              <w:t>Archived immutable snapshot with citation metadata.</w:t>
            </w:r>
          </w:p>
        </w:tc>
        <w:tc>
          <w:tcPr>
            <w:tcW w:type="dxa" w:w="3660"/>
          </w:tcPr>
          <w:p>
            <w:pPr>
              <w:spacing w:before="0" w:after="0" w:line="252" w:lineRule="auto"/>
              <w:jc w:val="left"/>
            </w:pPr>
            <w:r>
              <w:rPr>
                <w:rFonts w:ascii="Calibri" w:hAnsi="Calibri"/>
                <w:b w:val="0"/>
                <w:sz w:val="18"/>
              </w:rPr>
              <w:t>Distribute, mirror, cite; create successor for corrections.</w:t>
            </w:r>
          </w:p>
        </w:tc>
      </w:tr>
      <w:tr>
        <w:tc>
          <w:tcPr>
            <w:tcW w:type="dxa" w:w="1750"/>
          </w:tcPr>
          <w:p>
            <w:pPr>
              <w:spacing w:before="0" w:after="0" w:line="252" w:lineRule="auto"/>
              <w:jc w:val="left"/>
            </w:pPr>
            <w:r>
              <w:rPr>
                <w:rFonts w:ascii="Calibri" w:hAnsi="Calibri"/>
                <w:b w:val="0"/>
                <w:sz w:val="18"/>
              </w:rPr>
              <w:t>Superseded</w:t>
            </w:r>
          </w:p>
        </w:tc>
        <w:tc>
          <w:tcPr>
            <w:tcW w:type="dxa" w:w="3950"/>
          </w:tcPr>
          <w:p>
            <w:pPr>
              <w:spacing w:before="0" w:after="0" w:line="252" w:lineRule="auto"/>
              <w:jc w:val="left"/>
            </w:pPr>
            <w:r>
              <w:rPr>
                <w:rFonts w:ascii="Calibri" w:hAnsi="Calibri"/>
                <w:b w:val="0"/>
                <w:sz w:val="18"/>
              </w:rPr>
              <w:t>Later release corrects or replaces some content.</w:t>
            </w:r>
          </w:p>
        </w:tc>
        <w:tc>
          <w:tcPr>
            <w:tcW w:type="dxa" w:w="3660"/>
          </w:tcPr>
          <w:p>
            <w:pPr>
              <w:spacing w:before="0" w:after="0" w:line="252" w:lineRule="auto"/>
              <w:jc w:val="left"/>
            </w:pPr>
            <w:r>
              <w:rPr>
                <w:rFonts w:ascii="Calibri" w:hAnsi="Calibri"/>
                <w:b w:val="0"/>
                <w:sz w:val="18"/>
              </w:rPr>
              <w:t>Remain retrievable with prominent successor relation.</w:t>
            </w:r>
          </w:p>
        </w:tc>
      </w:tr>
      <w:tr>
        <w:tc>
          <w:tcPr>
            <w:tcW w:type="dxa" w:w="1750"/>
          </w:tcPr>
          <w:p>
            <w:pPr>
              <w:spacing w:before="0" w:after="0" w:line="252" w:lineRule="auto"/>
              <w:jc w:val="left"/>
            </w:pPr>
            <w:r>
              <w:rPr>
                <w:rFonts w:ascii="Calibri" w:hAnsi="Calibri"/>
                <w:b w:val="0"/>
                <w:sz w:val="18"/>
              </w:rPr>
              <w:t>Withdrawn</w:t>
            </w:r>
          </w:p>
        </w:tc>
        <w:tc>
          <w:tcPr>
            <w:tcW w:type="dxa" w:w="3950"/>
          </w:tcPr>
          <w:p>
            <w:pPr>
              <w:spacing w:before="0" w:after="0" w:line="252" w:lineRule="auto"/>
              <w:jc w:val="left"/>
            </w:pPr>
            <w:r>
              <w:rPr>
                <w:rFonts w:ascii="Calibri" w:hAnsi="Calibri"/>
                <w:b w:val="0"/>
                <w:sz w:val="18"/>
              </w:rPr>
              <w:t>Use discouraged or invalid under documented policy.</w:t>
            </w:r>
          </w:p>
        </w:tc>
        <w:tc>
          <w:tcPr>
            <w:tcW w:type="dxa" w:w="3660"/>
          </w:tcPr>
          <w:p>
            <w:pPr>
              <w:spacing w:before="0" w:after="0" w:line="252" w:lineRule="auto"/>
              <w:jc w:val="left"/>
            </w:pPr>
            <w:r>
              <w:rPr>
                <w:rFonts w:ascii="Calibri" w:hAnsi="Calibri"/>
                <w:b w:val="0"/>
                <w:sz w:val="18"/>
              </w:rPr>
              <w:t>Retain tombstone/reason; do not silently erase provenance.</w:t>
            </w:r>
          </w:p>
        </w:tc>
      </w:tr>
    </w:tbl>
    <w:p>
      <w:pPr>
        <w:spacing w:after="40"/>
      </w:pPr>
    </w:p>
    <w:p>
      <w:pPr>
        <w:pStyle w:val="Heading2"/>
      </w:pPr>
      <w:r>
        <w:rPr>
          <w:rFonts w:ascii="Calibri" w:hAnsi="Calibri"/>
          <w:b/>
          <w:color w:val="2E74B5"/>
          <w:sz w:val="26"/>
        </w:rPr>
        <w:t>14.1 Publication checklist</w:t>
      </w:r>
    </w:p>
    <w:p>
      <w:pPr>
        <w:pStyle w:val="ListNumber"/>
        <w:spacing w:after="80" w:line="300" w:lineRule="auto"/>
      </w:pPr>
      <w:r>
        <w:rPr>
          <w:rFonts w:ascii="Calibri" w:hAnsi="Calibri"/>
          <w:sz w:val="22"/>
        </w:rPr>
        <w:t>Freeze candidate manifest; verify every referenced artifact digest and schema version.</w:t>
      </w:r>
    </w:p>
    <w:p>
      <w:pPr>
        <w:pStyle w:val="ListNumber"/>
        <w:spacing w:after="80" w:line="300" w:lineRule="auto"/>
      </w:pPr>
      <w:r>
        <w:rPr>
          <w:rFonts w:ascii="Calibri" w:hAnsi="Calibri"/>
          <w:sz w:val="22"/>
        </w:rPr>
        <w:t>Run clean-room reader, reconstruction, and release-policy checks in a second environment.</w:t>
      </w:r>
    </w:p>
    <w:p>
      <w:pPr>
        <w:pStyle w:val="ListNumber"/>
        <w:spacing w:after="80" w:line="300" w:lineRule="auto"/>
      </w:pPr>
      <w:r>
        <w:rPr>
          <w:rFonts w:ascii="Calibri" w:hAnsi="Calibri"/>
          <w:sz w:val="22"/>
        </w:rPr>
        <w:t>Confirm source licenses, release license, citation metadata, contributor and governance approvals.</w:t>
      </w:r>
    </w:p>
    <w:p>
      <w:pPr>
        <w:pStyle w:val="ListNumber"/>
        <w:spacing w:after="80" w:line="300" w:lineRule="auto"/>
      </w:pPr>
      <w:r>
        <w:rPr>
          <w:rFonts w:ascii="Calibri" w:hAnsi="Calibri"/>
          <w:sz w:val="22"/>
        </w:rPr>
        <w:t>Review evidence statuses and claim language; remove unsubstantiated performance or biological statements.</w:t>
      </w:r>
    </w:p>
    <w:p>
      <w:pPr>
        <w:pStyle w:val="ListNumber"/>
        <w:spacing w:after="80" w:line="300" w:lineRule="auto"/>
      </w:pPr>
      <w:r>
        <w:rPr>
          <w:rFonts w:ascii="Calibri" w:hAnsi="Calibri"/>
          <w:sz w:val="22"/>
        </w:rPr>
        <w:t>Deposit immutable package and preserve receipt, identifier, and repository metadata in the Release Catalog.</w:t>
      </w:r>
    </w:p>
    <w:p>
      <w:pPr>
        <w:pStyle w:val="ListNumber"/>
        <w:spacing w:after="80" w:line="300" w:lineRule="auto"/>
      </w:pPr>
      <w:r>
        <w:rPr>
          <w:rFonts w:ascii="Calibri" w:hAnsi="Calibri"/>
          <w:sz w:val="22"/>
        </w:rPr>
        <w:t>Verify deposited object against manifest; publish catalog entry and successor/correction policy.</w:t>
      </w:r>
    </w:p>
    <w:p>
      <w:pPr>
        <w:pStyle w:val="Heading1"/>
        <w:pageBreakBefore/>
      </w:pPr>
      <w:r>
        <w:rPr>
          <w:rFonts w:ascii="Calibri" w:hAnsi="Calibri"/>
          <w:b/>
          <w:color w:val="2E74B5"/>
          <w:sz w:val="32"/>
        </w:rPr>
        <w:t>15. Developer workflow and repository layout</w:t>
      </w:r>
    </w:p>
    <w:p>
      <w:pPr>
        <w:pStyle w:val="Heading2"/>
      </w:pPr>
      <w:r>
        <w:rPr>
          <w:rFonts w:ascii="Calibri" w:hAnsi="Calibri"/>
          <w:b/>
          <w:color w:val="2E74B5"/>
          <w:sz w:val="26"/>
        </w:rPr>
        <w:t>Why</w:t>
      </w:r>
    </w:p>
    <w:p>
      <w:pPr>
        <w:keepLines w:val="0"/>
      </w:pPr>
      <w:r>
        <w:rPr>
          <w:rFonts w:ascii="Calibri" w:hAnsi="Calibri"/>
          <w:i w:val="0"/>
          <w:sz w:val="22"/>
        </w:rPr>
        <w:t>A specification must map to a maintainable repository and contributor workflow. Without this, contracts, schemas, and tests drift from code.</w:t>
      </w:r>
    </w:p>
    <w:p>
      <w:pPr>
        <w:pStyle w:val="Heading2"/>
      </w:pPr>
      <w:r>
        <w:rPr>
          <w:rFonts w:ascii="Calibri" w:hAnsi="Calibri"/>
          <w:b/>
          <w:color w:val="2E74B5"/>
          <w:sz w:val="26"/>
        </w:rPr>
        <w:t>What</w:t>
      </w:r>
    </w:p>
    <w:p>
      <w:pPr>
        <w:keepLines w:val="0"/>
      </w:pPr>
      <w:r>
        <w:rPr>
          <w:rFonts w:ascii="Calibri" w:hAnsi="Calibri"/>
          <w:i w:val="0"/>
          <w:sz w:val="22"/>
        </w:rPr>
        <w:t>The repository organizes release construction, clients, contracts, benchmarks, documentation, profiles, fixtures, and ADRs as first-class artifacts. Contributors work against small fixtures before large releases, and CI validates contracts before integration.</w:t>
      </w:r>
    </w:p>
    <w:p>
      <w:pPr>
        <w:pStyle w:val="Heading2"/>
      </w:pPr>
      <w:r>
        <w:rPr>
          <w:rFonts w:ascii="Calibri" w:hAnsi="Calibri"/>
          <w:b/>
          <w:color w:val="2E74B5"/>
          <w:sz w:val="26"/>
        </w:rPr>
        <w:t>How</w:t>
      </w:r>
    </w:p>
    <w:p>
      <w:pPr>
        <w:keepLines w:val="0"/>
      </w:pPr>
      <w:r>
        <w:rPr>
          <w:rFonts w:ascii="Calibri" w:hAnsi="Calibri"/>
          <w:i w:val="0"/>
          <w:sz w:val="22"/>
        </w:rPr>
        <w:t>A contributor changes a requirement or ADR where necessary, updates the relevant contract, implements behind an interface, adds positive and negative fixtures, runs local validation, and submits CI evidence. Release builds run from committed manifests and pinned environments. Implemented status is earned by source/test evidence, not by planning text.</w:t>
      </w:r>
    </w:p>
    <w:p>
      <w:pPr>
        <w:pStyle w:val="Heading2"/>
      </w:pPr>
      <w:r>
        <w:rPr>
          <w:rFonts w:ascii="Calibri" w:hAnsi="Calibri"/>
          <w:b/>
          <w:color w:val="2E74B5"/>
          <w:sz w:val="26"/>
        </w:rPr>
        <w:t>Future considerations</w:t>
      </w:r>
    </w:p>
    <w:p>
      <w:pPr>
        <w:keepLines w:val="0"/>
      </w:pPr>
      <w:r>
        <w:rPr>
          <w:rFonts w:ascii="Calibri" w:hAnsi="Calibri"/>
          <w:i w:val="0"/>
          <w:sz w:val="22"/>
        </w:rPr>
        <w:t>Monorepo versus multi-repository is not yet decided. Start with one repository while interfaces evolve; split only when ownership, release cadence, or access control has a concrete documented need.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Path</w:t>
            </w:r>
          </w:p>
        </w:tc>
        <w:tc>
          <w:tcPr>
            <w:tcW w:type="dxa" w:w="72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Purpose</w:t>
            </w:r>
          </w:p>
        </w:tc>
      </w:tr>
      <w:tr>
        <w:tc>
          <w:tcPr>
            <w:tcW w:type="dxa" w:w="2100"/>
          </w:tcPr>
          <w:p>
            <w:pPr>
              <w:spacing w:before="0" w:after="0" w:line="252" w:lineRule="auto"/>
              <w:jc w:val="left"/>
            </w:pPr>
            <w:r>
              <w:rPr>
                <w:rFonts w:ascii="Calibri" w:hAnsi="Calibri"/>
                <w:b w:val="0"/>
                <w:sz w:val="18"/>
              </w:rPr>
              <w:t>specification/</w:t>
            </w:r>
          </w:p>
        </w:tc>
        <w:tc>
          <w:tcPr>
            <w:tcW w:type="dxa" w:w="7260"/>
          </w:tcPr>
          <w:p>
            <w:pPr>
              <w:spacing w:before="0" w:after="0" w:line="252" w:lineRule="auto"/>
              <w:jc w:val="left"/>
            </w:pPr>
            <w:r>
              <w:rPr>
                <w:rFonts w:ascii="Calibri" w:hAnsi="Calibri"/>
                <w:b w:val="0"/>
                <w:sz w:val="18"/>
              </w:rPr>
              <w:t>EDS, Architectural Context Document, design history, terminology, ADRs, requirement traceability.</w:t>
            </w:r>
          </w:p>
        </w:tc>
      </w:tr>
      <w:tr>
        <w:tc>
          <w:tcPr>
            <w:tcW w:type="dxa" w:w="2100"/>
          </w:tcPr>
          <w:p>
            <w:pPr>
              <w:spacing w:before="0" w:after="0" w:line="252" w:lineRule="auto"/>
              <w:jc w:val="left"/>
            </w:pPr>
            <w:r>
              <w:rPr>
                <w:rFonts w:ascii="Calibri" w:hAnsi="Calibri"/>
                <w:b w:val="0"/>
                <w:sz w:val="18"/>
              </w:rPr>
              <w:t>schemas/</w:t>
            </w:r>
          </w:p>
        </w:tc>
        <w:tc>
          <w:tcPr>
            <w:tcW w:type="dxa" w:w="7260"/>
          </w:tcPr>
          <w:p>
            <w:pPr>
              <w:spacing w:before="0" w:after="0" w:line="252" w:lineRule="auto"/>
              <w:jc w:val="left"/>
            </w:pPr>
            <w:r>
              <w:rPr>
                <w:rFonts w:ascii="Calibri" w:hAnsi="Calibri"/>
                <w:b w:val="0"/>
                <w:sz w:val="18"/>
              </w:rPr>
              <w:t>Versioned JSON/Arrow/Parquet contract schemas and migration rules.</w:t>
            </w:r>
          </w:p>
        </w:tc>
      </w:tr>
      <w:tr>
        <w:tc>
          <w:tcPr>
            <w:tcW w:type="dxa" w:w="2100"/>
          </w:tcPr>
          <w:p>
            <w:pPr>
              <w:spacing w:before="0" w:after="0" w:line="252" w:lineRule="auto"/>
              <w:jc w:val="left"/>
            </w:pPr>
            <w:r>
              <w:rPr>
                <w:rFonts w:ascii="Calibri" w:hAnsi="Calibri"/>
                <w:b w:val="0"/>
                <w:sz w:val="18"/>
              </w:rPr>
              <w:t>profiles/</w:t>
            </w:r>
          </w:p>
        </w:tc>
        <w:tc>
          <w:tcPr>
            <w:tcW w:type="dxa" w:w="7260"/>
          </w:tcPr>
          <w:p>
            <w:pPr>
              <w:spacing w:before="0" w:after="0" w:line="252" w:lineRule="auto"/>
              <w:jc w:val="left"/>
            </w:pPr>
            <w:r>
              <w:rPr>
                <w:rFonts w:ascii="Calibri" w:hAnsi="Calibri"/>
                <w:b w:val="0"/>
                <w:sz w:val="18"/>
              </w:rPr>
              <w:t>Embedding, canonicalization, derivation, validation, and plugin profile declarations.</w:t>
            </w:r>
          </w:p>
        </w:tc>
      </w:tr>
      <w:tr>
        <w:tc>
          <w:tcPr>
            <w:tcW w:type="dxa" w:w="2100"/>
          </w:tcPr>
          <w:p>
            <w:pPr>
              <w:spacing w:before="0" w:after="0" w:line="252" w:lineRule="auto"/>
              <w:jc w:val="left"/>
            </w:pPr>
            <w:r>
              <w:rPr>
                <w:rFonts w:ascii="Calibri" w:hAnsi="Calibri"/>
                <w:b w:val="0"/>
                <w:sz w:val="18"/>
              </w:rPr>
              <w:t>atlas-builder/</w:t>
            </w:r>
          </w:p>
        </w:tc>
        <w:tc>
          <w:tcPr>
            <w:tcW w:type="dxa" w:w="7260"/>
          </w:tcPr>
          <w:p>
            <w:pPr>
              <w:spacing w:before="0" w:after="0" w:line="252" w:lineRule="auto"/>
              <w:jc w:val="left"/>
            </w:pPr>
            <w:r>
              <w:rPr>
                <w:rFonts w:ascii="Calibri" w:hAnsi="Calibri"/>
                <w:b w:val="0"/>
                <w:sz w:val="18"/>
              </w:rPr>
              <w:t>Manifest parser, stages, plugin hosts, package assembler, release checks.</w:t>
            </w:r>
          </w:p>
        </w:tc>
      </w:tr>
      <w:tr>
        <w:tc>
          <w:tcPr>
            <w:tcW w:type="dxa" w:w="2100"/>
          </w:tcPr>
          <w:p>
            <w:pPr>
              <w:spacing w:before="0" w:after="0" w:line="252" w:lineRule="auto"/>
              <w:jc w:val="left"/>
            </w:pPr>
            <w:r>
              <w:rPr>
                <w:rFonts w:ascii="Calibri" w:hAnsi="Calibri"/>
                <w:b w:val="0"/>
                <w:sz w:val="18"/>
              </w:rPr>
              <w:t>query-core/</w:t>
            </w:r>
          </w:p>
        </w:tc>
        <w:tc>
          <w:tcPr>
            <w:tcW w:type="dxa" w:w="7260"/>
          </w:tcPr>
          <w:p>
            <w:pPr>
              <w:spacing w:before="0" w:after="0" w:line="252" w:lineRule="auto"/>
              <w:jc w:val="left"/>
            </w:pPr>
            <w:r>
              <w:rPr>
                <w:rFonts w:ascii="Calibri" w:hAnsi="Calibri"/>
                <w:b w:val="0"/>
                <w:sz w:val="18"/>
              </w:rPr>
              <w:t>Release reader, typed query model, filtering, graph traversal, result provenance.</w:t>
            </w:r>
          </w:p>
        </w:tc>
      </w:tr>
      <w:tr>
        <w:tc>
          <w:tcPr>
            <w:tcW w:type="dxa" w:w="2100"/>
          </w:tcPr>
          <w:p>
            <w:pPr>
              <w:spacing w:before="0" w:after="0" w:line="252" w:lineRule="auto"/>
              <w:jc w:val="left"/>
            </w:pPr>
            <w:r>
              <w:rPr>
                <w:rFonts w:ascii="Calibri" w:hAnsi="Calibri"/>
                <w:b w:val="0"/>
                <w:sz w:val="18"/>
              </w:rPr>
              <w:t>explorer/</w:t>
            </w:r>
          </w:p>
        </w:tc>
        <w:tc>
          <w:tcPr>
            <w:tcW w:type="dxa" w:w="7260"/>
          </w:tcPr>
          <w:p>
            <w:pPr>
              <w:spacing w:before="0" w:after="0" w:line="252" w:lineRule="auto"/>
              <w:jc w:val="left"/>
            </w:pPr>
            <w:r>
              <w:rPr>
                <w:rFonts w:ascii="Calibri" w:hAnsi="Calibri"/>
                <w:b w:val="0"/>
                <w:sz w:val="18"/>
              </w:rPr>
              <w:t>Human-facing client(s), evidence presentation, visualization adapters.</w:t>
            </w:r>
          </w:p>
        </w:tc>
      </w:tr>
      <w:tr>
        <w:tc>
          <w:tcPr>
            <w:tcW w:type="dxa" w:w="2100"/>
          </w:tcPr>
          <w:p>
            <w:pPr>
              <w:spacing w:before="0" w:after="0" w:line="252" w:lineRule="auto"/>
              <w:jc w:val="left"/>
            </w:pPr>
            <w:r>
              <w:rPr>
                <w:rFonts w:ascii="Calibri" w:hAnsi="Calibri"/>
                <w:b w:val="0"/>
                <w:sz w:val="18"/>
              </w:rPr>
              <w:t>sdk/</w:t>
            </w:r>
          </w:p>
        </w:tc>
        <w:tc>
          <w:tcPr>
            <w:tcW w:type="dxa" w:w="7260"/>
          </w:tcPr>
          <w:p>
            <w:pPr>
              <w:spacing w:before="0" w:after="0" w:line="252" w:lineRule="auto"/>
              <w:jc w:val="left"/>
            </w:pPr>
            <w:r>
              <w:rPr>
                <w:rFonts w:ascii="Calibri" w:hAnsi="Calibri"/>
                <w:b w:val="0"/>
                <w:sz w:val="18"/>
              </w:rPr>
              <w:t>Python SDK and generated/maintained REST client contracts.</w:t>
            </w:r>
          </w:p>
        </w:tc>
      </w:tr>
      <w:tr>
        <w:tc>
          <w:tcPr>
            <w:tcW w:type="dxa" w:w="2100"/>
          </w:tcPr>
          <w:p>
            <w:pPr>
              <w:spacing w:before="0" w:after="0" w:line="252" w:lineRule="auto"/>
              <w:jc w:val="left"/>
            </w:pPr>
            <w:r>
              <w:rPr>
                <w:rFonts w:ascii="Calibri" w:hAnsi="Calibri"/>
                <w:b w:val="0"/>
                <w:sz w:val="18"/>
              </w:rPr>
              <w:t>api/</w:t>
            </w:r>
          </w:p>
        </w:tc>
        <w:tc>
          <w:tcPr>
            <w:tcW w:type="dxa" w:w="7260"/>
          </w:tcPr>
          <w:p>
            <w:pPr>
              <w:spacing w:before="0" w:after="0" w:line="252" w:lineRule="auto"/>
              <w:jc w:val="left"/>
            </w:pPr>
            <w:r>
              <w:rPr>
                <w:rFonts w:ascii="Calibri" w:hAnsi="Calibri"/>
                <w:b w:val="0"/>
                <w:sz w:val="18"/>
              </w:rPr>
              <w:t>OpenAPI specification and REST transport adapter.</w:t>
            </w:r>
          </w:p>
        </w:tc>
      </w:tr>
      <w:tr>
        <w:tc>
          <w:tcPr>
            <w:tcW w:type="dxa" w:w="2100"/>
          </w:tcPr>
          <w:p>
            <w:pPr>
              <w:spacing w:before="0" w:after="0" w:line="252" w:lineRule="auto"/>
              <w:jc w:val="left"/>
            </w:pPr>
            <w:r>
              <w:rPr>
                <w:rFonts w:ascii="Calibri" w:hAnsi="Calibri"/>
                <w:b w:val="0"/>
                <w:sz w:val="18"/>
              </w:rPr>
              <w:t>storage/</w:t>
            </w:r>
          </w:p>
        </w:tc>
        <w:tc>
          <w:tcPr>
            <w:tcW w:type="dxa" w:w="7260"/>
          </w:tcPr>
          <w:p>
            <w:pPr>
              <w:spacing w:before="0" w:after="0" w:line="252" w:lineRule="auto"/>
              <w:jc w:val="left"/>
            </w:pPr>
            <w:r>
              <w:rPr>
                <w:rFonts w:ascii="Calibri" w:hAnsi="Calibri"/>
                <w:b w:val="0"/>
                <w:sz w:val="18"/>
              </w:rPr>
              <w:t>Parquet/Arrow/DuckDB readers, blob and ANN adapters.</w:t>
            </w:r>
          </w:p>
        </w:tc>
      </w:tr>
      <w:tr>
        <w:tc>
          <w:tcPr>
            <w:tcW w:type="dxa" w:w="2100"/>
          </w:tcPr>
          <w:p>
            <w:pPr>
              <w:spacing w:before="0" w:after="0" w:line="252" w:lineRule="auto"/>
              <w:jc w:val="left"/>
            </w:pPr>
            <w:r>
              <w:rPr>
                <w:rFonts w:ascii="Calibri" w:hAnsi="Calibri"/>
                <w:b w:val="0"/>
                <w:sz w:val="18"/>
              </w:rPr>
              <w:t>benchmarks/</w:t>
            </w:r>
          </w:p>
        </w:tc>
        <w:tc>
          <w:tcPr>
            <w:tcW w:type="dxa" w:w="7260"/>
          </w:tcPr>
          <w:p>
            <w:pPr>
              <w:spacing w:before="0" w:after="0" w:line="252" w:lineRule="auto"/>
              <w:jc w:val="left"/>
            </w:pPr>
            <w:r>
              <w:rPr>
                <w:rFonts w:ascii="Calibri" w:hAnsi="Calibri"/>
                <w:b w:val="0"/>
                <w:sz w:val="18"/>
              </w:rPr>
              <w:t>Preregistrations, datasets manifests, baselines, metrics, raw-result references.</w:t>
            </w:r>
          </w:p>
        </w:tc>
      </w:tr>
      <w:tr>
        <w:tc>
          <w:tcPr>
            <w:tcW w:type="dxa" w:w="2100"/>
          </w:tcPr>
          <w:p>
            <w:pPr>
              <w:spacing w:before="0" w:after="0" w:line="252" w:lineRule="auto"/>
              <w:jc w:val="left"/>
            </w:pPr>
            <w:r>
              <w:rPr>
                <w:rFonts w:ascii="Calibri" w:hAnsi="Calibri"/>
                <w:b w:val="0"/>
                <w:sz w:val="18"/>
              </w:rPr>
              <w:t>fixtures/</w:t>
            </w:r>
          </w:p>
        </w:tc>
        <w:tc>
          <w:tcPr>
            <w:tcW w:type="dxa" w:w="7260"/>
          </w:tcPr>
          <w:p>
            <w:pPr>
              <w:spacing w:before="0" w:after="0" w:line="252" w:lineRule="auto"/>
              <w:jc w:val="left"/>
            </w:pPr>
            <w:r>
              <w:rPr>
                <w:rFonts w:ascii="Calibri" w:hAnsi="Calibri"/>
                <w:b w:val="0"/>
                <w:sz w:val="18"/>
              </w:rPr>
              <w:t>Licensed minimal releases, adversarial identity cases, corrupted manifests, plugin fixtures.</w:t>
            </w:r>
          </w:p>
        </w:tc>
      </w:tr>
      <w:tr>
        <w:tc>
          <w:tcPr>
            <w:tcW w:type="dxa" w:w="2100"/>
          </w:tcPr>
          <w:p>
            <w:pPr>
              <w:spacing w:before="0" w:after="0" w:line="252" w:lineRule="auto"/>
              <w:jc w:val="left"/>
            </w:pPr>
            <w:r>
              <w:rPr>
                <w:rFonts w:ascii="Calibri" w:hAnsi="Calibri"/>
                <w:b w:val="0"/>
                <w:sz w:val="18"/>
              </w:rPr>
              <w:t>tests/</w:t>
            </w:r>
          </w:p>
        </w:tc>
        <w:tc>
          <w:tcPr>
            <w:tcW w:type="dxa" w:w="7260"/>
          </w:tcPr>
          <w:p>
            <w:pPr>
              <w:spacing w:before="0" w:after="0" w:line="252" w:lineRule="auto"/>
              <w:jc w:val="left"/>
            </w:pPr>
            <w:r>
              <w:rPr>
                <w:rFonts w:ascii="Calibri" w:hAnsi="Calibri"/>
                <w:b w:val="0"/>
                <w:sz w:val="18"/>
              </w:rPr>
              <w:t>Unit, integration, contract, clean-room, and conformance tests.</w:t>
            </w:r>
          </w:p>
        </w:tc>
      </w:tr>
      <w:tr>
        <w:tc>
          <w:tcPr>
            <w:tcW w:type="dxa" w:w="2100"/>
          </w:tcPr>
          <w:p>
            <w:pPr>
              <w:spacing w:before="0" w:after="0" w:line="252" w:lineRule="auto"/>
              <w:jc w:val="left"/>
            </w:pPr>
            <w:r>
              <w:rPr>
                <w:rFonts w:ascii="Calibri" w:hAnsi="Calibri"/>
                <w:b w:val="0"/>
                <w:sz w:val="18"/>
              </w:rPr>
              <w:t>docs/</w:t>
            </w:r>
          </w:p>
        </w:tc>
        <w:tc>
          <w:tcPr>
            <w:tcW w:type="dxa" w:w="7260"/>
          </w:tcPr>
          <w:p>
            <w:pPr>
              <w:spacing w:before="0" w:after="0" w:line="252" w:lineRule="auto"/>
              <w:jc w:val="left"/>
            </w:pPr>
            <w:r>
              <w:rPr>
                <w:rFonts w:ascii="Calibri" w:hAnsi="Calibri"/>
                <w:b w:val="0"/>
                <w:sz w:val="18"/>
              </w:rPr>
              <w:t>Contributor guides, release playbooks, source/evidence ledgers.</w:t>
            </w:r>
          </w:p>
        </w:tc>
      </w:tr>
    </w:tbl>
    <w:p>
      <w:pPr>
        <w:spacing w:after="40"/>
      </w:pPr>
    </w:p>
    <w:p>
      <w:pPr>
        <w:pStyle w:val="Heading2"/>
      </w:pPr>
      <w:r>
        <w:rPr>
          <w:rFonts w:ascii="Calibri" w:hAnsi="Calibri"/>
          <w:b/>
          <w:color w:val="2E74B5"/>
          <w:sz w:val="26"/>
        </w:rPr>
        <w:t>15.1 CI gates</w:t>
      </w:r>
    </w:p>
    <w:p>
      <w:pPr>
        <w:pStyle w:val="ListBullet"/>
        <w:spacing w:after="80" w:line="300" w:lineRule="auto"/>
      </w:pPr>
      <w:r>
        <w:rPr>
          <w:rFonts w:ascii="Calibri" w:hAnsi="Calibri"/>
          <w:sz w:val="22"/>
        </w:rPr>
        <w:t>Schema compatibility and contract fixture tests on every change affecting contracts or readers.</w:t>
      </w:r>
    </w:p>
    <w:p>
      <w:pPr>
        <w:pStyle w:val="ListBullet"/>
        <w:spacing w:after="80" w:line="300" w:lineRule="auto"/>
      </w:pPr>
      <w:r>
        <w:rPr>
          <w:rFonts w:ascii="Calibri" w:hAnsi="Calibri"/>
          <w:sz w:val="22"/>
        </w:rPr>
        <w:t>Builder-stage positive and negative tests, including explicit exclusion and waiver behavior.</w:t>
      </w:r>
    </w:p>
    <w:p>
      <w:pPr>
        <w:pStyle w:val="ListBullet"/>
        <w:spacing w:after="80" w:line="300" w:lineRule="auto"/>
      </w:pPr>
      <w:r>
        <w:rPr>
          <w:rFonts w:ascii="Calibri" w:hAnsi="Calibri"/>
          <w:sz w:val="22"/>
        </w:rPr>
        <w:t>SDK/REST/Query Core conformance tests against the same fixture release.</w:t>
      </w:r>
    </w:p>
    <w:p>
      <w:pPr>
        <w:pStyle w:val="ListBullet"/>
        <w:spacing w:after="80" w:line="300" w:lineRule="auto"/>
      </w:pPr>
      <w:r>
        <w:rPr>
          <w:rFonts w:ascii="Calibri" w:hAnsi="Calibri"/>
          <w:sz w:val="22"/>
        </w:rPr>
        <w:t>Manifest, checksum, license, and source-provenance checks for candidate release builds.</w:t>
      </w:r>
    </w:p>
    <w:p>
      <w:pPr>
        <w:pStyle w:val="ListBullet"/>
        <w:spacing w:after="80" w:line="300" w:lineRule="auto"/>
      </w:pPr>
      <w:r>
        <w:rPr>
          <w:rFonts w:ascii="Calibri" w:hAnsi="Calibri"/>
          <w:sz w:val="22"/>
        </w:rPr>
        <w:t>Benchmark configuration validation; results are not accepted as method evidence unless linked to a preregistration and raw artifacts.</w:t>
      </w:r>
    </w:p>
    <w:p>
      <w:pPr>
        <w:pStyle w:val="ListBullet"/>
        <w:spacing w:after="80" w:line="300" w:lineRule="auto"/>
      </w:pPr>
      <w:r>
        <w:rPr>
          <w:rFonts w:ascii="Calibri" w:hAnsi="Calibri"/>
          <w:sz w:val="22"/>
        </w:rPr>
        <w:t>Documentation checks: requirement references, ADR status, terminology, and status labels remain internally consistent.</w:t>
      </w:r>
    </w:p>
    <w:p>
      <w:pPr>
        <w:pStyle w:val="Heading1"/>
        <w:pageBreakBefore/>
      </w:pPr>
      <w:r>
        <w:rPr>
          <w:rFonts w:ascii="Calibri" w:hAnsi="Calibri"/>
          <w:b/>
          <w:color w:val="2E74B5"/>
          <w:sz w:val="32"/>
        </w:rPr>
        <w:t>16. Roadmap</w:t>
      </w:r>
    </w:p>
    <w:p>
      <w:pPr>
        <w:pStyle w:val="Heading2"/>
      </w:pPr>
      <w:r>
        <w:rPr>
          <w:rFonts w:ascii="Calibri" w:hAnsi="Calibri"/>
          <w:b/>
          <w:color w:val="2E74B5"/>
          <w:sz w:val="26"/>
        </w:rPr>
        <w:t>Why</w:t>
      </w:r>
    </w:p>
    <w:p>
      <w:pPr>
        <w:keepLines w:val="0"/>
      </w:pPr>
      <w:r>
        <w:rPr>
          <w:rFonts w:ascii="Calibri" w:hAnsi="Calibri"/>
          <w:i w:val="0"/>
          <w:sz w:val="22"/>
        </w:rPr>
        <w:t>The prior feature roadmap needs decision gates. Scientific infrastructure should advance when an artifact can be independently checked, not merely when a UI or model demonstration exists.</w:t>
      </w:r>
    </w:p>
    <w:p>
      <w:pPr>
        <w:pStyle w:val="Heading2"/>
      </w:pPr>
      <w:r>
        <w:rPr>
          <w:rFonts w:ascii="Calibri" w:hAnsi="Calibri"/>
          <w:b/>
          <w:color w:val="2E74B5"/>
          <w:sz w:val="26"/>
        </w:rPr>
        <w:t>What</w:t>
      </w:r>
    </w:p>
    <w:p>
      <w:pPr>
        <w:keepLines w:val="0"/>
      </w:pPr>
      <w:r>
        <w:rPr>
          <w:rFonts w:ascii="Calibri" w:hAnsi="Calibri"/>
          <w:i w:val="0"/>
          <w:sz w:val="22"/>
        </w:rPr>
        <w:t>The roadmap moves from governance and contracts to a minimal reproducible release, shared query semantics, method evaluation, candidate public release, and archival publication.</w:t>
      </w:r>
    </w:p>
    <w:p>
      <w:pPr>
        <w:pStyle w:val="Heading2"/>
      </w:pPr>
      <w:r>
        <w:rPr>
          <w:rFonts w:ascii="Calibri" w:hAnsi="Calibri"/>
          <w:b/>
          <w:color w:val="2E74B5"/>
          <w:sz w:val="26"/>
        </w:rPr>
        <w:t>How</w:t>
      </w:r>
    </w:p>
    <w:p>
      <w:pPr>
        <w:keepLines w:val="0"/>
      </w:pPr>
      <w:r>
        <w:rPr>
          <w:rFonts w:ascii="Calibri" w:hAnsi="Calibri"/>
          <w:i w:val="0"/>
          <w:sz w:val="22"/>
        </w:rPr>
        <w:t>Each milestone has a deliverable, owner group, evidence gate, and stated status. A milestone may be delayed, re-scoped, or rejected; it must not be relabeled complete without its exit evidence.</w:t>
      </w:r>
    </w:p>
    <w:p>
      <w:pPr>
        <w:pStyle w:val="Heading2"/>
      </w:pPr>
      <w:r>
        <w:rPr>
          <w:rFonts w:ascii="Calibri" w:hAnsi="Calibri"/>
          <w:b/>
          <w:color w:val="2E74B5"/>
          <w:sz w:val="26"/>
        </w:rPr>
        <w:t>Future considerations</w:t>
      </w:r>
    </w:p>
    <w:p>
      <w:pPr>
        <w:keepLines w:val="0"/>
      </w:pPr>
      <w:r>
        <w:rPr>
          <w:rFonts w:ascii="Calibri" w:hAnsi="Calibri"/>
          <w:i w:val="0"/>
          <w:sz w:val="22"/>
        </w:rPr>
        <w:t>Large-scale population, remote services, collaborative curation, and additional modalities are deliberately beyond M5. They should become separate proposals after M1-M5 evidence identifies a need.</w:t>
      </w:r>
    </w:p>
    <w:tbl>
      <w:tblPr>
        <w:tblStyle w:val="TableGrid"/>
        <w:tblW w:type="dxa" w:w="9360"/>
        <w:jc w:val="left"/>
        <w:tblLayout w:type="fixed"/>
        <w:tblLook w:firstColumn="1" w:firstRow="1" w:lastColumn="0" w:lastRow="0" w:noHBand="0" w:noVBand="1" w:val="04A0"/>
        <w:tblInd w:w="120" w:type="dxa"/>
      </w:tblPr>
      <w:tblGrid>
        <w:gridCol w:w="1700"/>
        <w:gridCol w:w="3300"/>
        <w:gridCol w:w="3150"/>
        <w:gridCol w:w="1210"/>
      </w:tblGrid>
      <w:tr>
        <w:trPr>
          <w:tblHeader w:val="true"/>
        </w:trPr>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Milestone</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Deliverable</w:t>
            </w:r>
          </w:p>
        </w:tc>
        <w:tc>
          <w:tcPr>
            <w:tcW w:type="dxa" w:w="31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Exit criteria</w:t>
            </w:r>
          </w:p>
        </w:tc>
        <w:tc>
          <w:tcPr>
            <w:tcW w:type="dxa" w:w="1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Status</w:t>
            </w:r>
          </w:p>
        </w:tc>
      </w:tr>
      <w:tr>
        <w:tc>
          <w:tcPr>
            <w:tcW w:type="dxa" w:w="1700"/>
          </w:tcPr>
          <w:p>
            <w:pPr>
              <w:spacing w:before="0" w:after="0" w:line="252" w:lineRule="auto"/>
              <w:jc w:val="left"/>
            </w:pPr>
            <w:r>
              <w:rPr>
                <w:rFonts w:ascii="Calibri" w:hAnsi="Calibri"/>
                <w:b w:val="0"/>
                <w:sz w:val="18"/>
              </w:rPr>
              <w:t>M0: Governance and contracts</w:t>
            </w:r>
          </w:p>
        </w:tc>
        <w:tc>
          <w:tcPr>
            <w:tcW w:type="dxa" w:w="3300"/>
          </w:tcPr>
          <w:p>
            <w:pPr>
              <w:spacing w:before="0" w:after="0" w:line="252" w:lineRule="auto"/>
              <w:jc w:val="left"/>
            </w:pPr>
            <w:r>
              <w:rPr>
                <w:rFonts w:ascii="Calibri" w:hAnsi="Calibri"/>
                <w:b w:val="0"/>
                <w:sz w:val="18"/>
              </w:rPr>
              <w:t>EDS accepted; initial ADRs; schemas; terminology; release policy; owner roles.</w:t>
            </w:r>
          </w:p>
        </w:tc>
        <w:tc>
          <w:tcPr>
            <w:tcW w:type="dxa" w:w="3150"/>
          </w:tcPr>
          <w:p>
            <w:pPr>
              <w:spacing w:before="0" w:after="0" w:line="252" w:lineRule="auto"/>
              <w:jc w:val="left"/>
            </w:pPr>
            <w:r>
              <w:rPr>
                <w:rFonts w:ascii="Calibri" w:hAnsi="Calibri"/>
                <w:b w:val="0"/>
                <w:sz w:val="18"/>
              </w:rPr>
              <w:t>ADR/schema review complete; open questions assigned.</w:t>
            </w:r>
          </w:p>
        </w:tc>
        <w:tc>
          <w:tcPr>
            <w:tcW w:type="dxa" w:w="1210"/>
          </w:tcPr>
          <w:p>
            <w:pPr>
              <w:spacing w:before="0" w:after="0" w:line="252" w:lineRule="auto"/>
              <w:jc w:val="left"/>
            </w:pPr>
            <w:r>
              <w:rPr>
                <w:rFonts w:ascii="Calibri" w:hAnsi="Calibri"/>
                <w:b w:val="0"/>
                <w:sz w:val="18"/>
              </w:rPr>
              <w:t>Proposed</w:t>
            </w:r>
          </w:p>
        </w:tc>
      </w:tr>
      <w:tr>
        <w:tc>
          <w:tcPr>
            <w:tcW w:type="dxa" w:w="1700"/>
          </w:tcPr>
          <w:p>
            <w:pPr>
              <w:spacing w:before="0" w:after="0" w:line="252" w:lineRule="auto"/>
              <w:jc w:val="left"/>
            </w:pPr>
            <w:r>
              <w:rPr>
                <w:rFonts w:ascii="Calibri" w:hAnsi="Calibri"/>
                <w:b w:val="0"/>
                <w:sz w:val="18"/>
              </w:rPr>
              <w:t>M1: Minimal reproducible release</w:t>
            </w:r>
          </w:p>
        </w:tc>
        <w:tc>
          <w:tcPr>
            <w:tcW w:type="dxa" w:w="3300"/>
          </w:tcPr>
          <w:p>
            <w:pPr>
              <w:spacing w:before="0" w:after="0" w:line="252" w:lineRule="auto"/>
              <w:jc w:val="left"/>
            </w:pPr>
            <w:r>
              <w:rPr>
                <w:rFonts w:ascii="Calibri" w:hAnsi="Calibri"/>
                <w:b w:val="0"/>
                <w:sz w:val="18"/>
              </w:rPr>
              <w:t>Small licensed snapshot with records, one baseline profile, manifest, reader.</w:t>
            </w:r>
          </w:p>
        </w:tc>
        <w:tc>
          <w:tcPr>
            <w:tcW w:type="dxa" w:w="3150"/>
          </w:tcPr>
          <w:p>
            <w:pPr>
              <w:spacing w:before="0" w:after="0" w:line="252" w:lineRule="auto"/>
              <w:jc w:val="left"/>
            </w:pPr>
            <w:r>
              <w:rPr>
                <w:rFonts w:ascii="Calibri" w:hAnsi="Calibri"/>
                <w:b w:val="0"/>
                <w:sz w:val="18"/>
              </w:rPr>
              <w:t>Independent build/open/digest verification; no biological-performance claim.</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M2: Query Core and Explorer</w:t>
            </w:r>
          </w:p>
        </w:tc>
        <w:tc>
          <w:tcPr>
            <w:tcW w:type="dxa" w:w="3300"/>
          </w:tcPr>
          <w:p>
            <w:pPr>
              <w:spacing w:before="0" w:after="0" w:line="252" w:lineRule="auto"/>
              <w:jc w:val="left"/>
            </w:pPr>
            <w:r>
              <w:rPr>
                <w:rFonts w:ascii="Calibri" w:hAnsi="Calibri"/>
                <w:b w:val="0"/>
                <w:sz w:val="18"/>
              </w:rPr>
              <w:t>Local similarity/provenance traversal via shared contracts.</w:t>
            </w:r>
          </w:p>
        </w:tc>
        <w:tc>
          <w:tcPr>
            <w:tcW w:type="dxa" w:w="3150"/>
          </w:tcPr>
          <w:p>
            <w:pPr>
              <w:spacing w:before="0" w:after="0" w:line="252" w:lineRule="auto"/>
              <w:jc w:val="left"/>
            </w:pPr>
            <w:r>
              <w:rPr>
                <w:rFonts w:ascii="Calibri" w:hAnsi="Calibri"/>
                <w:b w:val="0"/>
                <w:sz w:val="18"/>
              </w:rPr>
              <w:t>SDK/Explorer conformance tests; complete result provenance.</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M3: Method evaluation</w:t>
            </w:r>
          </w:p>
        </w:tc>
        <w:tc>
          <w:tcPr>
            <w:tcW w:type="dxa" w:w="3300"/>
          </w:tcPr>
          <w:p>
            <w:pPr>
              <w:spacing w:before="0" w:after="0" w:line="252" w:lineRule="auto"/>
              <w:jc w:val="left"/>
            </w:pPr>
            <w:r>
              <w:rPr>
                <w:rFonts w:ascii="Calibri" w:hAnsi="Calibri"/>
                <w:b w:val="0"/>
                <w:sz w:val="18"/>
              </w:rPr>
              <w:t>Preregistered retrieval and graph-refinement studies with baselines.</w:t>
            </w:r>
          </w:p>
        </w:tc>
        <w:tc>
          <w:tcPr>
            <w:tcW w:type="dxa" w:w="3150"/>
          </w:tcPr>
          <w:p>
            <w:pPr>
              <w:spacing w:before="0" w:after="0" w:line="252" w:lineRule="auto"/>
              <w:jc w:val="left"/>
            </w:pPr>
            <w:r>
              <w:rPr>
                <w:rFonts w:ascii="Calibri" w:hAnsi="Calibri"/>
                <w:b w:val="0"/>
                <w:sz w:val="18"/>
              </w:rPr>
              <w:t>Raw results, uncertainty, failure analysis, and decision ADR published.</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M4: Candidate public release</w:t>
            </w:r>
          </w:p>
        </w:tc>
        <w:tc>
          <w:tcPr>
            <w:tcW w:type="dxa" w:w="3300"/>
          </w:tcPr>
          <w:p>
            <w:pPr>
              <w:spacing w:before="0" w:after="0" w:line="252" w:lineRule="auto"/>
              <w:jc w:val="left"/>
            </w:pPr>
            <w:r>
              <w:rPr>
                <w:rFonts w:ascii="Calibri" w:hAnsi="Calibri"/>
                <w:b w:val="0"/>
                <w:sz w:val="18"/>
              </w:rPr>
              <w:t>Full candidate package, validation bundle, citation metadata, archive rehearsal.</w:t>
            </w:r>
          </w:p>
        </w:tc>
        <w:tc>
          <w:tcPr>
            <w:tcW w:type="dxa" w:w="3150"/>
          </w:tcPr>
          <w:p>
            <w:pPr>
              <w:spacing w:before="0" w:after="0" w:line="252" w:lineRule="auto"/>
              <w:jc w:val="left"/>
            </w:pPr>
            <w:r>
              <w:rPr>
                <w:rFonts w:ascii="Calibri" w:hAnsi="Calibri"/>
                <w:b w:val="0"/>
                <w:sz w:val="18"/>
              </w:rPr>
              <w:t>Release checklist and independent review pass.</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M5: Public archival release</w:t>
            </w:r>
          </w:p>
        </w:tc>
        <w:tc>
          <w:tcPr>
            <w:tcW w:type="dxa" w:w="3300"/>
          </w:tcPr>
          <w:p>
            <w:pPr>
              <w:spacing w:before="0" w:after="0" w:line="252" w:lineRule="auto"/>
              <w:jc w:val="left"/>
            </w:pPr>
            <w:r>
              <w:rPr>
                <w:rFonts w:ascii="Calibri" w:hAnsi="Calibri"/>
                <w:b w:val="0"/>
                <w:sz w:val="18"/>
              </w:rPr>
              <w:t>Immutable archived snapshot and correction/support policy.</w:t>
            </w:r>
          </w:p>
        </w:tc>
        <w:tc>
          <w:tcPr>
            <w:tcW w:type="dxa" w:w="3150"/>
          </w:tcPr>
          <w:p>
            <w:pPr>
              <w:spacing w:before="0" w:after="0" w:line="252" w:lineRule="auto"/>
              <w:jc w:val="left"/>
            </w:pPr>
            <w:r>
              <w:rPr>
                <w:rFonts w:ascii="Calibri" w:hAnsi="Calibri"/>
                <w:b w:val="0"/>
                <w:sz w:val="18"/>
              </w:rPr>
              <w:t>Deposit complete; verification by a second environment.</w:t>
            </w:r>
          </w:p>
        </w:tc>
        <w:tc>
          <w:tcPr>
            <w:tcW w:type="dxa" w:w="1210"/>
          </w:tcPr>
          <w:p>
            <w:pPr>
              <w:spacing w:before="0" w:after="0" w:line="252" w:lineRule="auto"/>
              <w:jc w:val="left"/>
            </w:pPr>
            <w:r>
              <w:rPr>
                <w:rFonts w:ascii="Calibri" w:hAnsi="Calibri"/>
                <w:b w:val="0"/>
                <w:sz w:val="18"/>
              </w:rPr>
              <w:t>Planned</w:t>
            </w:r>
          </w:p>
        </w:tc>
      </w:tr>
    </w:tbl>
    <w:p>
      <w:pPr>
        <w:spacing w:after="40"/>
      </w:pPr>
    </w:p>
    <w:p>
      <w:pPr>
        <w:pStyle w:val="Heading1"/>
        <w:pageBreakBefore/>
      </w:pPr>
      <w:r>
        <w:rPr>
          <w:rFonts w:ascii="Calibri" w:hAnsi="Calibri"/>
          <w:b/>
          <w:color w:val="2E74B5"/>
          <w:sz w:val="32"/>
        </w:rPr>
        <w:t>Appendix A. Normative data contracts</w:t>
      </w:r>
    </w:p>
    <w:p>
      <w:pPr>
        <w:keepLines w:val="0"/>
      </w:pPr>
      <w:r>
        <w:rPr>
          <w:rFonts w:ascii="Calibri" w:hAnsi="Calibri"/>
          <w:i w:val="0"/>
          <w:sz w:val="22"/>
        </w:rPr>
        <w:t>Schemas are normative at their declared version. The examples below are minimum contracts, not exhaustive implementation models. Fields may be extended only according to documented schema evolution rules.</w:t>
      </w:r>
    </w:p>
    <w:p>
      <w:pPr>
        <w:pStyle w:val="Heading2"/>
      </w:pPr>
      <w:r>
        <w:rPr>
          <w:rFonts w:ascii="Calibri" w:hAnsi="Calibri"/>
          <w:b/>
          <w:color w:val="2E74B5"/>
          <w:sz w:val="26"/>
        </w:rPr>
        <w:t>A.1 Release manifest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release_id</w:t>
            </w:r>
          </w:p>
        </w:tc>
        <w:tc>
          <w:tcPr>
            <w:tcW w:type="dxa" w:w="6760"/>
          </w:tcPr>
          <w:p>
            <w:pPr>
              <w:spacing w:before="0" w:after="0" w:line="252" w:lineRule="auto"/>
              <w:jc w:val="left"/>
            </w:pPr>
            <w:r>
              <w:rPr>
                <w:rFonts w:ascii="Calibri" w:hAnsi="Calibri"/>
                <w:b w:val="0"/>
                <w:sz w:val="18"/>
              </w:rPr>
              <w:t>Immutable unique identifier and human-readable release name.</w:t>
            </w:r>
          </w:p>
        </w:tc>
      </w:tr>
      <w:tr>
        <w:tc>
          <w:tcPr>
            <w:tcW w:type="dxa" w:w="2600"/>
          </w:tcPr>
          <w:p>
            <w:pPr>
              <w:spacing w:before="0" w:after="0" w:line="252" w:lineRule="auto"/>
              <w:jc w:val="left"/>
            </w:pPr>
            <w:r>
              <w:rPr>
                <w:rFonts w:ascii="Calibri" w:hAnsi="Calibri"/>
                <w:b w:val="0"/>
                <w:sz w:val="18"/>
              </w:rPr>
              <w:t>schema_version</w:t>
            </w:r>
          </w:p>
        </w:tc>
        <w:tc>
          <w:tcPr>
            <w:tcW w:type="dxa" w:w="6760"/>
          </w:tcPr>
          <w:p>
            <w:pPr>
              <w:spacing w:before="0" w:after="0" w:line="252" w:lineRule="auto"/>
              <w:jc w:val="left"/>
            </w:pPr>
            <w:r>
              <w:rPr>
                <w:rFonts w:ascii="Calibri" w:hAnsi="Calibri"/>
                <w:b w:val="0"/>
                <w:sz w:val="18"/>
              </w:rPr>
              <w:t>Contract version used to interpret all package contents.</w:t>
            </w:r>
          </w:p>
        </w:tc>
      </w:tr>
      <w:tr>
        <w:tc>
          <w:tcPr>
            <w:tcW w:type="dxa" w:w="2600"/>
          </w:tcPr>
          <w:p>
            <w:pPr>
              <w:spacing w:before="0" w:after="0" w:line="252" w:lineRule="auto"/>
              <w:jc w:val="left"/>
            </w:pPr>
            <w:r>
              <w:rPr>
                <w:rFonts w:ascii="Calibri" w:hAnsi="Calibri"/>
                <w:b w:val="0"/>
                <w:sz w:val="18"/>
              </w:rPr>
              <w:t>scope</w:t>
            </w:r>
          </w:p>
        </w:tc>
        <w:tc>
          <w:tcPr>
            <w:tcW w:type="dxa" w:w="6760"/>
          </w:tcPr>
          <w:p>
            <w:pPr>
              <w:spacing w:before="0" w:after="0" w:line="252" w:lineRule="auto"/>
              <w:jc w:val="left"/>
            </w:pPr>
            <w:r>
              <w:rPr>
                <w:rFonts w:ascii="Calibri" w:hAnsi="Calibri"/>
                <w:b w:val="0"/>
                <w:sz w:val="18"/>
              </w:rPr>
              <w:t>Declared population, inclusion/exclusion policy, and source inventory references.</w:t>
            </w:r>
          </w:p>
        </w:tc>
      </w:tr>
      <w:tr>
        <w:tc>
          <w:tcPr>
            <w:tcW w:type="dxa" w:w="2600"/>
          </w:tcPr>
          <w:p>
            <w:pPr>
              <w:spacing w:before="0" w:after="0" w:line="252" w:lineRule="auto"/>
              <w:jc w:val="left"/>
            </w:pPr>
            <w:r>
              <w:rPr>
                <w:rFonts w:ascii="Calibri" w:hAnsi="Calibri"/>
                <w:b w:val="0"/>
                <w:sz w:val="18"/>
              </w:rPr>
              <w:t>state</w:t>
            </w:r>
          </w:p>
        </w:tc>
        <w:tc>
          <w:tcPr>
            <w:tcW w:type="dxa" w:w="6760"/>
          </w:tcPr>
          <w:p>
            <w:pPr>
              <w:spacing w:before="0" w:after="0" w:line="252" w:lineRule="auto"/>
              <w:jc w:val="left"/>
            </w:pPr>
            <w:r>
              <w:rPr>
                <w:rFonts w:ascii="Calibri" w:hAnsi="Calibri"/>
                <w:b w:val="0"/>
                <w:sz w:val="18"/>
              </w:rPr>
              <w:t>Draft, Candidate, Published, Superseded, or Withdrawn.</w:t>
            </w:r>
          </w:p>
        </w:tc>
      </w:tr>
      <w:tr>
        <w:tc>
          <w:tcPr>
            <w:tcW w:type="dxa" w:w="2600"/>
          </w:tcPr>
          <w:p>
            <w:pPr>
              <w:spacing w:before="0" w:after="0" w:line="252" w:lineRule="auto"/>
              <w:jc w:val="left"/>
            </w:pPr>
            <w:r>
              <w:rPr>
                <w:rFonts w:ascii="Calibri" w:hAnsi="Calibri"/>
                <w:b w:val="0"/>
                <w:sz w:val="18"/>
              </w:rPr>
              <w:t>created_at / base_release</w:t>
            </w:r>
          </w:p>
        </w:tc>
        <w:tc>
          <w:tcPr>
            <w:tcW w:type="dxa" w:w="6760"/>
          </w:tcPr>
          <w:p>
            <w:pPr>
              <w:spacing w:before="0" w:after="0" w:line="252" w:lineRule="auto"/>
              <w:jc w:val="left"/>
            </w:pPr>
            <w:r>
              <w:rPr>
                <w:rFonts w:ascii="Calibri" w:hAnsi="Calibri"/>
                <w:b w:val="0"/>
                <w:sz w:val="18"/>
              </w:rPr>
              <w:t>Creation time and predecessor relationship where applicable.</w:t>
            </w:r>
          </w:p>
        </w:tc>
      </w:tr>
      <w:tr>
        <w:tc>
          <w:tcPr>
            <w:tcW w:type="dxa" w:w="2600"/>
          </w:tcPr>
          <w:p>
            <w:pPr>
              <w:spacing w:before="0" w:after="0" w:line="252" w:lineRule="auto"/>
              <w:jc w:val="left"/>
            </w:pPr>
            <w:r>
              <w:rPr>
                <w:rFonts w:ascii="Calibri" w:hAnsi="Calibri"/>
                <w:b w:val="0"/>
                <w:sz w:val="18"/>
              </w:rPr>
              <w:t>citation / license</w:t>
            </w:r>
          </w:p>
        </w:tc>
        <w:tc>
          <w:tcPr>
            <w:tcW w:type="dxa" w:w="6760"/>
          </w:tcPr>
          <w:p>
            <w:pPr>
              <w:spacing w:before="0" w:after="0" w:line="252" w:lineRule="auto"/>
              <w:jc w:val="left"/>
            </w:pPr>
            <w:r>
              <w:rPr>
                <w:rFonts w:ascii="Calibri" w:hAnsi="Calibri"/>
                <w:b w:val="0"/>
                <w:sz w:val="18"/>
              </w:rPr>
              <w:t>Citation text/identifier and licenses/access restrictions.</w:t>
            </w:r>
          </w:p>
        </w:tc>
      </w:tr>
      <w:tr>
        <w:tc>
          <w:tcPr>
            <w:tcW w:type="dxa" w:w="2600"/>
          </w:tcPr>
          <w:p>
            <w:pPr>
              <w:spacing w:before="0" w:after="0" w:line="252" w:lineRule="auto"/>
              <w:jc w:val="left"/>
            </w:pPr>
            <w:r>
              <w:rPr>
                <w:rFonts w:ascii="Calibri" w:hAnsi="Calibri"/>
                <w:b w:val="0"/>
                <w:sz w:val="18"/>
              </w:rPr>
              <w:t>artifacts</w:t>
            </w:r>
          </w:p>
        </w:tc>
        <w:tc>
          <w:tcPr>
            <w:tcW w:type="dxa" w:w="6760"/>
          </w:tcPr>
          <w:p>
            <w:pPr>
              <w:spacing w:before="0" w:after="0" w:line="252" w:lineRule="auto"/>
              <w:jc w:val="left"/>
            </w:pPr>
            <w:r>
              <w:rPr>
                <w:rFonts w:ascii="Calibri" w:hAnsi="Calibri"/>
                <w:b w:val="0"/>
                <w:sz w:val="18"/>
              </w:rPr>
              <w:t>Path, type, digest, size, and contract/version for every packaged artifact.</w:t>
            </w:r>
          </w:p>
        </w:tc>
      </w:tr>
      <w:tr>
        <w:tc>
          <w:tcPr>
            <w:tcW w:type="dxa" w:w="2600"/>
          </w:tcPr>
          <w:p>
            <w:pPr>
              <w:spacing w:before="0" w:after="0" w:line="252" w:lineRule="auto"/>
              <w:jc w:val="left"/>
            </w:pPr>
            <w:r>
              <w:rPr>
                <w:rFonts w:ascii="Calibri" w:hAnsi="Calibri"/>
                <w:b w:val="0"/>
                <w:sz w:val="18"/>
              </w:rPr>
              <w:t>validation</w:t>
            </w:r>
          </w:p>
        </w:tc>
        <w:tc>
          <w:tcPr>
            <w:tcW w:type="dxa" w:w="6760"/>
          </w:tcPr>
          <w:p>
            <w:pPr>
              <w:spacing w:before="0" w:after="0" w:line="252" w:lineRule="auto"/>
              <w:jc w:val="left"/>
            </w:pPr>
            <w:r>
              <w:rPr>
                <w:rFonts w:ascii="Calibri" w:hAnsi="Calibri"/>
                <w:b w:val="0"/>
                <w:sz w:val="18"/>
              </w:rPr>
              <w:t>Validation bundle digest, review status, waivers, and approvals.</w:t>
            </w:r>
          </w:p>
        </w:tc>
      </w:tr>
    </w:tbl>
    <w:p>
      <w:pPr>
        <w:spacing w:after="40"/>
      </w:pPr>
    </w:p>
    <w:p>
      <w:pPr>
        <w:pStyle w:val="Heading2"/>
      </w:pPr>
      <w:r>
        <w:rPr>
          <w:rFonts w:ascii="Calibri" w:hAnsi="Calibri"/>
          <w:b/>
          <w:color w:val="2E74B5"/>
          <w:sz w:val="26"/>
        </w:rPr>
        <w:t>A.2 Genome record version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record_id</w:t>
            </w:r>
          </w:p>
        </w:tc>
        <w:tc>
          <w:tcPr>
            <w:tcW w:type="dxa" w:w="6760"/>
          </w:tcPr>
          <w:p>
            <w:pPr>
              <w:spacing w:before="0" w:after="0" w:line="252" w:lineRule="auto"/>
              <w:jc w:val="left"/>
            </w:pPr>
            <w:r>
              <w:rPr>
                <w:rFonts w:ascii="Calibri" w:hAnsi="Calibri"/>
                <w:b w:val="0"/>
                <w:sz w:val="18"/>
              </w:rPr>
              <w:t>Immutable identifier for this normalized sequence version.</w:t>
            </w:r>
          </w:p>
        </w:tc>
      </w:tr>
      <w:tr>
        <w:tc>
          <w:tcPr>
            <w:tcW w:type="dxa" w:w="2600"/>
          </w:tcPr>
          <w:p>
            <w:pPr>
              <w:spacing w:before="0" w:after="0" w:line="252" w:lineRule="auto"/>
              <w:jc w:val="left"/>
            </w:pPr>
            <w:r>
              <w:rPr>
                <w:rFonts w:ascii="Calibri" w:hAnsi="Calibri"/>
                <w:b w:val="0"/>
                <w:sz w:val="18"/>
              </w:rPr>
              <w:t>entity_id</w:t>
            </w:r>
          </w:p>
        </w:tc>
        <w:tc>
          <w:tcPr>
            <w:tcW w:type="dxa" w:w="6760"/>
          </w:tcPr>
          <w:p>
            <w:pPr>
              <w:spacing w:before="0" w:after="0" w:line="252" w:lineRule="auto"/>
              <w:jc w:val="left"/>
            </w:pPr>
            <w:r>
              <w:rPr>
                <w:rFonts w:ascii="Calibri" w:hAnsi="Calibri"/>
                <w:b w:val="0"/>
                <w:sz w:val="18"/>
              </w:rPr>
              <w:t>Stable AtlasEntity handle; may link related record versions.</w:t>
            </w:r>
          </w:p>
        </w:tc>
      </w:tr>
      <w:tr>
        <w:tc>
          <w:tcPr>
            <w:tcW w:type="dxa" w:w="2600"/>
          </w:tcPr>
          <w:p>
            <w:pPr>
              <w:spacing w:before="0" w:after="0" w:line="252" w:lineRule="auto"/>
              <w:jc w:val="left"/>
            </w:pPr>
            <w:r>
              <w:rPr>
                <w:rFonts w:ascii="Calibri" w:hAnsi="Calibri"/>
                <w:b w:val="0"/>
                <w:sz w:val="18"/>
              </w:rPr>
              <w:t>sequence_digest</w:t>
            </w:r>
          </w:p>
        </w:tc>
        <w:tc>
          <w:tcPr>
            <w:tcW w:type="dxa" w:w="6760"/>
          </w:tcPr>
          <w:p>
            <w:pPr>
              <w:spacing w:before="0" w:after="0" w:line="252" w:lineRule="auto"/>
              <w:jc w:val="left"/>
            </w:pPr>
            <w:r>
              <w:rPr>
                <w:rFonts w:ascii="Calibri" w:hAnsi="Calibri"/>
                <w:b w:val="0"/>
                <w:sz w:val="18"/>
              </w:rPr>
              <w:t>Digest over declared canonical sequence representation.</w:t>
            </w:r>
          </w:p>
        </w:tc>
      </w:tr>
      <w:tr>
        <w:tc>
          <w:tcPr>
            <w:tcW w:type="dxa" w:w="2600"/>
          </w:tcPr>
          <w:p>
            <w:pPr>
              <w:spacing w:before="0" w:after="0" w:line="252" w:lineRule="auto"/>
              <w:jc w:val="left"/>
            </w:pPr>
            <w:r>
              <w:rPr>
                <w:rFonts w:ascii="Calibri" w:hAnsi="Calibri"/>
                <w:b w:val="0"/>
                <w:sz w:val="18"/>
              </w:rPr>
              <w:t>canonicalization_id</w:t>
            </w:r>
          </w:p>
        </w:tc>
        <w:tc>
          <w:tcPr>
            <w:tcW w:type="dxa" w:w="6760"/>
          </w:tcPr>
          <w:p>
            <w:pPr>
              <w:spacing w:before="0" w:after="0" w:line="252" w:lineRule="auto"/>
              <w:jc w:val="left"/>
            </w:pPr>
            <w:r>
              <w:rPr>
                <w:rFonts w:ascii="Calibri" w:hAnsi="Calibri"/>
                <w:b w:val="0"/>
                <w:sz w:val="18"/>
              </w:rPr>
              <w:t>Versioned rule set applied before digest and processing.</w:t>
            </w:r>
          </w:p>
        </w:tc>
      </w:tr>
      <w:tr>
        <w:tc>
          <w:tcPr>
            <w:tcW w:type="dxa" w:w="2600"/>
          </w:tcPr>
          <w:p>
            <w:pPr>
              <w:spacing w:before="0" w:after="0" w:line="252" w:lineRule="auto"/>
              <w:jc w:val="left"/>
            </w:pPr>
            <w:r>
              <w:rPr>
                <w:rFonts w:ascii="Calibri" w:hAnsi="Calibri"/>
                <w:b w:val="0"/>
                <w:sz w:val="18"/>
              </w:rPr>
              <w:t>source_provenance_id</w:t>
            </w:r>
          </w:p>
        </w:tc>
        <w:tc>
          <w:tcPr>
            <w:tcW w:type="dxa" w:w="6760"/>
          </w:tcPr>
          <w:p>
            <w:pPr>
              <w:spacing w:before="0" w:after="0" w:line="252" w:lineRule="auto"/>
              <w:jc w:val="left"/>
            </w:pPr>
            <w:r>
              <w:rPr>
                <w:rFonts w:ascii="Calibri" w:hAnsi="Calibri"/>
                <w:b w:val="0"/>
                <w:sz w:val="18"/>
              </w:rPr>
              <w:t>Pointer to source accession/file, acquisition event, and license.</w:t>
            </w:r>
          </w:p>
        </w:tc>
      </w:tr>
      <w:tr>
        <w:tc>
          <w:tcPr>
            <w:tcW w:type="dxa" w:w="2600"/>
          </w:tcPr>
          <w:p>
            <w:pPr>
              <w:spacing w:before="0" w:after="0" w:line="252" w:lineRule="auto"/>
              <w:jc w:val="left"/>
            </w:pPr>
            <w:r>
              <w:rPr>
                <w:rFonts w:ascii="Calibri" w:hAnsi="Calibri"/>
                <w:b w:val="0"/>
                <w:sz w:val="18"/>
              </w:rPr>
              <w:t>lifecycle_state</w:t>
            </w:r>
          </w:p>
        </w:tc>
        <w:tc>
          <w:tcPr>
            <w:tcW w:type="dxa" w:w="6760"/>
          </w:tcPr>
          <w:p>
            <w:pPr>
              <w:spacing w:before="0" w:after="0" w:line="252" w:lineRule="auto"/>
              <w:jc w:val="left"/>
            </w:pPr>
            <w:r>
              <w:rPr>
                <w:rFonts w:ascii="Calibri" w:hAnsi="Calibri"/>
                <w:b w:val="0"/>
                <w:sz w:val="18"/>
              </w:rPr>
              <w:t>Eligible, excluded, quarantined, superseded, or other governed state.</w:t>
            </w:r>
          </w:p>
        </w:tc>
      </w:tr>
    </w:tbl>
    <w:p>
      <w:pPr>
        <w:spacing w:after="40"/>
      </w:pPr>
    </w:p>
    <w:p>
      <w:pPr>
        <w:pStyle w:val="Heading2"/>
      </w:pPr>
      <w:r>
        <w:rPr>
          <w:rFonts w:ascii="Calibri" w:hAnsi="Calibri"/>
          <w:b/>
          <w:color w:val="2E74B5"/>
          <w:sz w:val="26"/>
        </w:rPr>
        <w:t>A.3 Embedding profile and instance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Object</w:t>
            </w:r>
          </w:p>
        </w:tc>
        <w:tc>
          <w:tcPr>
            <w:tcW w:type="dxa" w:w="7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fields</w:t>
            </w:r>
          </w:p>
        </w:tc>
      </w:tr>
      <w:tr>
        <w:tc>
          <w:tcPr>
            <w:tcW w:type="dxa" w:w="2300"/>
          </w:tcPr>
          <w:p>
            <w:pPr>
              <w:spacing w:before="0" w:after="0" w:line="252" w:lineRule="auto"/>
              <w:jc w:val="left"/>
            </w:pPr>
            <w:r>
              <w:rPr>
                <w:rFonts w:ascii="Calibri" w:hAnsi="Calibri"/>
                <w:b w:val="0"/>
                <w:sz w:val="18"/>
              </w:rPr>
              <w:t>EmbeddingProfile</w:t>
            </w:r>
          </w:p>
        </w:tc>
        <w:tc>
          <w:tcPr>
            <w:tcW w:type="dxa" w:w="7060"/>
          </w:tcPr>
          <w:p>
            <w:pPr>
              <w:spacing w:before="0" w:after="0" w:line="252" w:lineRule="auto"/>
              <w:jc w:val="left"/>
            </w:pPr>
            <w:r>
              <w:rPr>
                <w:rFonts w:ascii="Calibri" w:hAnsi="Calibri"/>
                <w:b w:val="0"/>
                <w:sz w:val="18"/>
              </w:rPr>
              <w:t>profile_id, version/digest, input contract, model identity, tokenizer/pooling/preprocessing, output dimension/dtype, metric, compatibility, provenance, lifecycle, validation links.</w:t>
            </w:r>
          </w:p>
        </w:tc>
      </w:tr>
      <w:tr>
        <w:tc>
          <w:tcPr>
            <w:tcW w:type="dxa" w:w="2300"/>
          </w:tcPr>
          <w:p>
            <w:pPr>
              <w:spacing w:before="0" w:after="0" w:line="252" w:lineRule="auto"/>
              <w:jc w:val="left"/>
            </w:pPr>
            <w:r>
              <w:rPr>
                <w:rFonts w:ascii="Calibri" w:hAnsi="Calibri"/>
                <w:b w:val="0"/>
                <w:sz w:val="18"/>
              </w:rPr>
              <w:t>EmbeddingInstance</w:t>
            </w:r>
          </w:p>
        </w:tc>
        <w:tc>
          <w:tcPr>
            <w:tcW w:type="dxa" w:w="7060"/>
          </w:tcPr>
          <w:p>
            <w:pPr>
              <w:spacing w:before="0" w:after="0" w:line="252" w:lineRule="auto"/>
              <w:jc w:val="left"/>
            </w:pPr>
            <w:r>
              <w:rPr>
                <w:rFonts w:ascii="Calibri" w:hAnsi="Calibri"/>
                <w:b w:val="0"/>
                <w:sz w:val="18"/>
              </w:rPr>
              <w:t>instance_id, record_id, profile_id, vector shard/row reference, value or shard digest, created_in release/build, runner provenance, eligibility/result status.</w:t>
            </w:r>
          </w:p>
        </w:tc>
      </w:tr>
    </w:tbl>
    <w:p>
      <w:pPr>
        <w:spacing w:after="40"/>
      </w:pPr>
    </w:p>
    <w:p>
      <w:pPr>
        <w:pStyle w:val="Heading2"/>
      </w:pPr>
      <w:r>
        <w:rPr>
          <w:rFonts w:ascii="Calibri" w:hAnsi="Calibri"/>
          <w:b/>
          <w:color w:val="2E74B5"/>
          <w:sz w:val="26"/>
        </w:rPr>
        <w:t>A.4 Annotation assertion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annotation_id / target</w:t>
            </w:r>
          </w:p>
        </w:tc>
        <w:tc>
          <w:tcPr>
            <w:tcW w:type="dxa" w:w="6760"/>
          </w:tcPr>
          <w:p>
            <w:pPr>
              <w:spacing w:before="0" w:after="0" w:line="252" w:lineRule="auto"/>
              <w:jc w:val="left"/>
            </w:pPr>
            <w:r>
              <w:rPr>
                <w:rFonts w:ascii="Calibri" w:hAnsi="Calibri"/>
                <w:b w:val="0"/>
                <w:sz w:val="18"/>
              </w:rPr>
              <w:t>Immutable assertion identifier and target entity/record.</w:t>
            </w:r>
          </w:p>
        </w:tc>
      </w:tr>
      <w:tr>
        <w:tc>
          <w:tcPr>
            <w:tcW w:type="dxa" w:w="2600"/>
          </w:tcPr>
          <w:p>
            <w:pPr>
              <w:spacing w:before="0" w:after="0" w:line="252" w:lineRule="auto"/>
              <w:jc w:val="left"/>
            </w:pPr>
            <w:r>
              <w:rPr>
                <w:rFonts w:ascii="Calibri" w:hAnsi="Calibri"/>
                <w:b w:val="0"/>
                <w:sz w:val="18"/>
              </w:rPr>
              <w:t>predicate / value</w:t>
            </w:r>
          </w:p>
        </w:tc>
        <w:tc>
          <w:tcPr>
            <w:tcW w:type="dxa" w:w="6760"/>
          </w:tcPr>
          <w:p>
            <w:pPr>
              <w:spacing w:before="0" w:after="0" w:line="252" w:lineRule="auto"/>
              <w:jc w:val="left"/>
            </w:pPr>
            <w:r>
              <w:rPr>
                <w:rFonts w:ascii="Calibri" w:hAnsi="Calibri"/>
                <w:b w:val="0"/>
                <w:sz w:val="18"/>
              </w:rPr>
              <w:t>Versioned semantic statement; value may use controlled vocabulary or source literal.</w:t>
            </w:r>
          </w:p>
        </w:tc>
      </w:tr>
      <w:tr>
        <w:tc>
          <w:tcPr>
            <w:tcW w:type="dxa" w:w="2600"/>
          </w:tcPr>
          <w:p>
            <w:pPr>
              <w:spacing w:before="0" w:after="0" w:line="252" w:lineRule="auto"/>
              <w:jc w:val="left"/>
            </w:pPr>
            <w:r>
              <w:rPr>
                <w:rFonts w:ascii="Calibri" w:hAnsi="Calibri"/>
                <w:b w:val="0"/>
                <w:sz w:val="18"/>
              </w:rPr>
              <w:t>source / source_version</w:t>
            </w:r>
          </w:p>
        </w:tc>
        <w:tc>
          <w:tcPr>
            <w:tcW w:type="dxa" w:w="6760"/>
          </w:tcPr>
          <w:p>
            <w:pPr>
              <w:spacing w:before="0" w:after="0" w:line="252" w:lineRule="auto"/>
              <w:jc w:val="left"/>
            </w:pPr>
            <w:r>
              <w:rPr>
                <w:rFonts w:ascii="Calibri" w:hAnsi="Calibri"/>
                <w:b w:val="0"/>
                <w:sz w:val="18"/>
              </w:rPr>
              <w:t>Provider/source identity and version or retrieval date.</w:t>
            </w:r>
          </w:p>
        </w:tc>
      </w:tr>
      <w:tr>
        <w:tc>
          <w:tcPr>
            <w:tcW w:type="dxa" w:w="2600"/>
          </w:tcPr>
          <w:p>
            <w:pPr>
              <w:spacing w:before="0" w:after="0" w:line="252" w:lineRule="auto"/>
              <w:jc w:val="left"/>
            </w:pPr>
            <w:r>
              <w:rPr>
                <w:rFonts w:ascii="Calibri" w:hAnsi="Calibri"/>
                <w:b w:val="0"/>
                <w:sz w:val="18"/>
              </w:rPr>
              <w:t>evidence</w:t>
            </w:r>
          </w:p>
        </w:tc>
        <w:tc>
          <w:tcPr>
            <w:tcW w:type="dxa" w:w="6760"/>
          </w:tcPr>
          <w:p>
            <w:pPr>
              <w:spacing w:before="0" w:after="0" w:line="252" w:lineRule="auto"/>
              <w:jc w:val="left"/>
            </w:pPr>
            <w:r>
              <w:rPr>
                <w:rFonts w:ascii="Calibri" w:hAnsi="Calibri"/>
                <w:b w:val="0"/>
                <w:sz w:val="18"/>
              </w:rPr>
              <w:t>Evidence type, references, method, and qualifier where available.</w:t>
            </w:r>
          </w:p>
        </w:tc>
      </w:tr>
      <w:tr>
        <w:tc>
          <w:tcPr>
            <w:tcW w:type="dxa" w:w="2600"/>
          </w:tcPr>
          <w:p>
            <w:pPr>
              <w:spacing w:before="0" w:after="0" w:line="252" w:lineRule="auto"/>
              <w:jc w:val="left"/>
            </w:pPr>
            <w:r>
              <w:rPr>
                <w:rFonts w:ascii="Calibri" w:hAnsi="Calibri"/>
                <w:b w:val="0"/>
                <w:sz w:val="18"/>
              </w:rPr>
              <w:t>confidence</w:t>
            </w:r>
          </w:p>
        </w:tc>
        <w:tc>
          <w:tcPr>
            <w:tcW w:type="dxa" w:w="6760"/>
          </w:tcPr>
          <w:p>
            <w:pPr>
              <w:spacing w:before="0" w:after="0" w:line="252" w:lineRule="auto"/>
              <w:jc w:val="left"/>
            </w:pPr>
            <w:r>
              <w:rPr>
                <w:rFonts w:ascii="Calibri" w:hAnsi="Calibri"/>
                <w:b w:val="0"/>
                <w:sz w:val="18"/>
              </w:rPr>
              <w:t>Only source-defined semantics; unavailable if no documented meaning.</w:t>
            </w:r>
          </w:p>
        </w:tc>
      </w:tr>
      <w:tr>
        <w:tc>
          <w:tcPr>
            <w:tcW w:type="dxa" w:w="2600"/>
          </w:tcPr>
          <w:p>
            <w:pPr>
              <w:spacing w:before="0" w:after="0" w:line="252" w:lineRule="auto"/>
              <w:jc w:val="left"/>
            </w:pPr>
            <w:r>
              <w:rPr>
                <w:rFonts w:ascii="Calibri" w:hAnsi="Calibri"/>
                <w:b w:val="0"/>
                <w:sz w:val="18"/>
              </w:rPr>
              <w:t>supersession</w:t>
            </w:r>
          </w:p>
        </w:tc>
        <w:tc>
          <w:tcPr>
            <w:tcW w:type="dxa" w:w="6760"/>
          </w:tcPr>
          <w:p>
            <w:pPr>
              <w:spacing w:before="0" w:after="0" w:line="252" w:lineRule="auto"/>
              <w:jc w:val="left"/>
            </w:pPr>
            <w:r>
              <w:rPr>
                <w:rFonts w:ascii="Calibri" w:hAnsi="Calibri"/>
                <w:b w:val="0"/>
                <w:sz w:val="18"/>
              </w:rPr>
              <w:t>Links to later/retracted assertions without deletion.</w:t>
            </w:r>
          </w:p>
        </w:tc>
      </w:tr>
    </w:tbl>
    <w:p>
      <w:pPr>
        <w:spacing w:after="40"/>
      </w:pPr>
    </w:p>
    <w:p>
      <w:pPr>
        <w:pStyle w:val="Heading2"/>
      </w:pPr>
      <w:r>
        <w:rPr>
          <w:rFonts w:ascii="Calibri" w:hAnsi="Calibri"/>
          <w:b/>
          <w:color w:val="2E74B5"/>
          <w:sz w:val="26"/>
        </w:rPr>
        <w:t>A.5 Derived relation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relation_id</w:t>
            </w:r>
          </w:p>
        </w:tc>
        <w:tc>
          <w:tcPr>
            <w:tcW w:type="dxa" w:w="6760"/>
          </w:tcPr>
          <w:p>
            <w:pPr>
              <w:spacing w:before="0" w:after="0" w:line="252" w:lineRule="auto"/>
              <w:jc w:val="left"/>
            </w:pPr>
            <w:r>
              <w:rPr>
                <w:rFonts w:ascii="Calibri" w:hAnsi="Calibri"/>
                <w:b w:val="0"/>
                <w:sz w:val="18"/>
              </w:rPr>
              <w:t>Immutable relation record identifier.</w:t>
            </w:r>
          </w:p>
        </w:tc>
      </w:tr>
      <w:tr>
        <w:tc>
          <w:tcPr>
            <w:tcW w:type="dxa" w:w="2600"/>
          </w:tcPr>
          <w:p>
            <w:pPr>
              <w:spacing w:before="0" w:after="0" w:line="252" w:lineRule="auto"/>
              <w:jc w:val="left"/>
            </w:pPr>
            <w:r>
              <w:rPr>
                <w:rFonts w:ascii="Calibri" w:hAnsi="Calibri"/>
                <w:b w:val="0"/>
                <w:sz w:val="18"/>
              </w:rPr>
              <w:t>source / target / relation_type</w:t>
            </w:r>
          </w:p>
        </w:tc>
        <w:tc>
          <w:tcPr>
            <w:tcW w:type="dxa" w:w="6760"/>
          </w:tcPr>
          <w:p>
            <w:pPr>
              <w:spacing w:before="0" w:after="0" w:line="252" w:lineRule="auto"/>
              <w:jc w:val="left"/>
            </w:pPr>
            <w:r>
              <w:rPr>
                <w:rFonts w:ascii="Calibri" w:hAnsi="Calibri"/>
                <w:b w:val="0"/>
                <w:sz w:val="18"/>
              </w:rPr>
              <w:t>Typed endpoints and semantics.</w:t>
            </w:r>
          </w:p>
        </w:tc>
      </w:tr>
      <w:tr>
        <w:tc>
          <w:tcPr>
            <w:tcW w:type="dxa" w:w="2600"/>
          </w:tcPr>
          <w:p>
            <w:pPr>
              <w:spacing w:before="0" w:after="0" w:line="252" w:lineRule="auto"/>
              <w:jc w:val="left"/>
            </w:pPr>
            <w:r>
              <w:rPr>
                <w:rFonts w:ascii="Calibri" w:hAnsi="Calibri"/>
                <w:b w:val="0"/>
                <w:sz w:val="18"/>
              </w:rPr>
              <w:t>derivation_id</w:t>
            </w:r>
          </w:p>
        </w:tc>
        <w:tc>
          <w:tcPr>
            <w:tcW w:type="dxa" w:w="6760"/>
          </w:tcPr>
          <w:p>
            <w:pPr>
              <w:spacing w:before="0" w:after="0" w:line="252" w:lineRule="auto"/>
              <w:jc w:val="left"/>
            </w:pPr>
            <w:r>
              <w:rPr>
                <w:rFonts w:ascii="Calibri" w:hAnsi="Calibri"/>
                <w:b w:val="0"/>
                <w:sz w:val="18"/>
              </w:rPr>
              <w:t>Artifact/profile/run that generated the relation.</w:t>
            </w:r>
          </w:p>
        </w:tc>
      </w:tr>
      <w:tr>
        <w:tc>
          <w:tcPr>
            <w:tcW w:type="dxa" w:w="2600"/>
          </w:tcPr>
          <w:p>
            <w:pPr>
              <w:spacing w:before="0" w:after="0" w:line="252" w:lineRule="auto"/>
              <w:jc w:val="left"/>
            </w:pPr>
            <w:r>
              <w:rPr>
                <w:rFonts w:ascii="Calibri" w:hAnsi="Calibri"/>
                <w:b w:val="0"/>
                <w:sz w:val="18"/>
              </w:rPr>
              <w:t>parameters / score</w:t>
            </w:r>
          </w:p>
        </w:tc>
        <w:tc>
          <w:tcPr>
            <w:tcW w:type="dxa" w:w="6760"/>
          </w:tcPr>
          <w:p>
            <w:pPr>
              <w:spacing w:before="0" w:after="0" w:line="252" w:lineRule="auto"/>
              <w:jc w:val="left"/>
            </w:pPr>
            <w:r>
              <w:rPr>
                <w:rFonts w:ascii="Calibri" w:hAnsi="Calibri"/>
                <w:b w:val="0"/>
                <w:sz w:val="18"/>
              </w:rPr>
              <w:t>Declared calculation parameters, score meaning, and units/direction.</w:t>
            </w:r>
          </w:p>
        </w:tc>
      </w:tr>
      <w:tr>
        <w:tc>
          <w:tcPr>
            <w:tcW w:type="dxa" w:w="2600"/>
          </w:tcPr>
          <w:p>
            <w:pPr>
              <w:spacing w:before="0" w:after="0" w:line="252" w:lineRule="auto"/>
              <w:jc w:val="left"/>
            </w:pPr>
            <w:r>
              <w:rPr>
                <w:rFonts w:ascii="Calibri" w:hAnsi="Calibri"/>
                <w:b w:val="0"/>
                <w:sz w:val="18"/>
              </w:rPr>
              <w:t>release/profile scope</w:t>
            </w:r>
          </w:p>
        </w:tc>
        <w:tc>
          <w:tcPr>
            <w:tcW w:type="dxa" w:w="6760"/>
          </w:tcPr>
          <w:p>
            <w:pPr>
              <w:spacing w:before="0" w:after="0" w:line="252" w:lineRule="auto"/>
              <w:jc w:val="left"/>
            </w:pPr>
            <w:r>
              <w:rPr>
                <w:rFonts w:ascii="Calibri" w:hAnsi="Calibri"/>
                <w:b w:val="0"/>
                <w:sz w:val="18"/>
              </w:rPr>
              <w:t>Release and embedding profile compatibility boundary.</w:t>
            </w:r>
          </w:p>
        </w:tc>
      </w:tr>
      <w:tr>
        <w:tc>
          <w:tcPr>
            <w:tcW w:type="dxa" w:w="2600"/>
          </w:tcPr>
          <w:p>
            <w:pPr>
              <w:spacing w:before="0" w:after="0" w:line="252" w:lineRule="auto"/>
              <w:jc w:val="left"/>
            </w:pPr>
            <w:r>
              <w:rPr>
                <w:rFonts w:ascii="Calibri" w:hAnsi="Calibri"/>
                <w:b w:val="0"/>
                <w:sz w:val="18"/>
              </w:rPr>
              <w:t>artifact_digest</w:t>
            </w:r>
          </w:p>
        </w:tc>
        <w:tc>
          <w:tcPr>
            <w:tcW w:type="dxa" w:w="6760"/>
          </w:tcPr>
          <w:p>
            <w:pPr>
              <w:spacing w:before="0" w:after="0" w:line="252" w:lineRule="auto"/>
              <w:jc w:val="left"/>
            </w:pPr>
            <w:r>
              <w:rPr>
                <w:rFonts w:ascii="Calibri" w:hAnsi="Calibri"/>
                <w:b w:val="0"/>
                <w:sz w:val="18"/>
              </w:rPr>
              <w:t>Integrity reference to generated relation artifact.</w:t>
            </w:r>
          </w:p>
        </w:tc>
      </w:tr>
    </w:tbl>
    <w:p>
      <w:pPr>
        <w:spacing w:after="40"/>
      </w:pPr>
    </w:p>
    <w:p>
      <w:pPr>
        <w:pStyle w:val="Heading1"/>
        <w:pageBreakBefore/>
      </w:pPr>
      <w:r>
        <w:rPr>
          <w:rFonts w:ascii="Calibri" w:hAnsi="Calibri"/>
          <w:b/>
          <w:color w:val="2E74B5"/>
          <w:sz w:val="32"/>
        </w:rPr>
        <w:t>Appendix B. ADR register</w:t>
      </w:r>
    </w:p>
    <w:p>
      <w:pPr>
        <w:keepLines w:val="0"/>
      </w:pPr>
      <w:r>
        <w:rPr>
          <w:rFonts w:ascii="Calibri" w:hAnsi="Calibri"/>
          <w:i w:val="0"/>
          <w:sz w:val="22"/>
        </w:rPr>
        <w:t>All entries marked Proposed require formal acceptance. Once accepted, the ADR record MUST include decision date, owner, alternatives considered, consequences, and implementation references.</w:t>
      </w:r>
    </w:p>
    <w:tbl>
      <w:tblPr>
        <w:tblStyle w:val="TableGrid"/>
        <w:tblW w:type="dxa" w:w="9360"/>
        <w:jc w:val="left"/>
        <w:tblLayout w:type="fixed"/>
        <w:tblLook w:firstColumn="1" w:firstRow="1" w:lastColumn="0" w:lastRow="0" w:noHBand="0" w:noVBand="1" w:val="04A0"/>
        <w:tblInd w:w="120" w:type="dxa"/>
      </w:tblPr>
      <w:tblGrid>
        <w:gridCol w:w="900"/>
        <w:gridCol w:w="3000"/>
        <w:gridCol w:w="4000"/>
        <w:gridCol w:w="14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ADR</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Decision</w:t>
            </w:r>
          </w:p>
        </w:tc>
        <w:tc>
          <w:tcPr>
            <w:tcW w:type="dxa" w:w="4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Why</w:t>
            </w:r>
          </w:p>
        </w:tc>
        <w:tc>
          <w:tcPr>
            <w:tcW w:type="dxa" w:w="14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Status</w:t>
            </w:r>
          </w:p>
        </w:tc>
      </w:tr>
      <w:tr>
        <w:tc>
          <w:tcPr>
            <w:tcW w:type="dxa" w:w="900"/>
          </w:tcPr>
          <w:p>
            <w:pPr>
              <w:spacing w:before="0" w:after="0" w:line="252" w:lineRule="auto"/>
              <w:jc w:val="left"/>
            </w:pPr>
            <w:r>
              <w:rPr>
                <w:rFonts w:ascii="Calibri" w:hAnsi="Calibri"/>
                <w:b w:val="0"/>
                <w:sz w:val="17"/>
              </w:rPr>
              <w:t>ADR-001</w:t>
            </w:r>
          </w:p>
        </w:tc>
        <w:tc>
          <w:tcPr>
            <w:tcW w:type="dxa" w:w="3000"/>
          </w:tcPr>
          <w:p>
            <w:pPr>
              <w:spacing w:before="0" w:after="0" w:line="252" w:lineRule="auto"/>
              <w:jc w:val="left"/>
            </w:pPr>
            <w:r>
              <w:rPr>
                <w:rFonts w:ascii="Calibri" w:hAnsi="Calibri"/>
                <w:b w:val="0"/>
                <w:sz w:val="17"/>
              </w:rPr>
              <w:t>Evidence-status labels</w:t>
            </w:r>
          </w:p>
        </w:tc>
        <w:tc>
          <w:tcPr>
            <w:tcW w:type="dxa" w:w="4000"/>
          </w:tcPr>
          <w:p>
            <w:pPr>
              <w:spacing w:before="0" w:after="0" w:line="252" w:lineRule="auto"/>
              <w:jc w:val="left"/>
            </w:pPr>
            <w:r>
              <w:rPr>
                <w:rFonts w:ascii="Calibri" w:hAnsi="Calibri"/>
                <w:b w:val="0"/>
                <w:sz w:val="17"/>
              </w:rPr>
              <w:t>Prevent software tests, synthetic metrics, and biological claims from being conflated.</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ADR-002</w:t>
            </w:r>
          </w:p>
        </w:tc>
        <w:tc>
          <w:tcPr>
            <w:tcW w:type="dxa" w:w="3000"/>
          </w:tcPr>
          <w:p>
            <w:pPr>
              <w:spacing w:before="0" w:after="0" w:line="252" w:lineRule="auto"/>
              <w:jc w:val="left"/>
            </w:pPr>
            <w:r>
              <w:rPr>
                <w:rFonts w:ascii="Calibri" w:hAnsi="Calibri"/>
                <w:b w:val="0"/>
                <w:sz w:val="17"/>
              </w:rPr>
              <w:t>Immutable Atlas Releases are citable units</w:t>
            </w:r>
          </w:p>
        </w:tc>
        <w:tc>
          <w:tcPr>
            <w:tcW w:type="dxa" w:w="4000"/>
          </w:tcPr>
          <w:p>
            <w:pPr>
              <w:spacing w:before="0" w:after="0" w:line="252" w:lineRule="auto"/>
              <w:jc w:val="left"/>
            </w:pPr>
            <w:r>
              <w:rPr>
                <w:rFonts w:ascii="Calibri" w:hAnsi="Calibri"/>
                <w:b w:val="0"/>
                <w:sz w:val="17"/>
              </w:rPr>
              <w:t>Supports reproducible citation and correction by succession.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ADR-003</w:t>
            </w:r>
          </w:p>
        </w:tc>
        <w:tc>
          <w:tcPr>
            <w:tcW w:type="dxa" w:w="3000"/>
          </w:tcPr>
          <w:p>
            <w:pPr>
              <w:spacing w:before="0" w:after="0" w:line="252" w:lineRule="auto"/>
              <w:jc w:val="left"/>
            </w:pPr>
            <w:r>
              <w:rPr>
                <w:rFonts w:ascii="Calibri" w:hAnsi="Calibri"/>
                <w:b w:val="0"/>
                <w:sz w:val="17"/>
              </w:rPr>
              <w:t>Logical graph in normalized release tables</w:t>
            </w:r>
          </w:p>
        </w:tc>
        <w:tc>
          <w:tcPr>
            <w:tcW w:type="dxa" w:w="4000"/>
          </w:tcPr>
          <w:p>
            <w:pPr>
              <w:spacing w:before="0" w:after="0" w:line="252" w:lineRule="auto"/>
              <w:jc w:val="left"/>
            </w:pPr>
            <w:r>
              <w:rPr>
                <w:rFonts w:ascii="Calibri" w:hAnsi="Calibri"/>
                <w:b w:val="0"/>
                <w:sz w:val="17"/>
              </w:rPr>
              <w:t>Preserves graph semantics without premature operational coupling.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ADR-004</w:t>
            </w:r>
          </w:p>
        </w:tc>
        <w:tc>
          <w:tcPr>
            <w:tcW w:type="dxa" w:w="3000"/>
          </w:tcPr>
          <w:p>
            <w:pPr>
              <w:spacing w:before="0" w:after="0" w:line="252" w:lineRule="auto"/>
              <w:jc w:val="left"/>
            </w:pPr>
            <w:r>
              <w:rPr>
                <w:rFonts w:ascii="Calibri" w:hAnsi="Calibri"/>
                <w:b w:val="0"/>
                <w:sz w:val="17"/>
              </w:rPr>
              <w:t>Multi-profile Embedding Registry with immutable instances</w:t>
            </w:r>
          </w:p>
        </w:tc>
        <w:tc>
          <w:tcPr>
            <w:tcW w:type="dxa" w:w="4000"/>
          </w:tcPr>
          <w:p>
            <w:pPr>
              <w:spacing w:before="0" w:after="0" w:line="252" w:lineRule="auto"/>
              <w:jc w:val="left"/>
            </w:pPr>
            <w:r>
              <w:rPr>
                <w:rFonts w:ascii="Calibri" w:hAnsi="Calibri"/>
                <w:b w:val="0"/>
                <w:sz w:val="17"/>
              </w:rPr>
              <w:t>Models/preprocessing evolve; vectors need preserved meaning.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ADR-005</w:t>
            </w:r>
          </w:p>
        </w:tc>
        <w:tc>
          <w:tcPr>
            <w:tcW w:type="dxa" w:w="3000"/>
          </w:tcPr>
          <w:p>
            <w:pPr>
              <w:spacing w:before="0" w:after="0" w:line="252" w:lineRule="auto"/>
              <w:jc w:val="left"/>
            </w:pPr>
            <w:r>
              <w:rPr>
                <w:rFonts w:ascii="Calibri" w:hAnsi="Calibri"/>
                <w:b w:val="0"/>
                <w:sz w:val="17"/>
              </w:rPr>
              <w:t>Separate AtlasEntity and GenomeRecordVersion</w:t>
            </w:r>
          </w:p>
        </w:tc>
        <w:tc>
          <w:tcPr>
            <w:tcW w:type="dxa" w:w="4000"/>
          </w:tcPr>
          <w:p>
            <w:pPr>
              <w:spacing w:before="0" w:after="0" w:line="252" w:lineRule="auto"/>
              <w:jc w:val="left"/>
            </w:pPr>
            <w:r>
              <w:rPr>
                <w:rFonts w:ascii="Calibri" w:hAnsi="Calibri"/>
                <w:b w:val="0"/>
                <w:sz w:val="17"/>
              </w:rPr>
              <w:t>A changed sequence cannot safely retain one immutable scientific identity.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ADR-006</w:t>
            </w:r>
          </w:p>
        </w:tc>
        <w:tc>
          <w:tcPr>
            <w:tcW w:type="dxa" w:w="3000"/>
          </w:tcPr>
          <w:p>
            <w:pPr>
              <w:spacing w:before="0" w:after="0" w:line="252" w:lineRule="auto"/>
              <w:jc w:val="left"/>
            </w:pPr>
            <w:r>
              <w:rPr>
                <w:rFonts w:ascii="Calibri" w:hAnsi="Calibri"/>
                <w:b w:val="0"/>
                <w:sz w:val="17"/>
              </w:rPr>
              <w:t>Annotations are provenance-bearing assertions</w:t>
            </w:r>
          </w:p>
        </w:tc>
        <w:tc>
          <w:tcPr>
            <w:tcW w:type="dxa" w:w="4000"/>
          </w:tcPr>
          <w:p>
            <w:pPr>
              <w:spacing w:before="0" w:after="0" w:line="252" w:lineRule="auto"/>
              <w:jc w:val="left"/>
            </w:pPr>
            <w:r>
              <w:rPr>
                <w:rFonts w:ascii="Calibri" w:hAnsi="Calibri"/>
                <w:b w:val="0"/>
                <w:sz w:val="17"/>
              </w:rPr>
              <w:t>Conflicting, source-specific, and superseded evidence remains auditable.</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ADR-007</w:t>
            </w:r>
          </w:p>
        </w:tc>
        <w:tc>
          <w:tcPr>
            <w:tcW w:type="dxa" w:w="3000"/>
          </w:tcPr>
          <w:p>
            <w:pPr>
              <w:spacing w:before="0" w:after="0" w:line="252" w:lineRule="auto"/>
              <w:jc w:val="left"/>
            </w:pPr>
            <w:r>
              <w:rPr>
                <w:rFonts w:ascii="Calibri" w:hAnsi="Calibri"/>
                <w:b w:val="0"/>
                <w:sz w:val="17"/>
              </w:rPr>
              <w:t>Indexes, graphs, clusters, projections are derived</w:t>
            </w:r>
          </w:p>
        </w:tc>
        <w:tc>
          <w:tcPr>
            <w:tcW w:type="dxa" w:w="4000"/>
          </w:tcPr>
          <w:p>
            <w:pPr>
              <w:spacing w:before="0" w:after="0" w:line="252" w:lineRule="auto"/>
              <w:jc w:val="left"/>
            </w:pPr>
            <w:r>
              <w:rPr>
                <w:rFonts w:ascii="Calibri" w:hAnsi="Calibri"/>
                <w:b w:val="0"/>
                <w:sz w:val="17"/>
              </w:rPr>
              <w:t>Computational products with parameters are not canonical facts.</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ADR-008</w:t>
            </w:r>
          </w:p>
        </w:tc>
        <w:tc>
          <w:tcPr>
            <w:tcW w:type="dxa" w:w="3000"/>
          </w:tcPr>
          <w:p>
            <w:pPr>
              <w:spacing w:before="0" w:after="0" w:line="252" w:lineRule="auto"/>
              <w:jc w:val="left"/>
            </w:pPr>
            <w:r>
              <w:rPr>
                <w:rFonts w:ascii="Calibri" w:hAnsi="Calibri"/>
                <w:b w:val="0"/>
                <w:sz w:val="17"/>
              </w:rPr>
              <w:t>Manifest-driven content-addressed Builder</w:t>
            </w:r>
          </w:p>
        </w:tc>
        <w:tc>
          <w:tcPr>
            <w:tcW w:type="dxa" w:w="4000"/>
          </w:tcPr>
          <w:p>
            <w:pPr>
              <w:spacing w:before="0" w:after="0" w:line="252" w:lineRule="auto"/>
              <w:jc w:val="left"/>
            </w:pPr>
            <w:r>
              <w:rPr>
                <w:rFonts w:ascii="Calibri" w:hAnsi="Calibri"/>
                <w:b w:val="0"/>
                <w:sz w:val="17"/>
              </w:rPr>
              <w:t>Enables reproducible construction and partial recomputation.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ADR-009</w:t>
            </w:r>
          </w:p>
        </w:tc>
        <w:tc>
          <w:tcPr>
            <w:tcW w:type="dxa" w:w="3000"/>
          </w:tcPr>
          <w:p>
            <w:pPr>
              <w:spacing w:before="0" w:after="0" w:line="252" w:lineRule="auto"/>
              <w:jc w:val="left"/>
            </w:pPr>
            <w:r>
              <w:rPr>
                <w:rFonts w:ascii="Calibri" w:hAnsi="Calibri"/>
                <w:b w:val="0"/>
                <w:sz w:val="17"/>
              </w:rPr>
              <w:t>Experimental methods off default scientific path</w:t>
            </w:r>
          </w:p>
        </w:tc>
        <w:tc>
          <w:tcPr>
            <w:tcW w:type="dxa" w:w="4000"/>
          </w:tcPr>
          <w:p>
            <w:pPr>
              <w:spacing w:before="0" w:after="0" w:line="252" w:lineRule="auto"/>
              <w:jc w:val="left"/>
            </w:pPr>
            <w:r>
              <w:rPr>
                <w:rFonts w:ascii="Calibri" w:hAnsi="Calibri"/>
                <w:b w:val="0"/>
                <w:sz w:val="17"/>
              </w:rPr>
              <w:t>No evidence establishes benefit over simple baselines yet.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ADR-010</w:t>
            </w:r>
          </w:p>
        </w:tc>
        <w:tc>
          <w:tcPr>
            <w:tcW w:type="dxa" w:w="3000"/>
          </w:tcPr>
          <w:p>
            <w:pPr>
              <w:spacing w:before="0" w:after="0" w:line="252" w:lineRule="auto"/>
              <w:jc w:val="left"/>
            </w:pPr>
            <w:r>
              <w:rPr>
                <w:rFonts w:ascii="Calibri" w:hAnsi="Calibri"/>
                <w:b w:val="0"/>
                <w:sz w:val="17"/>
              </w:rPr>
              <w:t>SDK/REST thin adapters over Query Core</w:t>
            </w:r>
          </w:p>
        </w:tc>
        <w:tc>
          <w:tcPr>
            <w:tcW w:type="dxa" w:w="4000"/>
          </w:tcPr>
          <w:p>
            <w:pPr>
              <w:spacing w:before="0" w:after="0" w:line="252" w:lineRule="auto"/>
              <w:jc w:val="left"/>
            </w:pPr>
            <w:r>
              <w:rPr>
                <w:rFonts w:ascii="Calibri" w:hAnsi="Calibri"/>
                <w:b w:val="0"/>
                <w:sz w:val="17"/>
              </w:rPr>
              <w:t>Avoids divergent client semantics and duplicated retrieval logic.</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ADR-011</w:t>
            </w:r>
          </w:p>
        </w:tc>
        <w:tc>
          <w:tcPr>
            <w:tcW w:type="dxa" w:w="3000"/>
          </w:tcPr>
          <w:p>
            <w:pPr>
              <w:spacing w:before="0" w:after="0" w:line="252" w:lineRule="auto"/>
              <w:jc w:val="left"/>
            </w:pPr>
            <w:r>
              <w:rPr>
                <w:rFonts w:ascii="Calibri" w:hAnsi="Calibri"/>
                <w:b w:val="0"/>
                <w:sz w:val="17"/>
              </w:rPr>
              <w:t>Columnar local baseline; evaluate FAISS first</w:t>
            </w:r>
          </w:p>
        </w:tc>
        <w:tc>
          <w:tcPr>
            <w:tcW w:type="dxa" w:w="4000"/>
          </w:tcPr>
          <w:p>
            <w:pPr>
              <w:spacing w:before="0" w:after="0" w:line="252" w:lineRule="auto"/>
              <w:jc w:val="left"/>
            </w:pPr>
            <w:r>
              <w:rPr>
                <w:rFonts w:ascii="Calibri" w:hAnsi="Calibri"/>
                <w:b w:val="0"/>
                <w:sz w:val="17"/>
              </w:rPr>
              <w:t>Portable releases need low operational complexity and replaceable acceleration.</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ADR-012</w:t>
            </w:r>
          </w:p>
        </w:tc>
        <w:tc>
          <w:tcPr>
            <w:tcW w:type="dxa" w:w="3000"/>
          </w:tcPr>
          <w:p>
            <w:pPr>
              <w:spacing w:before="0" w:after="0" w:line="252" w:lineRule="auto"/>
              <w:jc w:val="left"/>
            </w:pPr>
            <w:r>
              <w:rPr>
                <w:rFonts w:ascii="Calibri" w:hAnsi="Calibri"/>
                <w:b w:val="0"/>
                <w:sz w:val="17"/>
              </w:rPr>
              <w:t>Formal release gates before archival publication</w:t>
            </w:r>
          </w:p>
        </w:tc>
        <w:tc>
          <w:tcPr>
            <w:tcW w:type="dxa" w:w="4000"/>
          </w:tcPr>
          <w:p>
            <w:pPr>
              <w:spacing w:before="0" w:after="0" w:line="252" w:lineRule="auto"/>
              <w:jc w:val="left"/>
            </w:pPr>
            <w:r>
              <w:rPr>
                <w:rFonts w:ascii="Calibri" w:hAnsi="Calibri"/>
                <w:b w:val="0"/>
                <w:sz w:val="17"/>
              </w:rPr>
              <w:t>Publication is a stewardship and scientific-record commitment.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ADR-013</w:t>
            </w:r>
          </w:p>
        </w:tc>
        <w:tc>
          <w:tcPr>
            <w:tcW w:type="dxa" w:w="3000"/>
          </w:tcPr>
          <w:p>
            <w:pPr>
              <w:spacing w:before="0" w:after="0" w:line="252" w:lineRule="auto"/>
              <w:jc w:val="left"/>
            </w:pPr>
            <w:r>
              <w:rPr>
                <w:rFonts w:ascii="Calibri" w:hAnsi="Calibri"/>
                <w:b w:val="0"/>
                <w:sz w:val="17"/>
              </w:rPr>
              <w:t>Project Constitution as decision hierarchy</w:t>
            </w:r>
          </w:p>
        </w:tc>
        <w:tc>
          <w:tcPr>
            <w:tcW w:type="dxa" w:w="4000"/>
          </w:tcPr>
          <w:p>
            <w:pPr>
              <w:spacing w:before="0" w:after="0" w:line="252" w:lineRule="auto"/>
              <w:jc w:val="left"/>
            </w:pPr>
            <w:r>
              <w:rPr>
                <w:rFonts w:ascii="Calibri" w:hAnsi="Calibri"/>
                <w:b w:val="0"/>
                <w:sz w:val="17"/>
              </w:rPr>
              <w:t>Keeps scope centered on reproducibility and long-term utility.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ADR-014</w:t>
            </w:r>
          </w:p>
        </w:tc>
        <w:tc>
          <w:tcPr>
            <w:tcW w:type="dxa" w:w="3000"/>
          </w:tcPr>
          <w:p>
            <w:pPr>
              <w:spacing w:before="0" w:after="0" w:line="252" w:lineRule="auto"/>
              <w:jc w:val="left"/>
            </w:pPr>
            <w:r>
              <w:rPr>
                <w:rFonts w:ascii="Calibri" w:hAnsi="Calibri"/>
                <w:b w:val="0"/>
                <w:sz w:val="17"/>
              </w:rPr>
              <w:t>Preregistered method-evaluation governance</w:t>
            </w:r>
          </w:p>
        </w:tc>
        <w:tc>
          <w:tcPr>
            <w:tcW w:type="dxa" w:w="4000"/>
          </w:tcPr>
          <w:p>
            <w:pPr>
              <w:spacing w:before="0" w:after="0" w:line="252" w:lineRule="auto"/>
              <w:jc w:val="left"/>
            </w:pPr>
            <w:r>
              <w:rPr>
                <w:rFonts w:ascii="Calibri" w:hAnsi="Calibri"/>
                <w:b w:val="0"/>
                <w:sz w:val="17"/>
              </w:rPr>
              <w:t>Prevents retrospective threshold selection and unsupported promotion.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ADR-015</w:t>
            </w:r>
          </w:p>
        </w:tc>
        <w:tc>
          <w:tcPr>
            <w:tcW w:type="dxa" w:w="3000"/>
          </w:tcPr>
          <w:p>
            <w:pPr>
              <w:spacing w:before="0" w:after="0" w:line="252" w:lineRule="auto"/>
              <w:jc w:val="left"/>
            </w:pPr>
            <w:r>
              <w:rPr>
                <w:rFonts w:ascii="Calibri" w:hAnsi="Calibri"/>
                <w:b w:val="0"/>
                <w:sz w:val="17"/>
              </w:rPr>
              <w:t>Versioned capability-declared plugins</w:t>
            </w:r>
          </w:p>
        </w:tc>
        <w:tc>
          <w:tcPr>
            <w:tcW w:type="dxa" w:w="4000"/>
          </w:tcPr>
          <w:p>
            <w:pPr>
              <w:spacing w:before="0" w:after="0" w:line="252" w:lineRule="auto"/>
              <w:jc w:val="left"/>
            </w:pPr>
            <w:r>
              <w:rPr>
                <w:rFonts w:ascii="Calibri" w:hAnsi="Calibri"/>
                <w:b w:val="0"/>
                <w:sz w:val="17"/>
              </w:rPr>
              <w:t>Allows extensibility without weakening release semantics.</w:t>
            </w:r>
          </w:p>
        </w:tc>
        <w:tc>
          <w:tcPr>
            <w:tcW w:type="dxa" w:w="1460"/>
          </w:tcPr>
          <w:p>
            <w:pPr>
              <w:spacing w:before="0" w:after="0" w:line="252" w:lineRule="auto"/>
              <w:jc w:val="left"/>
            </w:pPr>
            <w:r>
              <w:rPr>
                <w:rFonts w:ascii="Calibri" w:hAnsi="Calibri"/>
                <w:b w:val="0"/>
                <w:sz w:val="17"/>
              </w:rPr>
              <w:t>Proposed</w:t>
            </w:r>
          </w:p>
        </w:tc>
      </w:tr>
    </w:tbl>
    <w:p>
      <w:pPr>
        <w:spacing w:after="40"/>
      </w:pPr>
    </w:p>
    <w:p>
      <w:pPr>
        <w:pStyle w:val="Heading1"/>
        <w:pageBreakBefore/>
      </w:pPr>
      <w:r>
        <w:rPr>
          <w:rFonts w:ascii="Calibri" w:hAnsi="Calibri"/>
          <w:b/>
          <w:color w:val="2E74B5"/>
          <w:sz w:val="32"/>
        </w:rPr>
        <w:t>Appendix C. Open-question register</w:t>
      </w:r>
    </w:p>
    <w:tbl>
      <w:tblPr>
        <w:tblStyle w:val="TableGrid"/>
        <w:tblW w:type="dxa" w:w="9360"/>
        <w:jc w:val="left"/>
        <w:tblLayout w:type="fixed"/>
        <w:tblLook w:firstColumn="1" w:firstRow="1" w:lastColumn="0" w:lastRow="0" w:noHBand="0" w:noVBand="1" w:val="04A0"/>
        <w:tblInd w:w="120" w:type="dxa"/>
      </w:tblPr>
      <w:tblGrid>
        <w:gridCol w:w="900"/>
        <w:gridCol w:w="3500"/>
        <w:gridCol w:w="3100"/>
        <w:gridCol w:w="18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3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Question</w:t>
            </w:r>
          </w:p>
        </w:tc>
        <w:tc>
          <w:tcPr>
            <w:tcW w:type="dxa" w:w="3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Owner / evidence needed</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Risk if unresolved</w:t>
            </w:r>
          </w:p>
        </w:tc>
      </w:tr>
      <w:tr>
        <w:tc>
          <w:tcPr>
            <w:tcW w:type="dxa" w:w="900"/>
          </w:tcPr>
          <w:p>
            <w:pPr>
              <w:spacing w:before="0" w:after="0" w:line="252" w:lineRule="auto"/>
              <w:jc w:val="left"/>
            </w:pPr>
            <w:r>
              <w:rPr>
                <w:rFonts w:ascii="Calibri" w:hAnsi="Calibri"/>
                <w:b w:val="0"/>
                <w:sz w:val="17"/>
              </w:rPr>
              <w:t>OQ-01</w:t>
            </w:r>
          </w:p>
        </w:tc>
        <w:tc>
          <w:tcPr>
            <w:tcW w:type="dxa" w:w="3500"/>
          </w:tcPr>
          <w:p>
            <w:pPr>
              <w:spacing w:before="0" w:after="0" w:line="252" w:lineRule="auto"/>
              <w:jc w:val="left"/>
            </w:pPr>
            <w:r>
              <w:rPr>
                <w:rFonts w:ascii="Calibri" w:hAnsi="Calibri"/>
                <w:b w:val="0"/>
                <w:sz w:val="17"/>
              </w:rPr>
              <w:t>What population, quality thresholds, and licenses define M1?</w:t>
            </w:r>
          </w:p>
        </w:tc>
        <w:tc>
          <w:tcPr>
            <w:tcW w:type="dxa" w:w="3100"/>
          </w:tcPr>
          <w:p>
            <w:pPr>
              <w:spacing w:before="0" w:after="0" w:line="252" w:lineRule="auto"/>
              <w:jc w:val="left"/>
            </w:pPr>
            <w:r>
              <w:rPr>
                <w:rFonts w:ascii="Calibri" w:hAnsi="Calibri"/>
                <w:b w:val="0"/>
                <w:sz w:val="17"/>
              </w:rPr>
              <w:t>Data steward; source inventory and inclusion policy.</w:t>
            </w:r>
          </w:p>
        </w:tc>
        <w:tc>
          <w:tcPr>
            <w:tcW w:type="dxa" w:w="1860"/>
          </w:tcPr>
          <w:p>
            <w:pPr>
              <w:spacing w:before="0" w:after="0" w:line="252" w:lineRule="auto"/>
              <w:jc w:val="left"/>
            </w:pPr>
            <w:r>
              <w:rPr>
                <w:rFonts w:ascii="Calibri" w:hAnsi="Calibri"/>
                <w:b w:val="0"/>
                <w:sz w:val="17"/>
              </w:rPr>
              <w:t>Scope inconsistency and legal uncertainty.</w:t>
            </w:r>
          </w:p>
        </w:tc>
      </w:tr>
      <w:tr>
        <w:tc>
          <w:tcPr>
            <w:tcW w:type="dxa" w:w="900"/>
          </w:tcPr>
          <w:p>
            <w:pPr>
              <w:spacing w:before="0" w:after="0" w:line="252" w:lineRule="auto"/>
              <w:jc w:val="left"/>
            </w:pPr>
            <w:r>
              <w:rPr>
                <w:rFonts w:ascii="Calibri" w:hAnsi="Calibri"/>
                <w:b w:val="0"/>
                <w:sz w:val="17"/>
              </w:rPr>
              <w:t>OQ-02</w:t>
            </w:r>
          </w:p>
        </w:tc>
        <w:tc>
          <w:tcPr>
            <w:tcW w:type="dxa" w:w="3500"/>
          </w:tcPr>
          <w:p>
            <w:pPr>
              <w:spacing w:before="0" w:after="0" w:line="252" w:lineRule="auto"/>
              <w:jc w:val="left"/>
            </w:pPr>
            <w:r>
              <w:rPr>
                <w:rFonts w:ascii="Calibri" w:hAnsi="Calibri"/>
                <w:b w:val="0"/>
                <w:sz w:val="17"/>
              </w:rPr>
              <w:t>What canonicalization, deduplication, merge, and split policy applies?</w:t>
            </w:r>
          </w:p>
        </w:tc>
        <w:tc>
          <w:tcPr>
            <w:tcW w:type="dxa" w:w="3100"/>
          </w:tcPr>
          <w:p>
            <w:pPr>
              <w:spacing w:before="0" w:after="0" w:line="252" w:lineRule="auto"/>
              <w:jc w:val="left"/>
            </w:pPr>
            <w:r>
              <w:rPr>
                <w:rFonts w:ascii="Calibri" w:hAnsi="Calibri"/>
                <w:b w:val="0"/>
                <w:sz w:val="17"/>
              </w:rPr>
              <w:t>Curation lead; adversarial fixtures and review.</w:t>
            </w:r>
          </w:p>
        </w:tc>
        <w:tc>
          <w:tcPr>
            <w:tcW w:type="dxa" w:w="1860"/>
          </w:tcPr>
          <w:p>
            <w:pPr>
              <w:spacing w:before="0" w:after="0" w:line="252" w:lineRule="auto"/>
              <w:jc w:val="left"/>
            </w:pPr>
            <w:r>
              <w:rPr>
                <w:rFonts w:ascii="Calibri" w:hAnsi="Calibri"/>
                <w:b w:val="0"/>
                <w:sz w:val="17"/>
              </w:rPr>
              <w:t>Incorrect identity/provenance links.</w:t>
            </w:r>
          </w:p>
        </w:tc>
      </w:tr>
      <w:tr>
        <w:tc>
          <w:tcPr>
            <w:tcW w:type="dxa" w:w="900"/>
          </w:tcPr>
          <w:p>
            <w:pPr>
              <w:spacing w:before="0" w:after="0" w:line="252" w:lineRule="auto"/>
              <w:jc w:val="left"/>
            </w:pPr>
            <w:r>
              <w:rPr>
                <w:rFonts w:ascii="Calibri" w:hAnsi="Calibri"/>
                <w:b w:val="0"/>
                <w:sz w:val="17"/>
              </w:rPr>
              <w:t>OQ-03</w:t>
            </w:r>
          </w:p>
        </w:tc>
        <w:tc>
          <w:tcPr>
            <w:tcW w:type="dxa" w:w="3500"/>
          </w:tcPr>
          <w:p>
            <w:pPr>
              <w:spacing w:before="0" w:after="0" w:line="252" w:lineRule="auto"/>
              <w:jc w:val="left"/>
            </w:pPr>
            <w:r>
              <w:rPr>
                <w:rFonts w:ascii="Calibri" w:hAnsi="Calibri"/>
                <w:b w:val="0"/>
                <w:sz w:val="17"/>
              </w:rPr>
              <w:t>Which embedding profile is M1 baseline and what is the record unit?</w:t>
            </w:r>
          </w:p>
        </w:tc>
        <w:tc>
          <w:tcPr>
            <w:tcW w:type="dxa" w:w="3100"/>
          </w:tcPr>
          <w:p>
            <w:pPr>
              <w:spacing w:before="0" w:after="0" w:line="252" w:lineRule="auto"/>
              <w:jc w:val="left"/>
            </w:pPr>
            <w:r>
              <w:rPr>
                <w:rFonts w:ascii="Calibri" w:hAnsi="Calibri"/>
                <w:b w:val="0"/>
                <w:sz w:val="17"/>
              </w:rPr>
              <w:t>Method lead; profile specification and reproducibility test.</w:t>
            </w:r>
          </w:p>
        </w:tc>
        <w:tc>
          <w:tcPr>
            <w:tcW w:type="dxa" w:w="1860"/>
          </w:tcPr>
          <w:p>
            <w:pPr>
              <w:spacing w:before="0" w:after="0" w:line="252" w:lineRule="auto"/>
              <w:jc w:val="left"/>
            </w:pPr>
            <w:r>
              <w:rPr>
                <w:rFonts w:ascii="Calibri" w:hAnsi="Calibri"/>
                <w:b w:val="0"/>
                <w:sz w:val="17"/>
              </w:rPr>
              <w:t>Incomparable vectors and unstable retrieval.</w:t>
            </w:r>
          </w:p>
        </w:tc>
      </w:tr>
      <w:tr>
        <w:tc>
          <w:tcPr>
            <w:tcW w:type="dxa" w:w="900"/>
          </w:tcPr>
          <w:p>
            <w:pPr>
              <w:spacing w:before="0" w:after="0" w:line="252" w:lineRule="auto"/>
              <w:jc w:val="left"/>
            </w:pPr>
            <w:r>
              <w:rPr>
                <w:rFonts w:ascii="Calibri" w:hAnsi="Calibri"/>
                <w:b w:val="0"/>
                <w:sz w:val="17"/>
              </w:rPr>
              <w:t>OQ-04</w:t>
            </w:r>
          </w:p>
        </w:tc>
        <w:tc>
          <w:tcPr>
            <w:tcW w:type="dxa" w:w="3500"/>
          </w:tcPr>
          <w:p>
            <w:pPr>
              <w:spacing w:before="0" w:after="0" w:line="252" w:lineRule="auto"/>
              <w:jc w:val="left"/>
            </w:pPr>
            <w:r>
              <w:rPr>
                <w:rFonts w:ascii="Calibri" w:hAnsi="Calibri"/>
                <w:b w:val="0"/>
                <w:sz w:val="17"/>
              </w:rPr>
              <w:t>Which ANN configuration meets declared recall/resource targets per profile?</w:t>
            </w:r>
          </w:p>
        </w:tc>
        <w:tc>
          <w:tcPr>
            <w:tcW w:type="dxa" w:w="3100"/>
          </w:tcPr>
          <w:p>
            <w:pPr>
              <w:spacing w:before="0" w:after="0" w:line="252" w:lineRule="auto"/>
              <w:jc w:val="left"/>
            </w:pPr>
            <w:r>
              <w:rPr>
                <w:rFonts w:ascii="Calibri" w:hAnsi="Calibri"/>
                <w:b w:val="0"/>
                <w:sz w:val="17"/>
              </w:rPr>
              <w:t>Systems lead; held-out exact search benchmark.</w:t>
            </w:r>
          </w:p>
        </w:tc>
        <w:tc>
          <w:tcPr>
            <w:tcW w:type="dxa" w:w="1860"/>
          </w:tcPr>
          <w:p>
            <w:pPr>
              <w:spacing w:before="0" w:after="0" w:line="252" w:lineRule="auto"/>
              <w:jc w:val="left"/>
            </w:pPr>
            <w:r>
              <w:rPr>
                <w:rFonts w:ascii="Calibri" w:hAnsi="Calibri"/>
                <w:b w:val="0"/>
                <w:sz w:val="17"/>
              </w:rPr>
              <w:t>Unquantified approximation error.</w:t>
            </w:r>
          </w:p>
        </w:tc>
      </w:tr>
      <w:tr>
        <w:tc>
          <w:tcPr>
            <w:tcW w:type="dxa" w:w="900"/>
          </w:tcPr>
          <w:p>
            <w:pPr>
              <w:spacing w:before="0" w:after="0" w:line="252" w:lineRule="auto"/>
              <w:jc w:val="left"/>
            </w:pPr>
            <w:r>
              <w:rPr>
                <w:rFonts w:ascii="Calibri" w:hAnsi="Calibri"/>
                <w:b w:val="0"/>
                <w:sz w:val="17"/>
              </w:rPr>
              <w:t>OQ-05</w:t>
            </w:r>
          </w:p>
        </w:tc>
        <w:tc>
          <w:tcPr>
            <w:tcW w:type="dxa" w:w="3500"/>
          </w:tcPr>
          <w:p>
            <w:pPr>
              <w:spacing w:before="0" w:after="0" w:line="252" w:lineRule="auto"/>
              <w:jc w:val="left"/>
            </w:pPr>
            <w:r>
              <w:rPr>
                <w:rFonts w:ascii="Calibri" w:hAnsi="Calibri"/>
                <w:b w:val="0"/>
                <w:sz w:val="17"/>
              </w:rPr>
              <w:t>Which benchmarks support allowed scientific-usefulness claims?</w:t>
            </w:r>
          </w:p>
        </w:tc>
        <w:tc>
          <w:tcPr>
            <w:tcW w:type="dxa" w:w="3100"/>
          </w:tcPr>
          <w:p>
            <w:pPr>
              <w:spacing w:before="0" w:after="0" w:line="252" w:lineRule="auto"/>
              <w:jc w:val="left"/>
            </w:pPr>
            <w:r>
              <w:rPr>
                <w:rFonts w:ascii="Calibri" w:hAnsi="Calibri"/>
                <w:b w:val="0"/>
                <w:sz w:val="17"/>
              </w:rPr>
              <w:t>Scientific lead; preregistration and domain review.</w:t>
            </w:r>
          </w:p>
        </w:tc>
        <w:tc>
          <w:tcPr>
            <w:tcW w:type="dxa" w:w="1860"/>
          </w:tcPr>
          <w:p>
            <w:pPr>
              <w:spacing w:before="0" w:after="0" w:line="252" w:lineRule="auto"/>
              <w:jc w:val="left"/>
            </w:pPr>
            <w:r>
              <w:rPr>
                <w:rFonts w:ascii="Calibri" w:hAnsi="Calibri"/>
                <w:b w:val="0"/>
                <w:sz w:val="17"/>
              </w:rPr>
              <w:t>Unsupported claims.</w:t>
            </w:r>
          </w:p>
        </w:tc>
      </w:tr>
      <w:tr>
        <w:tc>
          <w:tcPr>
            <w:tcW w:type="dxa" w:w="900"/>
          </w:tcPr>
          <w:p>
            <w:pPr>
              <w:spacing w:before="0" w:after="0" w:line="252" w:lineRule="auto"/>
              <w:jc w:val="left"/>
            </w:pPr>
            <w:r>
              <w:rPr>
                <w:rFonts w:ascii="Calibri" w:hAnsi="Calibri"/>
                <w:b w:val="0"/>
                <w:sz w:val="17"/>
              </w:rPr>
              <w:t>OQ-06</w:t>
            </w:r>
          </w:p>
        </w:tc>
        <w:tc>
          <w:tcPr>
            <w:tcW w:type="dxa" w:w="3500"/>
          </w:tcPr>
          <w:p>
            <w:pPr>
              <w:spacing w:before="0" w:after="0" w:line="252" w:lineRule="auto"/>
              <w:jc w:val="left"/>
            </w:pPr>
            <w:r>
              <w:rPr>
                <w:rFonts w:ascii="Calibri" w:hAnsi="Calibri"/>
                <w:b w:val="0"/>
                <w:sz w:val="17"/>
              </w:rPr>
              <w:t>Who approves releases, corrections, waivers, and withdrawals?</w:t>
            </w:r>
          </w:p>
        </w:tc>
        <w:tc>
          <w:tcPr>
            <w:tcW w:type="dxa" w:w="3100"/>
          </w:tcPr>
          <w:p>
            <w:pPr>
              <w:spacing w:before="0" w:after="0" w:line="252" w:lineRule="auto"/>
              <w:jc w:val="left"/>
            </w:pPr>
            <w:r>
              <w:rPr>
                <w:rFonts w:ascii="Calibri" w:hAnsi="Calibri"/>
                <w:b w:val="0"/>
                <w:sz w:val="17"/>
              </w:rPr>
              <w:t>Governance owner; published policy.</w:t>
            </w:r>
          </w:p>
        </w:tc>
        <w:tc>
          <w:tcPr>
            <w:tcW w:type="dxa" w:w="1860"/>
          </w:tcPr>
          <w:p>
            <w:pPr>
              <w:spacing w:before="0" w:after="0" w:line="252" w:lineRule="auto"/>
              <w:jc w:val="left"/>
            </w:pPr>
            <w:r>
              <w:rPr>
                <w:rFonts w:ascii="Calibri" w:hAnsi="Calibri"/>
                <w:b w:val="0"/>
                <w:sz w:val="17"/>
              </w:rPr>
              <w:t>Unclear stewardship/remediation.</w:t>
            </w:r>
          </w:p>
        </w:tc>
      </w:tr>
      <w:tr>
        <w:tc>
          <w:tcPr>
            <w:tcW w:type="dxa" w:w="900"/>
          </w:tcPr>
          <w:p>
            <w:pPr>
              <w:spacing w:before="0" w:after="0" w:line="252" w:lineRule="auto"/>
              <w:jc w:val="left"/>
            </w:pPr>
            <w:r>
              <w:rPr>
                <w:rFonts w:ascii="Calibri" w:hAnsi="Calibri"/>
                <w:b w:val="0"/>
                <w:sz w:val="17"/>
              </w:rPr>
              <w:t>OQ-07</w:t>
            </w:r>
          </w:p>
        </w:tc>
        <w:tc>
          <w:tcPr>
            <w:tcW w:type="dxa" w:w="3500"/>
          </w:tcPr>
          <w:p>
            <w:pPr>
              <w:spacing w:before="0" w:after="0" w:line="252" w:lineRule="auto"/>
              <w:jc w:val="left"/>
            </w:pPr>
            <w:r>
              <w:rPr>
                <w:rFonts w:ascii="Calibri" w:hAnsi="Calibri"/>
                <w:b w:val="0"/>
                <w:sz w:val="17"/>
              </w:rPr>
              <w:t>What deployment and access-control model is required?</w:t>
            </w:r>
          </w:p>
        </w:tc>
        <w:tc>
          <w:tcPr>
            <w:tcW w:type="dxa" w:w="3100"/>
          </w:tcPr>
          <w:p>
            <w:pPr>
              <w:spacing w:before="0" w:after="0" w:line="252" w:lineRule="auto"/>
              <w:jc w:val="left"/>
            </w:pPr>
            <w:r>
              <w:rPr>
                <w:rFonts w:ascii="Calibri" w:hAnsi="Calibri"/>
                <w:b w:val="0"/>
                <w:sz w:val="17"/>
              </w:rPr>
              <w:t>Platform lead; threat model and user needs.</w:t>
            </w:r>
          </w:p>
        </w:tc>
        <w:tc>
          <w:tcPr>
            <w:tcW w:type="dxa" w:w="1860"/>
          </w:tcPr>
          <w:p>
            <w:pPr>
              <w:spacing w:before="0" w:after="0" w:line="252" w:lineRule="auto"/>
              <w:jc w:val="left"/>
            </w:pPr>
            <w:r>
              <w:rPr>
                <w:rFonts w:ascii="Calibri" w:hAnsi="Calibri"/>
                <w:b w:val="0"/>
                <w:sz w:val="17"/>
              </w:rPr>
              <w:t>Premature security/operations design.</w:t>
            </w:r>
          </w:p>
        </w:tc>
      </w:tr>
      <w:tr>
        <w:tc>
          <w:tcPr>
            <w:tcW w:type="dxa" w:w="900"/>
          </w:tcPr>
          <w:p>
            <w:pPr>
              <w:spacing w:before="0" w:after="0" w:line="252" w:lineRule="auto"/>
              <w:jc w:val="left"/>
            </w:pPr>
            <w:r>
              <w:rPr>
                <w:rFonts w:ascii="Calibri" w:hAnsi="Calibri"/>
                <w:b w:val="0"/>
                <w:sz w:val="17"/>
              </w:rPr>
              <w:t>OQ-08</w:t>
            </w:r>
          </w:p>
        </w:tc>
        <w:tc>
          <w:tcPr>
            <w:tcW w:type="dxa" w:w="3500"/>
          </w:tcPr>
          <w:p>
            <w:pPr>
              <w:spacing w:before="0" w:after="0" w:line="252" w:lineRule="auto"/>
              <w:jc w:val="left"/>
            </w:pPr>
            <w:r>
              <w:rPr>
                <w:rFonts w:ascii="Calibri" w:hAnsi="Calibri"/>
                <w:b w:val="0"/>
                <w:sz w:val="17"/>
              </w:rPr>
              <w:t>How should cross-profile BridgeProfiles be evaluated and governed?</w:t>
            </w:r>
          </w:p>
        </w:tc>
        <w:tc>
          <w:tcPr>
            <w:tcW w:type="dxa" w:w="3100"/>
          </w:tcPr>
          <w:p>
            <w:pPr>
              <w:spacing w:before="0" w:after="0" w:line="252" w:lineRule="auto"/>
              <w:jc w:val="left"/>
            </w:pPr>
            <w:r>
              <w:rPr>
                <w:rFonts w:ascii="Calibri" w:hAnsi="Calibri"/>
                <w:b w:val="0"/>
                <w:sz w:val="17"/>
              </w:rPr>
              <w:t>Method and scientific leads; alignment study.</w:t>
            </w:r>
          </w:p>
        </w:tc>
        <w:tc>
          <w:tcPr>
            <w:tcW w:type="dxa" w:w="1860"/>
          </w:tcPr>
          <w:p>
            <w:pPr>
              <w:spacing w:before="0" w:after="0" w:line="252" w:lineRule="auto"/>
              <w:jc w:val="left"/>
            </w:pPr>
            <w:r>
              <w:rPr>
                <w:rFonts w:ascii="Calibri" w:hAnsi="Calibri"/>
                <w:b w:val="0"/>
                <w:sz w:val="17"/>
              </w:rPr>
              <w:t>False cross-model comparability.</w:t>
            </w:r>
          </w:p>
        </w:tc>
      </w:tr>
      <w:tr>
        <w:tc>
          <w:tcPr>
            <w:tcW w:type="dxa" w:w="900"/>
          </w:tcPr>
          <w:p>
            <w:pPr>
              <w:spacing w:before="0" w:after="0" w:line="252" w:lineRule="auto"/>
              <w:jc w:val="left"/>
            </w:pPr>
            <w:r>
              <w:rPr>
                <w:rFonts w:ascii="Calibri" w:hAnsi="Calibri"/>
                <w:b w:val="0"/>
                <w:sz w:val="17"/>
              </w:rPr>
              <w:t>OQ-09</w:t>
            </w:r>
          </w:p>
        </w:tc>
        <w:tc>
          <w:tcPr>
            <w:tcW w:type="dxa" w:w="3500"/>
          </w:tcPr>
          <w:p>
            <w:pPr>
              <w:spacing w:before="0" w:after="0" w:line="252" w:lineRule="auto"/>
              <w:jc w:val="left"/>
            </w:pPr>
            <w:r>
              <w:rPr>
                <w:rFonts w:ascii="Calibri" w:hAnsi="Calibri"/>
                <w:b w:val="0"/>
                <w:sz w:val="17"/>
              </w:rPr>
              <w:t>What archive/mirror and retention policy can sustain published releases?</w:t>
            </w:r>
          </w:p>
        </w:tc>
        <w:tc>
          <w:tcPr>
            <w:tcW w:type="dxa" w:w="3100"/>
          </w:tcPr>
          <w:p>
            <w:pPr>
              <w:spacing w:before="0" w:after="0" w:line="252" w:lineRule="auto"/>
              <w:jc w:val="left"/>
            </w:pPr>
            <w:r>
              <w:rPr>
                <w:rFonts w:ascii="Calibri" w:hAnsi="Calibri"/>
                <w:b w:val="0"/>
                <w:sz w:val="17"/>
              </w:rPr>
              <w:t>Governance and repository owner.</w:t>
            </w:r>
          </w:p>
        </w:tc>
        <w:tc>
          <w:tcPr>
            <w:tcW w:type="dxa" w:w="1860"/>
          </w:tcPr>
          <w:p>
            <w:pPr>
              <w:spacing w:before="0" w:after="0" w:line="252" w:lineRule="auto"/>
              <w:jc w:val="left"/>
            </w:pPr>
            <w:r>
              <w:rPr>
                <w:rFonts w:ascii="Calibri" w:hAnsi="Calibri"/>
                <w:b w:val="0"/>
                <w:sz w:val="17"/>
              </w:rPr>
              <w:t>Broken citations or inaccessible evidence.</w:t>
            </w:r>
          </w:p>
        </w:tc>
      </w:tr>
    </w:tbl>
    <w:p>
      <w:pPr>
        <w:spacing w:after="40"/>
      </w:pPr>
    </w:p>
    <w:p>
      <w:pPr>
        <w:pStyle w:val="Heading1"/>
        <w:pageBreakBefore/>
      </w:pPr>
      <w:r>
        <w:rPr>
          <w:rFonts w:ascii="Calibri" w:hAnsi="Calibri"/>
          <w:b/>
          <w:color w:val="2E74B5"/>
          <w:sz w:val="32"/>
        </w:rPr>
        <w:t>Appendix D. Terminology and evidence rules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Term</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Stable definition</w:t>
            </w:r>
          </w:p>
        </w:tc>
      </w:tr>
      <w:tr>
        <w:tc>
          <w:tcPr>
            <w:tcW w:type="dxa" w:w="2600"/>
          </w:tcPr>
          <w:p>
            <w:pPr>
              <w:spacing w:before="0" w:after="0" w:line="252" w:lineRule="auto"/>
              <w:jc w:val="left"/>
            </w:pPr>
            <w:r>
              <w:rPr>
                <w:rFonts w:ascii="Calibri" w:hAnsi="Calibri"/>
                <w:b w:val="0"/>
                <w:sz w:val="18"/>
              </w:rPr>
              <w:t>Atlas</w:t>
            </w:r>
          </w:p>
        </w:tc>
        <w:tc>
          <w:tcPr>
            <w:tcW w:type="dxa" w:w="6760"/>
          </w:tcPr>
          <w:p>
            <w:pPr>
              <w:spacing w:before="0" w:after="0" w:line="252" w:lineRule="auto"/>
              <w:jc w:val="left"/>
            </w:pPr>
            <w:r>
              <w:rPr>
                <w:rFonts w:ascii="Calibri" w:hAnsi="Calibri"/>
                <w:b w:val="0"/>
                <w:sz w:val="18"/>
              </w:rPr>
              <w:t>The versioned scientific data resource and its immutable release artifacts.</w:t>
            </w:r>
          </w:p>
        </w:tc>
      </w:tr>
      <w:tr>
        <w:tc>
          <w:tcPr>
            <w:tcW w:type="dxa" w:w="2600"/>
          </w:tcPr>
          <w:p>
            <w:pPr>
              <w:spacing w:before="0" w:after="0" w:line="252" w:lineRule="auto"/>
              <w:jc w:val="left"/>
            </w:pPr>
            <w:r>
              <w:rPr>
                <w:rFonts w:ascii="Calibri" w:hAnsi="Calibri"/>
                <w:b w:val="0"/>
                <w:sz w:val="18"/>
              </w:rPr>
              <w:t>Atlas Release</w:t>
            </w:r>
          </w:p>
        </w:tc>
        <w:tc>
          <w:tcPr>
            <w:tcW w:type="dxa" w:w="6760"/>
          </w:tcPr>
          <w:p>
            <w:pPr>
              <w:spacing w:before="0" w:after="0" w:line="252" w:lineRule="auto"/>
              <w:jc w:val="left"/>
            </w:pPr>
            <w:r>
              <w:rPr>
                <w:rFonts w:ascii="Calibri" w:hAnsi="Calibri"/>
                <w:b w:val="0"/>
                <w:sz w:val="18"/>
              </w:rPr>
              <w:t>A frozen manifest-verified snapshot that is the citation target.</w:t>
            </w:r>
          </w:p>
        </w:tc>
      </w:tr>
      <w:tr>
        <w:tc>
          <w:tcPr>
            <w:tcW w:type="dxa" w:w="2600"/>
          </w:tcPr>
          <w:p>
            <w:pPr>
              <w:spacing w:before="0" w:after="0" w:line="252" w:lineRule="auto"/>
              <w:jc w:val="left"/>
            </w:pPr>
            <w:r>
              <w:rPr>
                <w:rFonts w:ascii="Calibri" w:hAnsi="Calibri"/>
                <w:b w:val="0"/>
                <w:sz w:val="18"/>
              </w:rPr>
              <w:t>AtlasEntity</w:t>
            </w:r>
          </w:p>
        </w:tc>
        <w:tc>
          <w:tcPr>
            <w:tcW w:type="dxa" w:w="6760"/>
          </w:tcPr>
          <w:p>
            <w:pPr>
              <w:spacing w:before="0" w:after="0" w:line="252" w:lineRule="auto"/>
              <w:jc w:val="left"/>
            </w:pPr>
            <w:r>
              <w:rPr>
                <w:rFonts w:ascii="Calibri" w:hAnsi="Calibri"/>
                <w:b w:val="0"/>
                <w:sz w:val="18"/>
              </w:rPr>
              <w:t>Stable internal conceptual handle; not a sequence payload.</w:t>
            </w:r>
          </w:p>
        </w:tc>
      </w:tr>
      <w:tr>
        <w:tc>
          <w:tcPr>
            <w:tcW w:type="dxa" w:w="2600"/>
          </w:tcPr>
          <w:p>
            <w:pPr>
              <w:spacing w:before="0" w:after="0" w:line="252" w:lineRule="auto"/>
              <w:jc w:val="left"/>
            </w:pPr>
            <w:r>
              <w:rPr>
                <w:rFonts w:ascii="Calibri" w:hAnsi="Calibri"/>
                <w:b w:val="0"/>
                <w:sz w:val="18"/>
              </w:rPr>
              <w:t>GenomeRecordVersion</w:t>
            </w:r>
          </w:p>
        </w:tc>
        <w:tc>
          <w:tcPr>
            <w:tcW w:type="dxa" w:w="6760"/>
          </w:tcPr>
          <w:p>
            <w:pPr>
              <w:spacing w:before="0" w:after="0" w:line="252" w:lineRule="auto"/>
              <w:jc w:val="left"/>
            </w:pPr>
            <w:r>
              <w:rPr>
                <w:rFonts w:ascii="Calibri" w:hAnsi="Calibri"/>
                <w:b w:val="0"/>
                <w:sz w:val="18"/>
              </w:rPr>
              <w:t>Immutable sequence-normalized record with digest and provenance.</w:t>
            </w:r>
          </w:p>
        </w:tc>
      </w:tr>
      <w:tr>
        <w:tc>
          <w:tcPr>
            <w:tcW w:type="dxa" w:w="2600"/>
          </w:tcPr>
          <w:p>
            <w:pPr>
              <w:spacing w:before="0" w:after="0" w:line="252" w:lineRule="auto"/>
              <w:jc w:val="left"/>
            </w:pPr>
            <w:r>
              <w:rPr>
                <w:rFonts w:ascii="Calibri" w:hAnsi="Calibri"/>
                <w:b w:val="0"/>
                <w:sz w:val="18"/>
              </w:rPr>
              <w:t>EmbeddingProfile</w:t>
            </w:r>
          </w:p>
        </w:tc>
        <w:tc>
          <w:tcPr>
            <w:tcW w:type="dxa" w:w="6760"/>
          </w:tcPr>
          <w:p>
            <w:pPr>
              <w:spacing w:before="0" w:after="0" w:line="252" w:lineRule="auto"/>
              <w:jc w:val="left"/>
            </w:pPr>
            <w:r>
              <w:rPr>
                <w:rFonts w:ascii="Calibri" w:hAnsi="Calibri"/>
                <w:b w:val="0"/>
                <w:sz w:val="18"/>
              </w:rPr>
              <w:t>Complete versioned declaration of representation and comparison method.</w:t>
            </w:r>
          </w:p>
        </w:tc>
      </w:tr>
      <w:tr>
        <w:tc>
          <w:tcPr>
            <w:tcW w:type="dxa" w:w="2600"/>
          </w:tcPr>
          <w:p>
            <w:pPr>
              <w:spacing w:before="0" w:after="0" w:line="252" w:lineRule="auto"/>
              <w:jc w:val="left"/>
            </w:pPr>
            <w:r>
              <w:rPr>
                <w:rFonts w:ascii="Calibri" w:hAnsi="Calibri"/>
                <w:b w:val="0"/>
                <w:sz w:val="18"/>
              </w:rPr>
              <w:t>EmbeddingInstance</w:t>
            </w:r>
          </w:p>
        </w:tc>
        <w:tc>
          <w:tcPr>
            <w:tcW w:type="dxa" w:w="6760"/>
          </w:tcPr>
          <w:p>
            <w:pPr>
              <w:spacing w:before="0" w:after="0" w:line="252" w:lineRule="auto"/>
              <w:jc w:val="left"/>
            </w:pPr>
            <w:r>
              <w:rPr>
                <w:rFonts w:ascii="Calibri" w:hAnsi="Calibri"/>
                <w:b w:val="0"/>
                <w:sz w:val="18"/>
              </w:rPr>
              <w:t>Profile-specific vector for one GenomeRecordVersion.</w:t>
            </w:r>
          </w:p>
        </w:tc>
      </w:tr>
      <w:tr>
        <w:tc>
          <w:tcPr>
            <w:tcW w:type="dxa" w:w="2600"/>
          </w:tcPr>
          <w:p>
            <w:pPr>
              <w:spacing w:before="0" w:after="0" w:line="252" w:lineRule="auto"/>
              <w:jc w:val="left"/>
            </w:pPr>
            <w:r>
              <w:rPr>
                <w:rFonts w:ascii="Calibri" w:hAnsi="Calibri"/>
                <w:b w:val="0"/>
                <w:sz w:val="18"/>
              </w:rPr>
              <w:t>AnnotationAssertion</w:t>
            </w:r>
          </w:p>
        </w:tc>
        <w:tc>
          <w:tcPr>
            <w:tcW w:type="dxa" w:w="6760"/>
          </w:tcPr>
          <w:p>
            <w:pPr>
              <w:spacing w:before="0" w:after="0" w:line="252" w:lineRule="auto"/>
              <w:jc w:val="left"/>
            </w:pPr>
            <w:r>
              <w:rPr>
                <w:rFonts w:ascii="Calibri" w:hAnsi="Calibri"/>
                <w:b w:val="0"/>
                <w:sz w:val="18"/>
              </w:rPr>
              <w:t>Source- and evidence-bearing statement, not an absolute label.</w:t>
            </w:r>
          </w:p>
        </w:tc>
      </w:tr>
      <w:tr>
        <w:tc>
          <w:tcPr>
            <w:tcW w:type="dxa" w:w="2600"/>
          </w:tcPr>
          <w:p>
            <w:pPr>
              <w:spacing w:before="0" w:after="0" w:line="252" w:lineRule="auto"/>
              <w:jc w:val="left"/>
            </w:pPr>
            <w:r>
              <w:rPr>
                <w:rFonts w:ascii="Calibri" w:hAnsi="Calibri"/>
                <w:b w:val="0"/>
                <w:sz w:val="18"/>
              </w:rPr>
              <w:t>Derived artifact</w:t>
            </w:r>
          </w:p>
        </w:tc>
        <w:tc>
          <w:tcPr>
            <w:tcW w:type="dxa" w:w="6760"/>
          </w:tcPr>
          <w:p>
            <w:pPr>
              <w:spacing w:before="0" w:after="0" w:line="252" w:lineRule="auto"/>
              <w:jc w:val="left"/>
            </w:pPr>
            <w:r>
              <w:rPr>
                <w:rFonts w:ascii="Calibri" w:hAnsi="Calibri"/>
                <w:b w:val="0"/>
                <w:sz w:val="18"/>
              </w:rPr>
              <w:t>Reproducible computational output such as index, graph, projection, cluster, or bridge.</w:t>
            </w:r>
          </w:p>
        </w:tc>
      </w:tr>
      <w:tr>
        <w:tc>
          <w:tcPr>
            <w:tcW w:type="dxa" w:w="2600"/>
          </w:tcPr>
          <w:p>
            <w:pPr>
              <w:spacing w:before="0" w:after="0" w:line="252" w:lineRule="auto"/>
              <w:jc w:val="left"/>
            </w:pPr>
            <w:r>
              <w:rPr>
                <w:rFonts w:ascii="Calibri" w:hAnsi="Calibri"/>
                <w:b w:val="0"/>
                <w:sz w:val="18"/>
              </w:rPr>
              <w:t>Candidate</w:t>
            </w:r>
          </w:p>
        </w:tc>
        <w:tc>
          <w:tcPr>
            <w:tcW w:type="dxa" w:w="6760"/>
          </w:tcPr>
          <w:p>
            <w:pPr>
              <w:spacing w:before="0" w:after="0" w:line="252" w:lineRule="auto"/>
              <w:jc w:val="left"/>
            </w:pPr>
            <w:r>
              <w:rPr>
                <w:rFonts w:ascii="Calibri" w:hAnsi="Calibri"/>
                <w:b w:val="0"/>
                <w:sz w:val="18"/>
              </w:rPr>
              <w:t>Exploratory result that does not establish biological identity or discovery.</w:t>
            </w:r>
          </w:p>
        </w:tc>
      </w:tr>
      <w:tr>
        <w:tc>
          <w:tcPr>
            <w:tcW w:type="dxa" w:w="2600"/>
          </w:tcPr>
          <w:p>
            <w:pPr>
              <w:spacing w:before="0" w:after="0" w:line="252" w:lineRule="auto"/>
              <w:jc w:val="left"/>
            </w:pPr>
            <w:r>
              <w:rPr>
                <w:rFonts w:ascii="Calibri" w:hAnsi="Calibri"/>
                <w:b w:val="0"/>
                <w:sz w:val="18"/>
              </w:rPr>
              <w:t>Implemented (reported)</w:t>
            </w:r>
          </w:p>
        </w:tc>
        <w:tc>
          <w:tcPr>
            <w:tcW w:type="dxa" w:w="6760"/>
          </w:tcPr>
          <w:p>
            <w:pPr>
              <w:spacing w:before="0" w:after="0" w:line="252" w:lineRule="auto"/>
              <w:jc w:val="left"/>
            </w:pPr>
            <w:r>
              <w:rPr>
                <w:rFonts w:ascii="Calibri" w:hAnsi="Calibri"/>
                <w:b w:val="0"/>
                <w:sz w:val="18"/>
              </w:rPr>
              <w:t>Revision 3 says the capability exists; this EDS does not independently audit source or test evidence.</w:t>
            </w:r>
          </w:p>
        </w:tc>
      </w:tr>
      <w:tr>
        <w:tc>
          <w:tcPr>
            <w:tcW w:type="dxa" w:w="2600"/>
          </w:tcPr>
          <w:p>
            <w:pPr>
              <w:spacing w:before="0" w:after="0" w:line="252" w:lineRule="auto"/>
              <w:jc w:val="left"/>
            </w:pPr>
            <w:r>
              <w:rPr>
                <w:rFonts w:ascii="Calibri" w:hAnsi="Calibri"/>
                <w:b w:val="0"/>
                <w:sz w:val="18"/>
              </w:rPr>
              <w:t>Planned</w:t>
            </w:r>
          </w:p>
        </w:tc>
        <w:tc>
          <w:tcPr>
            <w:tcW w:type="dxa" w:w="6760"/>
          </w:tcPr>
          <w:p>
            <w:pPr>
              <w:spacing w:before="0" w:after="0" w:line="252" w:lineRule="auto"/>
              <w:jc w:val="left"/>
            </w:pPr>
            <w:r>
              <w:rPr>
                <w:rFonts w:ascii="Calibri" w:hAnsi="Calibri"/>
                <w:b w:val="0"/>
                <w:sz w:val="18"/>
              </w:rPr>
              <w:t>Specified architecture without an assertion of implementation.</w:t>
            </w:r>
          </w:p>
        </w:tc>
      </w:tr>
      <w:tr>
        <w:tc>
          <w:tcPr>
            <w:tcW w:type="dxa" w:w="2600"/>
          </w:tcPr>
          <w:p>
            <w:pPr>
              <w:spacing w:before="0" w:after="0" w:line="252" w:lineRule="auto"/>
              <w:jc w:val="left"/>
            </w:pPr>
            <w:r>
              <w:rPr>
                <w:rFonts w:ascii="Calibri" w:hAnsi="Calibri"/>
                <w:b w:val="0"/>
                <w:sz w:val="18"/>
              </w:rPr>
              <w:t>Experimental</w:t>
            </w:r>
          </w:p>
        </w:tc>
        <w:tc>
          <w:tcPr>
            <w:tcW w:type="dxa" w:w="6760"/>
          </w:tcPr>
          <w:p>
            <w:pPr>
              <w:spacing w:before="0" w:after="0" w:line="252" w:lineRule="auto"/>
              <w:jc w:val="left"/>
            </w:pPr>
            <w:r>
              <w:rPr>
                <w:rFonts w:ascii="Calibri" w:hAnsi="Calibri"/>
                <w:b w:val="0"/>
                <w:sz w:val="18"/>
              </w:rPr>
              <w:t>A prototype or method whose suitability/value is unresolved.</w:t>
            </w:r>
          </w:p>
        </w:tc>
      </w:tr>
      <w:tr>
        <w:tc>
          <w:tcPr>
            <w:tcW w:type="dxa" w:w="2600"/>
          </w:tcPr>
          <w:p>
            <w:pPr>
              <w:spacing w:before="0" w:after="0" w:line="252" w:lineRule="auto"/>
              <w:jc w:val="left"/>
            </w:pPr>
            <w:r>
              <w:rPr>
                <w:rFonts w:ascii="Calibri" w:hAnsi="Calibri"/>
                <w:b w:val="0"/>
                <w:sz w:val="18"/>
              </w:rPr>
              <w:t>Proposed</w:t>
            </w:r>
          </w:p>
        </w:tc>
        <w:tc>
          <w:tcPr>
            <w:tcW w:type="dxa" w:w="6760"/>
          </w:tcPr>
          <w:p>
            <w:pPr>
              <w:spacing w:before="0" w:after="0" w:line="252" w:lineRule="auto"/>
              <w:jc w:val="left"/>
            </w:pPr>
            <w:r>
              <w:rPr>
                <w:rFonts w:ascii="Calibri" w:hAnsi="Calibri"/>
                <w:b w:val="0"/>
                <w:sz w:val="18"/>
              </w:rPr>
              <w:t>Recommendation pending ADR or implementation-plan acceptance.</w:t>
            </w:r>
          </w:p>
        </w:tc>
      </w:tr>
    </w:tbl>
    <w:p>
      <w:pPr>
        <w:spacing w:after="40"/>
      </w:pPr>
    </w:p>
    <w:p>
      <w:pPr>
        <w:pStyle w:val="Heading1"/>
        <w:pageBreakBefore/>
      </w:pPr>
      <w:r>
        <w:rPr>
          <w:rFonts w:ascii="Calibri" w:hAnsi="Calibri"/>
          <w:b/>
          <w:color w:val="2E74B5"/>
          <w:sz w:val="32"/>
        </w:rPr>
        <w:t>Appendix E. Architectural context and source traceability</w:t>
      </w:r>
    </w:p>
    <w:p>
      <w:pPr>
        <w:keepLines w:val="0"/>
      </w:pPr>
      <w:r>
        <w:rPr>
          <w:rFonts w:ascii="Calibri" w:hAnsi="Calibri"/>
          <w:i w:val="0"/>
          <w:sz w:val="22"/>
        </w:rPr>
        <w:t>This EDS is a forward-looking specification. A companion Architectural Context Document (specification/ARCHITECTURAL_CONTEXT.md) SHOULD preserve project evolution, philosophy, major shifts, lessons learned, rejected alternatives, current assumptions, and expected directions. A separate DESIGN_HISTORY.md SHOULD log chronological decisions with ADR references. Neither file supersedes this EDS; together they prevent historical reasoning from being lost.</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trPr>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Source material</w:t>
            </w:r>
          </w:p>
        </w:tc>
        <w:tc>
          <w:tcPr>
            <w:tcW w:type="dxa" w:w="6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EDS disposition</w:t>
            </w:r>
          </w:p>
        </w:tc>
      </w:tr>
      <w:tr>
        <w:tc>
          <w:tcPr>
            <w:tcW w:type="dxa" w:w="2750"/>
          </w:tcPr>
          <w:p>
            <w:pPr>
              <w:spacing w:before="0" w:after="0" w:line="252" w:lineRule="auto"/>
              <w:jc w:val="left"/>
            </w:pPr>
            <w:r>
              <w:rPr>
                <w:rFonts w:ascii="Calibri" w:hAnsi="Calibri"/>
                <w:b w:val="0"/>
                <w:sz w:val="18"/>
              </w:rPr>
              <w:t>Revision 3: Abstract/Introduction</w:t>
            </w:r>
          </w:p>
        </w:tc>
        <w:tc>
          <w:tcPr>
            <w:tcW w:type="dxa" w:w="6610"/>
          </w:tcPr>
          <w:p>
            <w:pPr>
              <w:spacing w:before="0" w:after="0" w:line="252" w:lineRule="auto"/>
              <w:jc w:val="left"/>
            </w:pPr>
            <w:r>
              <w:rPr>
                <w:rFonts w:ascii="Calibri" w:hAnsi="Calibri"/>
                <w:b w:val="0"/>
                <w:sz w:val="18"/>
              </w:rPr>
              <w:t>Reframed into short Vision, Scientific Foundation, and requirements; broad claims constrained by evidence rules.</w:t>
            </w:r>
          </w:p>
        </w:tc>
      </w:tr>
      <w:tr>
        <w:tc>
          <w:tcPr>
            <w:tcW w:type="dxa" w:w="2750"/>
          </w:tcPr>
          <w:p>
            <w:pPr>
              <w:spacing w:before="0" w:after="0" w:line="252" w:lineRule="auto"/>
              <w:jc w:val="left"/>
            </w:pPr>
            <w:r>
              <w:rPr>
                <w:rFonts w:ascii="Calibri" w:hAnsi="Calibri"/>
                <w:b w:val="0"/>
                <w:sz w:val="18"/>
              </w:rPr>
              <w:t>Revision 3: Literature Survey</w:t>
            </w:r>
          </w:p>
        </w:tc>
        <w:tc>
          <w:tcPr>
            <w:tcW w:type="dxa" w:w="6610"/>
          </w:tcPr>
          <w:p>
            <w:pPr>
              <w:spacing w:before="0" w:after="0" w:line="252" w:lineRule="auto"/>
              <w:jc w:val="left"/>
            </w:pPr>
            <w:r>
              <w:rPr>
                <w:rFonts w:ascii="Calibri" w:hAnsi="Calibri"/>
                <w:b w:val="0"/>
                <w:sz w:val="18"/>
              </w:rPr>
              <w:t>Background only; methods require profile and evaluation linkage.</w:t>
            </w:r>
          </w:p>
        </w:tc>
      </w:tr>
      <w:tr>
        <w:tc>
          <w:tcPr>
            <w:tcW w:type="dxa" w:w="2750"/>
          </w:tcPr>
          <w:p>
            <w:pPr>
              <w:spacing w:before="0" w:after="0" w:line="252" w:lineRule="auto"/>
              <w:jc w:val="left"/>
            </w:pPr>
            <w:r>
              <w:rPr>
                <w:rFonts w:ascii="Calibri" w:hAnsi="Calibri"/>
                <w:b w:val="0"/>
                <w:sz w:val="18"/>
              </w:rPr>
              <w:t>Revision 3: Methodology</w:t>
            </w:r>
          </w:p>
        </w:tc>
        <w:tc>
          <w:tcPr>
            <w:tcW w:type="dxa" w:w="6610"/>
          </w:tcPr>
          <w:p>
            <w:pPr>
              <w:spacing w:before="0" w:after="0" w:line="252" w:lineRule="auto"/>
              <w:jc w:val="left"/>
            </w:pPr>
            <w:r>
              <w:rPr>
                <w:rFonts w:ascii="Calibri" w:hAnsi="Calibri"/>
                <w:b w:val="0"/>
                <w:sz w:val="18"/>
              </w:rPr>
              <w:t>Converted to Builder stages and experimental-method policy; hardware details moved to run manifests.</w:t>
            </w:r>
          </w:p>
        </w:tc>
      </w:tr>
      <w:tr>
        <w:tc>
          <w:tcPr>
            <w:tcW w:type="dxa" w:w="2750"/>
          </w:tcPr>
          <w:p>
            <w:pPr>
              <w:spacing w:before="0" w:after="0" w:line="252" w:lineRule="auto"/>
              <w:jc w:val="left"/>
            </w:pPr>
            <w:r>
              <w:rPr>
                <w:rFonts w:ascii="Calibri" w:hAnsi="Calibri"/>
                <w:b w:val="0"/>
                <w:sz w:val="18"/>
              </w:rPr>
              <w:t>Revision 3: Design</w:t>
            </w:r>
          </w:p>
        </w:tc>
        <w:tc>
          <w:tcPr>
            <w:tcW w:type="dxa" w:w="6610"/>
          </w:tcPr>
          <w:p>
            <w:pPr>
              <w:spacing w:before="0" w:after="0" w:line="252" w:lineRule="auto"/>
              <w:jc w:val="left"/>
            </w:pPr>
            <w:r>
              <w:rPr>
                <w:rFonts w:ascii="Calibri" w:hAnsi="Calibri"/>
                <w:b w:val="0"/>
                <w:sz w:val="18"/>
              </w:rPr>
              <w:t>Expanded into Atlas, Knowledge Graph, Storage, and Release Engineering with explicit identity/derivation semantics.</w:t>
            </w:r>
          </w:p>
        </w:tc>
      </w:tr>
      <w:tr>
        <w:tc>
          <w:tcPr>
            <w:tcW w:type="dxa" w:w="2750"/>
          </w:tcPr>
          <w:p>
            <w:pPr>
              <w:spacing w:before="0" w:after="0" w:line="252" w:lineRule="auto"/>
              <w:jc w:val="left"/>
            </w:pPr>
            <w:r>
              <w:rPr>
                <w:rFonts w:ascii="Calibri" w:hAnsi="Calibri"/>
                <w:b w:val="0"/>
                <w:sz w:val="18"/>
              </w:rPr>
              <w:t>Revision 3: Implementation</w:t>
            </w:r>
          </w:p>
        </w:tc>
        <w:tc>
          <w:tcPr>
            <w:tcW w:type="dxa" w:w="6610"/>
          </w:tcPr>
          <w:p>
            <w:pPr>
              <w:spacing w:before="0" w:after="0" w:line="252" w:lineRule="auto"/>
              <w:jc w:val="left"/>
            </w:pPr>
            <w:r>
              <w:rPr>
                <w:rFonts w:ascii="Calibri" w:hAnsi="Calibri"/>
                <w:b w:val="0"/>
                <w:sz w:val="18"/>
              </w:rPr>
              <w:t>Retained only as Implemented (reported) inventory; clients governed by Query Core contracts.</w:t>
            </w:r>
          </w:p>
        </w:tc>
      </w:tr>
      <w:tr>
        <w:tc>
          <w:tcPr>
            <w:tcW w:type="dxa" w:w="2750"/>
          </w:tcPr>
          <w:p>
            <w:pPr>
              <w:spacing w:before="0" w:after="0" w:line="252" w:lineRule="auto"/>
              <w:jc w:val="left"/>
            </w:pPr>
            <w:r>
              <w:rPr>
                <w:rFonts w:ascii="Calibri" w:hAnsi="Calibri"/>
                <w:b w:val="0"/>
                <w:sz w:val="18"/>
              </w:rPr>
              <w:t>Revision 3: Testing/Results</w:t>
            </w:r>
          </w:p>
        </w:tc>
        <w:tc>
          <w:tcPr>
            <w:tcW w:type="dxa" w:w="6610"/>
          </w:tcPr>
          <w:p>
            <w:pPr>
              <w:spacing w:before="0" w:after="0" w:line="252" w:lineRule="auto"/>
              <w:jc w:val="left"/>
            </w:pPr>
            <w:r>
              <w:rPr>
                <w:rFonts w:ascii="Calibri" w:hAnsi="Calibri"/>
                <w:b w:val="0"/>
                <w:sz w:val="18"/>
              </w:rPr>
              <w:t>Separated into verification/evaluation/interpretation tracks; no numerical results asserted here.</w:t>
            </w:r>
          </w:p>
        </w:tc>
      </w:tr>
      <w:tr>
        <w:tc>
          <w:tcPr>
            <w:tcW w:type="dxa" w:w="2750"/>
          </w:tcPr>
          <w:p>
            <w:pPr>
              <w:spacing w:before="0" w:after="0" w:line="252" w:lineRule="auto"/>
              <w:jc w:val="left"/>
            </w:pPr>
            <w:r>
              <w:rPr>
                <w:rFonts w:ascii="Calibri" w:hAnsi="Calibri"/>
                <w:b w:val="0"/>
                <w:sz w:val="18"/>
              </w:rPr>
              <w:t>EDS v1.0</w:t>
            </w:r>
          </w:p>
        </w:tc>
        <w:tc>
          <w:tcPr>
            <w:tcW w:type="dxa" w:w="6610"/>
          </w:tcPr>
          <w:p>
            <w:pPr>
              <w:spacing w:before="0" w:after="0" w:line="252" w:lineRule="auto"/>
              <w:jc w:val="left"/>
            </w:pPr>
            <w:r>
              <w:rPr>
                <w:rFonts w:ascii="Calibri" w:hAnsi="Calibri"/>
                <w:b w:val="0"/>
                <w:sz w:val="18"/>
              </w:rPr>
              <w:t>ADRs, evidence rules, contracts, open questions, and release-first orientation retained and expanded with Builder, Registry, graph, storage, plugins, repository, and benchmark detail.</w:t>
            </w:r>
          </w:p>
        </w:tc>
      </w:tr>
    </w:tbl>
    <w:p>
      <w:pPr>
        <w:spacing w:after="40"/>
      </w:pPr>
    </w:p>
    <w:p>
      <w:pPr>
        <w:keepLines w:val="0"/>
      </w:pPr>
      <w:r>
        <w:rPr>
          <w:rFonts w:ascii="Calibri" w:hAnsi="Calibri"/>
          <w:i w:val="0"/>
          <w:sz w:val="22"/>
        </w:rPr>
        <w:t>Selected background references carried forward from Revision 3 include work on density-based clustering, UMAP, GATv2, genomic language models, FAISS, CAMI benchmarking, representation interpretation cautions, metagenome binning, GTDB, and scientific reference databases. Their inclusion supplies context only; it is not validation of EXPEDIA or a claim that any particular method is appropriate for the first release.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Final governance action: </w:t>
            </w:r>
            <w:r>
              <w:rPr>
                <w:rFonts w:ascii="Calibri" w:hAnsi="Calibri"/>
                <w:color w:val="0B2545"/>
                <w:sz w:val="20"/>
              </w:rPr>
              <w:t>Before calling this document canonical, assign decision owners, formally accept or revise the Proposed ADRs, and establish the M0 source, license, and release-governance policy.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t xml:space="preserve">Canonical draft for governance acceptance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C6773"/>
        <w:sz w:val="17"/>
      </w:rPr>
      <w:t>EXPEDIA | Design Specification (EDS)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EXPEDIA Design Specification (EDS) v2.0</dc:title>
  <dc:subject>Authoritative architecture and design specification</dc:subject>
  <dc:creator>EXPEDIA Architecture</dc:creator>
  <cp:keywords/>
  <dc:description>Canonical draft pending stated governance acceptance.</dc:description>
  <cp:lastModifiedBy/>
  <cp:revision>1</cp:revision>
  <dcterms:created xsi:type="dcterms:W3CDTF">2013-12-23T23:15:00Z</dcterms:created>
  <dcterms:modified xsi:type="dcterms:W3CDTF">2013-12-23T23:15:00Z</dcterms:modified>
  <cp:category/>
</cp:coreProperties>
</file>