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</w:pPr>
      <w:r>
        <w:rPr>
          <w:rFonts w:ascii="Calibri" w:hAnsi="Calibri"/>
          <w:b/>
          <w:color w:val="0B2545"/>
          <w:sz w:val="54"/>
        </w:rPr>
        <w:t>EXPEDIA Requirements Specification</w:t>
      </w:r>
    </w:p>
    <w:p>
      <w:r>
        <w:rPr>
          <w:rFonts w:ascii="Calibri" w:hAnsi="Calibri"/>
          <w:color w:val="5C6773"/>
          <w:sz w:val="28"/>
        </w:rPr>
        <w:t>ERS v1.0 - companion normative traceability register</w:t>
      </w:r>
    </w:p>
    <w:p>
      <w:r>
        <w:rPr>
          <w:rFonts w:ascii="Calibri" w:hAnsi="Calibri"/>
          <w:sz w:val="22"/>
        </w:rPr>
        <w:t>Document status: Normative companion to EDS v2.1. Requirement text is binding; rationale and examples are informative.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Control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/>
                <w:color w:val="0B2545"/>
                <w:sz w:val="17"/>
              </w:rPr>
              <w:t>Value</w:t>
            </w:r>
          </w:p>
        </w:tc>
      </w:tr>
      <w:tr>
        <w:tc>
          <w:tcPr>
            <w:tcW w:type="dxa" w:w="240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7"/>
              </w:rPr>
              <w:t>Scope</w:t>
            </w:r>
          </w:p>
        </w:tc>
        <w:tc>
          <w:tcPr>
            <w:tcW w:type="dxa" w:w="696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7"/>
              </w:rPr>
              <w:t>System requirements and traceability register for Atlas-first scientific infrastructure.</w:t>
            </w:r>
          </w:p>
        </w:tc>
      </w:tr>
      <w:tr>
        <w:tc>
          <w:tcPr>
            <w:tcW w:type="dxa" w:w="240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7"/>
              </w:rPr>
              <w:t>Authority</w:t>
            </w:r>
          </w:p>
        </w:tc>
        <w:tc>
          <w:tcPr>
            <w:tcW w:type="dxa" w:w="696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7"/>
              </w:rPr>
              <w:t>EDS v2.1 resolves architecture interpretation; accepted ADRs resolve durable decisions.</w:t>
            </w:r>
          </w:p>
        </w:tc>
      </w:tr>
      <w:tr>
        <w:tc>
          <w:tcPr>
            <w:tcW w:type="dxa" w:w="240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7"/>
              </w:rPr>
              <w:t>Status labels</w:t>
            </w:r>
          </w:p>
        </w:tc>
        <w:tc>
          <w:tcPr>
            <w:tcW w:type="dxa" w:w="696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7"/>
              </w:rPr>
              <w:t>Planned means no implementation claim. Implemented requires repository and CI evidence.</w:t>
            </w:r>
          </w:p>
        </w:tc>
      </w:tr>
      <w:tr>
        <w:tc>
          <w:tcPr>
            <w:tcW w:type="dxa" w:w="240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7"/>
              </w:rPr>
              <w:t>Change rule</w:t>
            </w:r>
          </w:p>
        </w:tc>
        <w:tc>
          <w:tcPr>
            <w:tcW w:type="dxa" w:w="696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7"/>
              </w:rPr>
              <w:t>Changing a requirement requires stable-ID history, trace updates, and ADR review when architectural.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1. Conformance model</w:t>
      </w:r>
    </w:p>
    <w:p>
      <w:r>
        <w:rPr>
          <w:rFonts w:ascii="Calibri" w:hAnsi="Calibri"/>
          <w:sz w:val="22"/>
        </w:rPr>
        <w:t>[NORMATIVE] An implementation conforms only when all applicable SHALL/MUST requirements are satisfied or an approved time-bounded waiver is recorded. The ERS must be updated in the same change set as a requirement, interface, ADR, or verification change.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2. Requirements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2470"/>
        <w:gridCol w:w="850"/>
        <w:gridCol w:w="950"/>
        <w:gridCol w:w="1250"/>
        <w:gridCol w:w="1300"/>
        <w:gridCol w:w="1300"/>
        <w:gridCol w:w="590"/>
      </w:tblGrid>
      <w:tr>
        <w:trPr>
          <w:tblHeader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/>
                <w:color w:val="0B2545"/>
                <w:sz w:val="13"/>
              </w:rPr>
              <w:t>ID</w:t>
            </w:r>
          </w:p>
        </w:tc>
        <w:tc>
          <w:tcPr>
            <w:tcW w:type="dxa" w:w="24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/>
                <w:color w:val="0B2545"/>
                <w:sz w:val="13"/>
              </w:rPr>
              <w:t>Normative requirement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/>
                <w:color w:val="0B2545"/>
                <w:sz w:val="13"/>
              </w:rPr>
              <w:t>EDS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/>
                <w:color w:val="0B2545"/>
                <w:sz w:val="13"/>
              </w:rPr>
              <w:t>ADR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/>
                <w:color w:val="0B2545"/>
                <w:sz w:val="13"/>
              </w:rPr>
              <w:t>Implementation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/>
                <w:color w:val="0B2545"/>
                <w:sz w:val="13"/>
              </w:rPr>
              <w:t>Test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/>
                <w:color w:val="0B2545"/>
                <w:sz w:val="13"/>
              </w:rPr>
              <w:t>Documentation</w:t>
            </w:r>
          </w:p>
        </w:tc>
        <w:tc>
          <w:tcPr>
            <w:tcW w:type="dxa" w:w="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/>
                <w:color w:val="0B2545"/>
                <w:sz w:val="13"/>
              </w:rPr>
              <w:t>Status</w:t>
            </w:r>
          </w:p>
        </w:tc>
      </w:tr>
      <w:tr>
        <w:tc>
          <w:tcPr>
            <w:tcW w:type="dxa" w:w="6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REQ-001</w:t>
            </w:r>
          </w:p>
        </w:tc>
        <w:tc>
          <w:tcPr>
            <w:tcW w:type="dxa" w:w="247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Atlas Releases shall be immutable after publication.</w:t>
            </w:r>
          </w:p>
        </w:tc>
        <w:tc>
          <w:tcPr>
            <w:tcW w:type="dxa" w:w="8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EDS 6, 15.2</w:t>
            </w:r>
          </w:p>
        </w:tc>
        <w:tc>
          <w:tcPr>
            <w:tcW w:type="dxa" w:w="9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ADR-002, ADR-012</w:t>
            </w:r>
          </w:p>
        </w:tc>
        <w:tc>
          <w:tcPr>
            <w:tcW w:type="dxa" w:w="12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atlas-builder / catalog</w:t>
            </w:r>
          </w:p>
        </w:tc>
        <w:tc>
          <w:tcPr>
            <w:tcW w:type="dxa" w:w="130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release_immutability_contract</w:t>
            </w:r>
          </w:p>
        </w:tc>
        <w:tc>
          <w:tcPr>
            <w:tcW w:type="dxa" w:w="130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docs/release-lifecycle.md</w:t>
            </w:r>
          </w:p>
        </w:tc>
        <w:tc>
          <w:tcPr>
            <w:tcW w:type="dxa" w:w="59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Planned</w:t>
            </w:r>
          </w:p>
        </w:tc>
      </w:tr>
      <w:tr>
        <w:tc>
          <w:tcPr>
            <w:tcW w:type="dxa" w:w="6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REQ-002</w:t>
            </w:r>
          </w:p>
        </w:tc>
        <w:tc>
          <w:tcPr>
            <w:tcW w:type="dxa" w:w="247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Every published release shall contain manifest, citation, schema, scope, license, and integrity digests.</w:t>
            </w:r>
          </w:p>
        </w:tc>
        <w:tc>
          <w:tcPr>
            <w:tcW w:type="dxa" w:w="8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EDS 6, A.1</w:t>
            </w:r>
          </w:p>
        </w:tc>
        <w:tc>
          <w:tcPr>
            <w:tcW w:type="dxa" w:w="9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ADR-002</w:t>
            </w:r>
          </w:p>
        </w:tc>
        <w:tc>
          <w:tcPr>
            <w:tcW w:type="dxa" w:w="12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release package</w:t>
            </w:r>
          </w:p>
        </w:tc>
        <w:tc>
          <w:tcPr>
            <w:tcW w:type="dxa" w:w="130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manifest_contract</w:t>
            </w:r>
          </w:p>
        </w:tc>
        <w:tc>
          <w:tcPr>
            <w:tcW w:type="dxa" w:w="130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docs/release-package.md</w:t>
            </w:r>
          </w:p>
        </w:tc>
        <w:tc>
          <w:tcPr>
            <w:tcW w:type="dxa" w:w="59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Planned</w:t>
            </w:r>
          </w:p>
        </w:tc>
      </w:tr>
      <w:tr>
        <w:tc>
          <w:tcPr>
            <w:tcW w:type="dxa" w:w="6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REQ-003</w:t>
            </w:r>
          </w:p>
        </w:tc>
        <w:tc>
          <w:tcPr>
            <w:tcW w:type="dxa" w:w="247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Every GenomeRecordVersion shall name canonical sequence digest and source provenance.</w:t>
            </w:r>
          </w:p>
        </w:tc>
        <w:tc>
          <w:tcPr>
            <w:tcW w:type="dxa" w:w="8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EDS 7, A.2</w:t>
            </w:r>
          </w:p>
        </w:tc>
        <w:tc>
          <w:tcPr>
            <w:tcW w:type="dxa" w:w="9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ADR-005</w:t>
            </w:r>
          </w:p>
        </w:tc>
        <w:tc>
          <w:tcPr>
            <w:tcW w:type="dxa" w:w="12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schemas / registrar</w:t>
            </w:r>
          </w:p>
        </w:tc>
        <w:tc>
          <w:tcPr>
            <w:tcW w:type="dxa" w:w="130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record_identity_fixture</w:t>
            </w:r>
          </w:p>
        </w:tc>
        <w:tc>
          <w:tcPr>
            <w:tcW w:type="dxa" w:w="130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docs/identity.md</w:t>
            </w:r>
          </w:p>
        </w:tc>
        <w:tc>
          <w:tcPr>
            <w:tcW w:type="dxa" w:w="59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Planned</w:t>
            </w:r>
          </w:p>
        </w:tc>
      </w:tr>
      <w:tr>
        <w:tc>
          <w:tcPr>
            <w:tcW w:type="dxa" w:w="6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REQ-004</w:t>
            </w:r>
          </w:p>
        </w:tc>
        <w:tc>
          <w:tcPr>
            <w:tcW w:type="dxa" w:w="247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Every EmbeddingInstance shall belong to exactly one Profile and one GenomeRecordVersion.</w:t>
            </w:r>
          </w:p>
        </w:tc>
        <w:tc>
          <w:tcPr>
            <w:tcW w:type="dxa" w:w="8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EDS 8, A.3</w:t>
            </w:r>
          </w:p>
        </w:tc>
        <w:tc>
          <w:tcPr>
            <w:tcW w:type="dxa" w:w="9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ADR-004</w:t>
            </w:r>
          </w:p>
        </w:tc>
        <w:tc>
          <w:tcPr>
            <w:tcW w:type="dxa" w:w="12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registry / builder</w:t>
            </w:r>
          </w:p>
        </w:tc>
        <w:tc>
          <w:tcPr>
            <w:tcW w:type="dxa" w:w="130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embedding_referential_integrity</w:t>
            </w:r>
          </w:p>
        </w:tc>
        <w:tc>
          <w:tcPr>
            <w:tcW w:type="dxa" w:w="130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docs/profiles.md</w:t>
            </w:r>
          </w:p>
        </w:tc>
        <w:tc>
          <w:tcPr>
            <w:tcW w:type="dxa" w:w="59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Planned</w:t>
            </w:r>
          </w:p>
        </w:tc>
      </w:tr>
      <w:tr>
        <w:tc>
          <w:tcPr>
            <w:tcW w:type="dxa" w:w="6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REQ-005</w:t>
            </w:r>
          </w:p>
        </w:tc>
        <w:tc>
          <w:tcPr>
            <w:tcW w:type="dxa" w:w="247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Profiles shall declare input, representation, output, comparison, provenance, and validation contracts.</w:t>
            </w:r>
          </w:p>
        </w:tc>
        <w:tc>
          <w:tcPr>
            <w:tcW w:type="dxa" w:w="8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EDS 8.2</w:t>
            </w:r>
          </w:p>
        </w:tc>
        <w:tc>
          <w:tcPr>
            <w:tcW w:type="dxa" w:w="9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ADR-004</w:t>
            </w:r>
          </w:p>
        </w:tc>
        <w:tc>
          <w:tcPr>
            <w:tcW w:type="dxa" w:w="12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profiles / registry</w:t>
            </w:r>
          </w:p>
        </w:tc>
        <w:tc>
          <w:tcPr>
            <w:tcW w:type="dxa" w:w="130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profile_schema_contract</w:t>
            </w:r>
          </w:p>
        </w:tc>
        <w:tc>
          <w:tcPr>
            <w:tcW w:type="dxa" w:w="130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docs/profile-authoring.md</w:t>
            </w:r>
          </w:p>
        </w:tc>
        <w:tc>
          <w:tcPr>
            <w:tcW w:type="dxa" w:w="59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Planned</w:t>
            </w:r>
          </w:p>
        </w:tc>
      </w:tr>
      <w:tr>
        <w:tc>
          <w:tcPr>
            <w:tcW w:type="dxa" w:w="6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REQ-006</w:t>
            </w:r>
          </w:p>
        </w:tc>
        <w:tc>
          <w:tcPr>
            <w:tcW w:type="dxa" w:w="247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Cross-profile similarity shall be rejected absent an evaluated BridgeProfile.</w:t>
            </w:r>
          </w:p>
        </w:tc>
        <w:tc>
          <w:tcPr>
            <w:tcW w:type="dxa" w:w="8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EDS 8.3, 12.2</w:t>
            </w:r>
          </w:p>
        </w:tc>
        <w:tc>
          <w:tcPr>
            <w:tcW w:type="dxa" w:w="9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ADR-004</w:t>
            </w:r>
          </w:p>
        </w:tc>
        <w:tc>
          <w:tcPr>
            <w:tcW w:type="dxa" w:w="12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query-core</w:t>
            </w:r>
          </w:p>
        </w:tc>
        <w:tc>
          <w:tcPr>
            <w:tcW w:type="dxa" w:w="130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cross_profile_rejection</w:t>
            </w:r>
          </w:p>
        </w:tc>
        <w:tc>
          <w:tcPr>
            <w:tcW w:type="dxa" w:w="130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docs/query-compatibility.md</w:t>
            </w:r>
          </w:p>
        </w:tc>
        <w:tc>
          <w:tcPr>
            <w:tcW w:type="dxa" w:w="59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Planned</w:t>
            </w:r>
          </w:p>
        </w:tc>
      </w:tr>
      <w:tr>
        <w:tc>
          <w:tcPr>
            <w:tcW w:type="dxa" w:w="6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REQ-007</w:t>
            </w:r>
          </w:p>
        </w:tc>
        <w:tc>
          <w:tcPr>
            <w:tcW w:type="dxa" w:w="247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Annotations shall be provenance-bearing assertions.</w:t>
            </w:r>
          </w:p>
        </w:tc>
        <w:tc>
          <w:tcPr>
            <w:tcW w:type="dxa" w:w="8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EDS 7, A.4</w:t>
            </w:r>
          </w:p>
        </w:tc>
        <w:tc>
          <w:tcPr>
            <w:tcW w:type="dxa" w:w="9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ADR-006</w:t>
            </w:r>
          </w:p>
        </w:tc>
        <w:tc>
          <w:tcPr>
            <w:tcW w:type="dxa" w:w="12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annotation adapters</w:t>
            </w:r>
          </w:p>
        </w:tc>
        <w:tc>
          <w:tcPr>
            <w:tcW w:type="dxa" w:w="130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annotation_assertion_fixture</w:t>
            </w:r>
          </w:p>
        </w:tc>
        <w:tc>
          <w:tcPr>
            <w:tcW w:type="dxa" w:w="130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docs/annotations.md</w:t>
            </w:r>
          </w:p>
        </w:tc>
        <w:tc>
          <w:tcPr>
            <w:tcW w:type="dxa" w:w="59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Planned</w:t>
            </w:r>
          </w:p>
        </w:tc>
      </w:tr>
      <w:tr>
        <w:tc>
          <w:tcPr>
            <w:tcW w:type="dxa" w:w="6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REQ-008</w:t>
            </w:r>
          </w:p>
        </w:tc>
        <w:tc>
          <w:tcPr>
            <w:tcW w:type="dxa" w:w="247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Derived artifacts shall record inputs, parameters, and lineage.</w:t>
            </w:r>
          </w:p>
        </w:tc>
        <w:tc>
          <w:tcPr>
            <w:tcW w:type="dxa" w:w="8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EDS 7, 9, A.5</w:t>
            </w:r>
          </w:p>
        </w:tc>
        <w:tc>
          <w:tcPr>
            <w:tcW w:type="dxa" w:w="9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ADR-007</w:t>
            </w:r>
          </w:p>
        </w:tc>
        <w:tc>
          <w:tcPr>
            <w:tcW w:type="dxa" w:w="12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builder / storage</w:t>
            </w:r>
          </w:p>
        </w:tc>
        <w:tc>
          <w:tcPr>
            <w:tcW w:type="dxa" w:w="130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derived_lineage_contract</w:t>
            </w:r>
          </w:p>
        </w:tc>
        <w:tc>
          <w:tcPr>
            <w:tcW w:type="dxa" w:w="130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docs/derived-artifacts.md</w:t>
            </w:r>
          </w:p>
        </w:tc>
        <w:tc>
          <w:tcPr>
            <w:tcW w:type="dxa" w:w="59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Planned</w:t>
            </w:r>
          </w:p>
        </w:tc>
      </w:tr>
      <w:tr>
        <w:tc>
          <w:tcPr>
            <w:tcW w:type="dxa" w:w="6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REQ-009</w:t>
            </w:r>
          </w:p>
        </w:tc>
        <w:tc>
          <w:tcPr>
            <w:tcW w:type="dxa" w:w="247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Builder shall use declared manifests and record deterministic behavior or limitation.</w:t>
            </w:r>
          </w:p>
        </w:tc>
        <w:tc>
          <w:tcPr>
            <w:tcW w:type="dxa" w:w="8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EDS 9.2, 9.3</w:t>
            </w:r>
          </w:p>
        </w:tc>
        <w:tc>
          <w:tcPr>
            <w:tcW w:type="dxa" w:w="9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ADR-008</w:t>
            </w:r>
          </w:p>
        </w:tc>
        <w:tc>
          <w:tcPr>
            <w:tcW w:type="dxa" w:w="12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atlas-builder</w:t>
            </w:r>
          </w:p>
        </w:tc>
        <w:tc>
          <w:tcPr>
            <w:tcW w:type="dxa" w:w="130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build_manifest_reproducibility</w:t>
            </w:r>
          </w:p>
        </w:tc>
        <w:tc>
          <w:tcPr>
            <w:tcW w:type="dxa" w:w="130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docs/build-manifest.md</w:t>
            </w:r>
          </w:p>
        </w:tc>
        <w:tc>
          <w:tcPr>
            <w:tcW w:type="dxa" w:w="59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Planned</w:t>
            </w:r>
          </w:p>
        </w:tc>
      </w:tr>
      <w:tr>
        <w:tc>
          <w:tcPr>
            <w:tcW w:type="dxa" w:w="6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REQ-010</w:t>
            </w:r>
          </w:p>
        </w:tc>
        <w:tc>
          <w:tcPr>
            <w:tcW w:type="dxa" w:w="247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Mandatory gate failure shall prevent publication and record failure evidence.</w:t>
            </w:r>
          </w:p>
        </w:tc>
        <w:tc>
          <w:tcPr>
            <w:tcW w:type="dxa" w:w="8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EDS 9.4, 9.5</w:t>
            </w:r>
          </w:p>
        </w:tc>
        <w:tc>
          <w:tcPr>
            <w:tcW w:type="dxa" w:w="9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ADR-012</w:t>
            </w:r>
          </w:p>
        </w:tc>
        <w:tc>
          <w:tcPr>
            <w:tcW w:type="dxa" w:w="12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release gate</w:t>
            </w:r>
          </w:p>
        </w:tc>
        <w:tc>
          <w:tcPr>
            <w:tcW w:type="dxa" w:w="130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gate_failure_contract</w:t>
            </w:r>
          </w:p>
        </w:tc>
        <w:tc>
          <w:tcPr>
            <w:tcW w:type="dxa" w:w="130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docs/release-gates.md</w:t>
            </w:r>
          </w:p>
        </w:tc>
        <w:tc>
          <w:tcPr>
            <w:tcW w:type="dxa" w:w="59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Planned</w:t>
            </w:r>
          </w:p>
        </w:tc>
      </w:tr>
      <w:tr>
        <w:tc>
          <w:tcPr>
            <w:tcW w:type="dxa" w:w="6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REQ-011</w:t>
            </w:r>
          </w:p>
        </w:tc>
        <w:tc>
          <w:tcPr>
            <w:tcW w:type="dxa" w:w="247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Query results shall include release, profile, metric, mode, and provenance.</w:t>
            </w:r>
          </w:p>
        </w:tc>
        <w:tc>
          <w:tcPr>
            <w:tcW w:type="dxa" w:w="8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EDS 12.1-12.4</w:t>
            </w:r>
          </w:p>
        </w:tc>
        <w:tc>
          <w:tcPr>
            <w:tcW w:type="dxa" w:w="9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ADR-016</w:t>
            </w:r>
          </w:p>
        </w:tc>
        <w:tc>
          <w:tcPr>
            <w:tcW w:type="dxa" w:w="12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query-core</w:t>
            </w:r>
          </w:p>
        </w:tc>
        <w:tc>
          <w:tcPr>
            <w:tcW w:type="dxa" w:w="130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query_result_conformance</w:t>
            </w:r>
          </w:p>
        </w:tc>
        <w:tc>
          <w:tcPr>
            <w:tcW w:type="dxa" w:w="130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docs/query-results.md</w:t>
            </w:r>
          </w:p>
        </w:tc>
        <w:tc>
          <w:tcPr>
            <w:tcW w:type="dxa" w:w="59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Planned</w:t>
            </w:r>
          </w:p>
        </w:tc>
      </w:tr>
      <w:tr>
        <w:tc>
          <w:tcPr>
            <w:tcW w:type="dxa" w:w="6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REQ-012</w:t>
            </w:r>
          </w:p>
        </w:tc>
        <w:tc>
          <w:tcPr>
            <w:tcW w:type="dxa" w:w="247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Explorer shall distinguish canonical evidence, assertions, and derived artifacts.</w:t>
            </w:r>
          </w:p>
        </w:tc>
        <w:tc>
          <w:tcPr>
            <w:tcW w:type="dxa" w:w="8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EDS 10</w:t>
            </w:r>
          </w:p>
        </w:tc>
        <w:tc>
          <w:tcPr>
            <w:tcW w:type="dxa" w:w="9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ADR-001, ADR-007</w:t>
            </w:r>
          </w:p>
        </w:tc>
        <w:tc>
          <w:tcPr>
            <w:tcW w:type="dxa" w:w="12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explorer</w:t>
            </w:r>
          </w:p>
        </w:tc>
        <w:tc>
          <w:tcPr>
            <w:tcW w:type="dxa" w:w="130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explorer_evidence_labels</w:t>
            </w:r>
          </w:p>
        </w:tc>
        <w:tc>
          <w:tcPr>
            <w:tcW w:type="dxa" w:w="130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docs/explorer-evidence.md</w:t>
            </w:r>
          </w:p>
        </w:tc>
        <w:tc>
          <w:tcPr>
            <w:tcW w:type="dxa" w:w="59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Planned</w:t>
            </w:r>
          </w:p>
        </w:tc>
      </w:tr>
      <w:tr>
        <w:tc>
          <w:tcPr>
            <w:tcW w:type="dxa" w:w="6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REQ-013</w:t>
            </w:r>
          </w:p>
        </w:tc>
        <w:tc>
          <w:tcPr>
            <w:tcW w:type="dxa" w:w="247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Public claims shall link to evidence bundle and status label.</w:t>
            </w:r>
          </w:p>
        </w:tc>
        <w:tc>
          <w:tcPr>
            <w:tcW w:type="dxa" w:w="8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EDS 4, 13</w:t>
            </w:r>
          </w:p>
        </w:tc>
        <w:tc>
          <w:tcPr>
            <w:tcW w:type="dxa" w:w="9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ADR-001, ADR-014</w:t>
            </w:r>
          </w:p>
        </w:tc>
        <w:tc>
          <w:tcPr>
            <w:tcW w:type="dxa" w:w="12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release review</w:t>
            </w:r>
          </w:p>
        </w:tc>
        <w:tc>
          <w:tcPr>
            <w:tcW w:type="dxa" w:w="130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claim_evidence_audit</w:t>
            </w:r>
          </w:p>
        </w:tc>
        <w:tc>
          <w:tcPr>
            <w:tcW w:type="dxa" w:w="130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docs/claim-policy.md</w:t>
            </w:r>
          </w:p>
        </w:tc>
        <w:tc>
          <w:tcPr>
            <w:tcW w:type="dxa" w:w="59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Planned</w:t>
            </w:r>
          </w:p>
        </w:tc>
      </w:tr>
      <w:tr>
        <w:tc>
          <w:tcPr>
            <w:tcW w:type="dxa" w:w="6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REQ-014</w:t>
            </w:r>
          </w:p>
        </w:tc>
        <w:tc>
          <w:tcPr>
            <w:tcW w:type="dxa" w:w="247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Experimental methods shall not be default canonical retrieval.</w:t>
            </w:r>
          </w:p>
        </w:tc>
        <w:tc>
          <w:tcPr>
            <w:tcW w:type="dxa" w:w="8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EDS 13.2</w:t>
            </w:r>
          </w:p>
        </w:tc>
        <w:tc>
          <w:tcPr>
            <w:tcW w:type="dxa" w:w="9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ADR-009</w:t>
            </w:r>
          </w:p>
        </w:tc>
        <w:tc>
          <w:tcPr>
            <w:tcW w:type="dxa" w:w="12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profiles / query-core</w:t>
            </w:r>
          </w:p>
        </w:tc>
        <w:tc>
          <w:tcPr>
            <w:tcW w:type="dxa" w:w="130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experimental_default_guard</w:t>
            </w:r>
          </w:p>
        </w:tc>
        <w:tc>
          <w:tcPr>
            <w:tcW w:type="dxa" w:w="130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docs/method-status.md</w:t>
            </w:r>
          </w:p>
        </w:tc>
        <w:tc>
          <w:tcPr>
            <w:tcW w:type="dxa" w:w="59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Planned</w:t>
            </w:r>
          </w:p>
        </w:tc>
      </w:tr>
      <w:tr>
        <w:tc>
          <w:tcPr>
            <w:tcW w:type="dxa" w:w="6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REQ-015</w:t>
            </w:r>
          </w:p>
        </w:tc>
        <w:tc>
          <w:tcPr>
            <w:tcW w:type="dxa" w:w="247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Standard local queries shall work without a service dependency.</w:t>
            </w:r>
          </w:p>
        </w:tc>
        <w:tc>
          <w:tcPr>
            <w:tcW w:type="dxa" w:w="8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EDS 11, 12, 14</w:t>
            </w:r>
          </w:p>
        </w:tc>
        <w:tc>
          <w:tcPr>
            <w:tcW w:type="dxa" w:w="9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ADR-010, ADR-011</w:t>
            </w:r>
          </w:p>
        </w:tc>
        <w:tc>
          <w:tcPr>
            <w:tcW w:type="dxa" w:w="12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reader / SDK</w:t>
            </w:r>
          </w:p>
        </w:tc>
        <w:tc>
          <w:tcPr>
            <w:tcW w:type="dxa" w:w="130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offline_reader_integration</w:t>
            </w:r>
          </w:p>
        </w:tc>
        <w:tc>
          <w:tcPr>
            <w:tcW w:type="dxa" w:w="130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docs/local-use.md</w:t>
            </w:r>
          </w:p>
        </w:tc>
        <w:tc>
          <w:tcPr>
            <w:tcW w:type="dxa" w:w="59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Planned</w:t>
            </w:r>
          </w:p>
        </w:tc>
      </w:tr>
      <w:tr>
        <w:tc>
          <w:tcPr>
            <w:tcW w:type="dxa" w:w="6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REQ-016</w:t>
            </w:r>
          </w:p>
        </w:tc>
        <w:tc>
          <w:tcPr>
            <w:tcW w:type="dxa" w:w="247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Correction and withdrawal shall preserve historical release state.</w:t>
            </w:r>
          </w:p>
        </w:tc>
        <w:tc>
          <w:tcPr>
            <w:tcW w:type="dxa" w:w="8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EDS 15.2</w:t>
            </w:r>
          </w:p>
        </w:tc>
        <w:tc>
          <w:tcPr>
            <w:tcW w:type="dxa" w:w="9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ADR-002, ADR-012</w:t>
            </w:r>
          </w:p>
        </w:tc>
        <w:tc>
          <w:tcPr>
            <w:tcW w:type="dxa" w:w="12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catalog</w:t>
            </w:r>
          </w:p>
        </w:tc>
        <w:tc>
          <w:tcPr>
            <w:tcW w:type="dxa" w:w="130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release_history_contract</w:t>
            </w:r>
          </w:p>
        </w:tc>
        <w:tc>
          <w:tcPr>
            <w:tcW w:type="dxa" w:w="130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docs/corrections.md</w:t>
            </w:r>
          </w:p>
        </w:tc>
        <w:tc>
          <w:tcPr>
            <w:tcW w:type="dxa" w:w="59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Planned</w:t>
            </w:r>
          </w:p>
        </w:tc>
      </w:tr>
      <w:tr>
        <w:tc>
          <w:tcPr>
            <w:tcW w:type="dxa" w:w="6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REQ-017</w:t>
            </w:r>
          </w:p>
        </w:tc>
        <w:tc>
          <w:tcPr>
            <w:tcW w:type="dxa" w:w="247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Release packages shall declare source and release licenses.</w:t>
            </w:r>
          </w:p>
        </w:tc>
        <w:tc>
          <w:tcPr>
            <w:tcW w:type="dxa" w:w="8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EDS 6, 15</w:t>
            </w:r>
          </w:p>
        </w:tc>
        <w:tc>
          <w:tcPr>
            <w:tcW w:type="dxa" w:w="9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ADR-012</w:t>
            </w:r>
          </w:p>
        </w:tc>
        <w:tc>
          <w:tcPr>
            <w:tcW w:type="dxa" w:w="12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release package</w:t>
            </w:r>
          </w:p>
        </w:tc>
        <w:tc>
          <w:tcPr>
            <w:tcW w:type="dxa" w:w="130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license_audit</w:t>
            </w:r>
          </w:p>
        </w:tc>
        <w:tc>
          <w:tcPr>
            <w:tcW w:type="dxa" w:w="130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docs/licensing.md</w:t>
            </w:r>
          </w:p>
        </w:tc>
        <w:tc>
          <w:tcPr>
            <w:tcW w:type="dxa" w:w="59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Planned</w:t>
            </w:r>
          </w:p>
        </w:tc>
      </w:tr>
      <w:tr>
        <w:tc>
          <w:tcPr>
            <w:tcW w:type="dxa" w:w="6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REQ-018</w:t>
            </w:r>
          </w:p>
        </w:tc>
        <w:tc>
          <w:tcPr>
            <w:tcW w:type="dxa" w:w="247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Plugins shall be versioned and capability-declared.</w:t>
            </w:r>
          </w:p>
        </w:tc>
        <w:tc>
          <w:tcPr>
            <w:tcW w:type="dxa" w:w="8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EDS 5.1</w:t>
            </w:r>
          </w:p>
        </w:tc>
        <w:tc>
          <w:tcPr>
            <w:tcW w:type="dxa" w:w="9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ADR-015</w:t>
            </w:r>
          </w:p>
        </w:tc>
        <w:tc>
          <w:tcPr>
            <w:tcW w:type="dxa" w:w="12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plugin host</w:t>
            </w:r>
          </w:p>
        </w:tc>
        <w:tc>
          <w:tcPr>
            <w:tcW w:type="dxa" w:w="130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capability_negotiation_contract</w:t>
            </w:r>
          </w:p>
        </w:tc>
        <w:tc>
          <w:tcPr>
            <w:tcW w:type="dxa" w:w="130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docs/plugins.md</w:t>
            </w:r>
          </w:p>
        </w:tc>
        <w:tc>
          <w:tcPr>
            <w:tcW w:type="dxa" w:w="59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Planned</w:t>
            </w:r>
          </w:p>
        </w:tc>
      </w:tr>
      <w:tr>
        <w:tc>
          <w:tcPr>
            <w:tcW w:type="dxa" w:w="6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REQ-019</w:t>
            </w:r>
          </w:p>
        </w:tc>
        <w:tc>
          <w:tcPr>
            <w:tcW w:type="dxa" w:w="247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Repository shall contain schemas, fixtures, and contributor workflow.</w:t>
            </w:r>
          </w:p>
        </w:tc>
        <w:tc>
          <w:tcPr>
            <w:tcW w:type="dxa" w:w="8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EDS 16</w:t>
            </w:r>
          </w:p>
        </w:tc>
        <w:tc>
          <w:tcPr>
            <w:tcW w:type="dxa" w:w="9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ADR-013</w:t>
            </w:r>
          </w:p>
        </w:tc>
        <w:tc>
          <w:tcPr>
            <w:tcW w:type="dxa" w:w="12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repository</w:t>
            </w:r>
          </w:p>
        </w:tc>
        <w:tc>
          <w:tcPr>
            <w:tcW w:type="dxa" w:w="130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repository_structure_ci</w:t>
            </w:r>
          </w:p>
        </w:tc>
        <w:tc>
          <w:tcPr>
            <w:tcW w:type="dxa" w:w="130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docs/contributing.md</w:t>
            </w:r>
          </w:p>
        </w:tc>
        <w:tc>
          <w:tcPr>
            <w:tcW w:type="dxa" w:w="59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Planned</w:t>
            </w:r>
          </w:p>
        </w:tc>
      </w:tr>
      <w:tr>
        <w:tc>
          <w:tcPr>
            <w:tcW w:type="dxa" w:w="6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REQ-020</w:t>
            </w:r>
          </w:p>
        </w:tc>
        <w:tc>
          <w:tcPr>
            <w:tcW w:type="dxa" w:w="247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Accepted architectural decisions shall have ADRs with rationale and consequences.</w:t>
            </w:r>
          </w:p>
        </w:tc>
        <w:tc>
          <w:tcPr>
            <w:tcW w:type="dxa" w:w="8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EDS Appendix B</w:t>
            </w:r>
          </w:p>
        </w:tc>
        <w:tc>
          <w:tcPr>
            <w:tcW w:type="dxa" w:w="9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ADR-013</w:t>
            </w:r>
          </w:p>
        </w:tc>
        <w:tc>
          <w:tcPr>
            <w:tcW w:type="dxa" w:w="12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specification/adr</w:t>
            </w:r>
          </w:p>
        </w:tc>
        <w:tc>
          <w:tcPr>
            <w:tcW w:type="dxa" w:w="130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adr_registry_audit</w:t>
            </w:r>
          </w:p>
        </w:tc>
        <w:tc>
          <w:tcPr>
            <w:tcW w:type="dxa" w:w="130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docs/architecture-governance.md</w:t>
            </w:r>
          </w:p>
        </w:tc>
        <w:tc>
          <w:tcPr>
            <w:tcW w:type="dxa" w:w="59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Planned</w:t>
            </w:r>
          </w:p>
        </w:tc>
      </w:tr>
      <w:tr>
        <w:tc>
          <w:tcPr>
            <w:tcW w:type="dxa" w:w="6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REQ-021</w:t>
            </w:r>
          </w:p>
        </w:tc>
        <w:tc>
          <w:tcPr>
            <w:tcW w:type="dxa" w:w="247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Release Reader shall reject unverified artifact digests for trusted operation.</w:t>
            </w:r>
          </w:p>
        </w:tc>
        <w:tc>
          <w:tcPr>
            <w:tcW w:type="dxa" w:w="8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EDS 15.3</w:t>
            </w:r>
          </w:p>
        </w:tc>
        <w:tc>
          <w:tcPr>
            <w:tcW w:type="dxa" w:w="9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ADR-012</w:t>
            </w:r>
          </w:p>
        </w:tc>
        <w:tc>
          <w:tcPr>
            <w:tcW w:type="dxa" w:w="12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reader</w:t>
            </w:r>
          </w:p>
        </w:tc>
        <w:tc>
          <w:tcPr>
            <w:tcW w:type="dxa" w:w="130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integrity_rejection_contract</w:t>
            </w:r>
          </w:p>
        </w:tc>
        <w:tc>
          <w:tcPr>
            <w:tcW w:type="dxa" w:w="130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docs/trust-model.md</w:t>
            </w:r>
          </w:p>
        </w:tc>
        <w:tc>
          <w:tcPr>
            <w:tcW w:type="dxa" w:w="59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Planned</w:t>
            </w:r>
          </w:p>
        </w:tc>
      </w:tr>
      <w:tr>
        <w:tc>
          <w:tcPr>
            <w:tcW w:type="dxa" w:w="6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REQ-022</w:t>
            </w:r>
          </w:p>
        </w:tc>
        <w:tc>
          <w:tcPr>
            <w:tcW w:type="dxa" w:w="247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Plugin host shall reject unverified or incompatible capability descriptors.</w:t>
            </w:r>
          </w:p>
        </w:tc>
        <w:tc>
          <w:tcPr>
            <w:tcW w:type="dxa" w:w="8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EDS 5.1, 15.3</w:t>
            </w:r>
          </w:p>
        </w:tc>
        <w:tc>
          <w:tcPr>
            <w:tcW w:type="dxa" w:w="9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ADR-015</w:t>
            </w:r>
          </w:p>
        </w:tc>
        <w:tc>
          <w:tcPr>
            <w:tcW w:type="dxa" w:w="12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plugin host</w:t>
            </w:r>
          </w:p>
        </w:tc>
        <w:tc>
          <w:tcPr>
            <w:tcW w:type="dxa" w:w="130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plugin_trust_contract</w:t>
            </w:r>
          </w:p>
        </w:tc>
        <w:tc>
          <w:tcPr>
            <w:tcW w:type="dxa" w:w="130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docs/plugins.md</w:t>
            </w:r>
          </w:p>
        </w:tc>
        <w:tc>
          <w:tcPr>
            <w:tcW w:type="dxa" w:w="59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Planned</w:t>
            </w:r>
          </w:p>
        </w:tc>
      </w:tr>
      <w:tr>
        <w:tc>
          <w:tcPr>
            <w:tcW w:type="dxa" w:w="6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REQ-023</w:t>
            </w:r>
          </w:p>
        </w:tc>
        <w:tc>
          <w:tcPr>
            <w:tcW w:type="dxa" w:w="247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Pagination cursors shall bind release, request, ordering, and last emitted key.</w:t>
            </w:r>
          </w:p>
        </w:tc>
        <w:tc>
          <w:tcPr>
            <w:tcW w:type="dxa" w:w="8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EDS 12.4</w:t>
            </w:r>
          </w:p>
        </w:tc>
        <w:tc>
          <w:tcPr>
            <w:tcW w:type="dxa" w:w="9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ADR-016</w:t>
            </w:r>
          </w:p>
        </w:tc>
        <w:tc>
          <w:tcPr>
            <w:tcW w:type="dxa" w:w="12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query-core</w:t>
            </w:r>
          </w:p>
        </w:tc>
        <w:tc>
          <w:tcPr>
            <w:tcW w:type="dxa" w:w="130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cursor_stability_contract</w:t>
            </w:r>
          </w:p>
        </w:tc>
        <w:tc>
          <w:tcPr>
            <w:tcW w:type="dxa" w:w="130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docs/pagination.md</w:t>
            </w:r>
          </w:p>
        </w:tc>
        <w:tc>
          <w:tcPr>
            <w:tcW w:type="dxa" w:w="59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Planned</w:t>
            </w:r>
          </w:p>
        </w:tc>
      </w:tr>
      <w:tr>
        <w:tc>
          <w:tcPr>
            <w:tcW w:type="dxa" w:w="6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REQ-024</w:t>
            </w:r>
          </w:p>
        </w:tc>
        <w:tc>
          <w:tcPr>
            <w:tcW w:type="dxa" w:w="247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Query Core shall not silently weaken filters, metrics, or exactness mode.</w:t>
            </w:r>
          </w:p>
        </w:tc>
        <w:tc>
          <w:tcPr>
            <w:tcW w:type="dxa" w:w="8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EDS 12.1-12.4</w:t>
            </w:r>
          </w:p>
        </w:tc>
        <w:tc>
          <w:tcPr>
            <w:tcW w:type="dxa" w:w="9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ADR-016</w:t>
            </w:r>
          </w:p>
        </w:tc>
        <w:tc>
          <w:tcPr>
            <w:tcW w:type="dxa" w:w="12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query-core</w:t>
            </w:r>
          </w:p>
        </w:tc>
        <w:tc>
          <w:tcPr>
            <w:tcW w:type="dxa" w:w="130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query_semantics_contract</w:t>
            </w:r>
          </w:p>
        </w:tc>
        <w:tc>
          <w:tcPr>
            <w:tcW w:type="dxa" w:w="130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docs/query-results.md</w:t>
            </w:r>
          </w:p>
        </w:tc>
        <w:tc>
          <w:tcPr>
            <w:tcW w:type="dxa" w:w="59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Planned</w:t>
            </w:r>
          </w:p>
        </w:tc>
      </w:tr>
      <w:tr>
        <w:tc>
          <w:tcPr>
            <w:tcW w:type="dxa" w:w="6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REQ-025</w:t>
            </w:r>
          </w:p>
        </w:tc>
        <w:tc>
          <w:tcPr>
            <w:tcW w:type="dxa" w:w="247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Builder stages shall expose typed input, output, failure, recovery, and verification envelopes.</w:t>
            </w:r>
          </w:p>
        </w:tc>
        <w:tc>
          <w:tcPr>
            <w:tcW w:type="dxa" w:w="8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EDS 9.5, 9.6</w:t>
            </w:r>
          </w:p>
        </w:tc>
        <w:tc>
          <w:tcPr>
            <w:tcW w:type="dxa" w:w="9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ADR-008</w:t>
            </w:r>
          </w:p>
        </w:tc>
        <w:tc>
          <w:tcPr>
            <w:tcW w:type="dxa" w:w="125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atlas-builder</w:t>
            </w:r>
          </w:p>
        </w:tc>
        <w:tc>
          <w:tcPr>
            <w:tcW w:type="dxa" w:w="130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stage_envelope_contract</w:t>
            </w:r>
          </w:p>
        </w:tc>
        <w:tc>
          <w:tcPr>
            <w:tcW w:type="dxa" w:w="130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docs/builder-stages.md</w:t>
            </w:r>
          </w:p>
        </w:tc>
        <w:tc>
          <w:tcPr>
            <w:tcW w:type="dxa" w:w="590"/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 w:val="0"/>
                <w:sz w:val="13"/>
              </w:rPr>
              <w:t>Planned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3. Traceability maintenance</w:t>
      </w:r>
    </w:p>
    <w:p>
      <w:r>
        <w:rPr>
          <w:rFonts w:ascii="Calibri" w:hAnsi="Calibri"/>
          <w:sz w:val="22"/>
        </w:rPr>
        <w:t>[NORMATIVE] The implementation, test, and documentation cells are intentionally Planned until named source artifacts and passing CI evidence exist. A future update must replace a planned placeholder with exact repository paths, test IDs, build references, and evidence dates; it must not change status merely because code is believed to exist.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4. Change and waiver rules</w:t>
      </w:r>
    </w:p>
    <w:p>
      <w:pPr>
        <w:pStyle w:val="ListBullet"/>
        <w:spacing w:after="80" w:line="288" w:lineRule="auto"/>
      </w:pPr>
      <w:r>
        <w:rPr>
          <w:rFonts w:ascii="Calibri" w:hAnsi="Calibri"/>
          <w:sz w:val="21"/>
        </w:rPr>
        <w:t>Requirement IDs are never recycled. Retired requirements remain visible with successor or retirement rationale.</w:t>
      </w:r>
    </w:p>
    <w:p>
      <w:pPr>
        <w:pStyle w:val="ListBullet"/>
        <w:spacing w:after="80" w:line="288" w:lineRule="auto"/>
      </w:pPr>
      <w:r>
        <w:rPr>
          <w:rFonts w:ascii="Calibri" w:hAnsi="Calibri"/>
          <w:sz w:val="21"/>
        </w:rPr>
        <w:t>A waiver names scope, owner, rationale, risk, approval, expiry/review date, and affected release/build IDs.</w:t>
      </w:r>
    </w:p>
    <w:p>
      <w:pPr>
        <w:pStyle w:val="ListBullet"/>
        <w:spacing w:after="80" w:line="288" w:lineRule="auto"/>
      </w:pPr>
      <w:r>
        <w:rPr>
          <w:rFonts w:ascii="Calibri" w:hAnsi="Calibri"/>
          <w:sz w:val="21"/>
        </w:rPr>
        <w:t>An architectural requirement change triggers ADR review. A purely editorial clarification updates EDS and ERS traceability together.</w:t>
      </w:r>
    </w:p>
    <w:p>
      <w:pPr>
        <w:pStyle w:val="ListBullet"/>
        <w:spacing w:after="80" w:line="288" w:lineRule="auto"/>
      </w:pPr>
      <w:r>
        <w:rPr>
          <w:rFonts w:ascii="Calibri" w:hAnsi="Calibri"/>
          <w:sz w:val="21"/>
        </w:rPr>
        <w:t>The ERS is published with the EDS and release documentation; it is not embedded in a generated build log.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EXPEDIA Requirements Specification (ERS) v1.0</dc:title>
  <dc:subject/>
  <dc:creator>EXPEDIA Architecture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