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b/>
          <w:i w:val="0"/>
          <w:color w:val="2E74B5"/>
          <w:sz w:val="22"/>
        </w:rPr>
        <w:t>EXPEDIA</w:t>
      </w:r>
    </w:p>
    <w:p>
      <w:pPr>
        <w:spacing w:before="0" w:after="60" w:line="264" w:lineRule="auto"/>
      </w:pPr>
      <w:r>
        <w:rPr>
          <w:rFonts w:ascii="Calibri" w:hAnsi="Calibri"/>
          <w:b/>
          <w:i w:val="0"/>
          <w:color w:val="0B2545"/>
          <w:sz w:val="44"/>
        </w:rPr>
        <w:t>EDS v2.1.1 proposed normative patch</w:t>
      </w:r>
    </w:p>
    <w:p>
      <w:pPr>
        <w:spacing w:before="0" w:after="320" w:line="264" w:lineRule="auto"/>
      </w:pPr>
      <w:r>
        <w:rPr>
          <w:rFonts w:ascii="Calibri" w:hAnsi="Calibri"/>
          <w:b w:val="0"/>
          <w:i w:val="0"/>
          <w:color w:val="596373"/>
          <w:sz w:val="28"/>
        </w:rPr>
        <w:t>M1 deterministic execution environments</w:t>
      </w:r>
    </w:p>
    <w:p>
      <w:pPr>
        <w:spacing w:after="40"/>
      </w:pPr>
      <w:r>
        <w:rPr>
          <w:rFonts w:ascii="Calibri" w:hAnsi="Calibri"/>
          <w:b/>
          <w:color w:val="0B2545"/>
          <w:sz w:val="21"/>
        </w:rPr>
        <w:t xml:space="preserve">Status: </w:t>
      </w:r>
      <w:r>
        <w:rPr>
          <w:rFonts w:ascii="Calibri" w:hAnsi="Calibri"/>
          <w:color w:val="0B2545"/>
          <w:sz w:val="21"/>
        </w:rPr>
        <w:t>Proposed controlled amendment; not effective until accepted by the M1 Release Owner</w:t>
      </w:r>
    </w:p>
    <w:p>
      <w:pPr>
        <w:spacing w:after="40"/>
      </w:pPr>
      <w:r>
        <w:rPr>
          <w:rFonts w:ascii="Calibri" w:hAnsi="Calibri"/>
          <w:b/>
          <w:color w:val="0B2545"/>
          <w:sz w:val="21"/>
        </w:rPr>
        <w:t xml:space="preserve">Target: </w:t>
      </w:r>
      <w:r>
        <w:rPr>
          <w:rFonts w:ascii="Calibri" w:hAnsi="Calibri"/>
          <w:color w:val="0B2545"/>
          <w:sz w:val="21"/>
        </w:rPr>
        <w:t>EXPEDIA_Design_Specification_EDS_v2.1.docx</w:t>
      </w:r>
    </w:p>
    <w:p>
      <w:pPr>
        <w:spacing w:after="40"/>
      </w:pPr>
      <w:r>
        <w:rPr>
          <w:rFonts w:ascii="Calibri" w:hAnsi="Calibri"/>
          <w:b/>
          <w:color w:val="0B2545"/>
          <w:sz w:val="21"/>
        </w:rPr>
        <w:t xml:space="preserve">Scope: </w:t>
      </w:r>
      <w:r>
        <w:rPr>
          <w:rFonts w:ascii="Calibri" w:hAnsi="Calibri"/>
          <w:color w:val="0B2545"/>
          <w:sz w:val="21"/>
        </w:rPr>
        <w:t>M1 embedding execution policy only</w:t>
      </w:r>
    </w:p>
    <w:p>
      <w:pPr>
        <w:spacing w:after="40"/>
      </w:pPr>
      <w:r>
        <w:rPr>
          <w:rFonts w:ascii="Calibri" w:hAnsi="Calibri"/>
          <w:b/>
          <w:color w:val="0B2545"/>
          <w:sz w:val="21"/>
        </w:rPr>
        <w:t xml:space="preserve">Non-goals: </w:t>
      </w:r>
      <w:r>
        <w:rPr>
          <w:rFonts w:ascii="Calibri" w:hAnsi="Calibri"/>
          <w:color w:val="0B2545"/>
          <w:sz w:val="21"/>
        </w:rPr>
        <w:t>No change to M1 architecture, milestones, contracts, schemas, canonicalization, embedding representation, model, tokenizer, pooling, normalization, vector format, or governance model</w:t>
      </w:r>
    </w:p>
    <w:p>
      <w:pPr>
        <w:keepNext/>
        <w:spacing w:before="320" w:after="160"/>
      </w:pPr>
      <w:r>
        <w:rPr>
          <w:rFonts w:ascii="Calibri" w:hAnsi="Calibri"/>
          <w:b/>
          <w:color w:val="2E74B5"/>
          <w:sz w:val="32"/>
        </w:rPr>
        <w:t>Decision</w:t>
      </w:r>
    </w:p>
    <w:p>
      <w:pPr>
        <w:spacing w:before="40" w:after="200" w:line="264" w:lineRule="auto"/>
        <w:shd w:fill="E8EEF5"/>
      </w:pPr>
      <w:r>
        <w:rPr>
          <w:rFonts w:ascii="Calibri" w:hAnsi="Calibri"/>
          <w:b/>
          <w:i w:val="0"/>
          <w:color w:val="0B2545"/>
          <w:sz w:val="22"/>
        </w:rPr>
        <w:t>M1 release eligibility MUST be determined by embedding-profile conformance, pinned model and tokenizer identities, an Approved Deterministic Execution Environment (ADEE), complete provenance, and successful contract validation. Processor type alone MUST NOT determine release eligibility or EmbeddingProfile identity.</w:t>
      </w:r>
    </w:p>
    <w:p>
      <w:pPr>
        <w:spacing w:before="0" w:after="120" w:line="264" w:lineRule="auto"/>
      </w:pPr>
      <w:r>
        <w:rPr>
          <w:rFonts w:ascii="Calibri" w:hAnsi="Calibri"/>
          <w:b w:val="0"/>
          <w:i w:val="0"/>
          <w:color w:val="0B2545"/>
          <w:sz w:val="22"/>
        </w:rPr>
        <w:t>An ADEE is a versioned, digest-pinned execution declaration selected by one BuildManifest. It MAY use CPU or validated accelerator hardware. It MUST record processor or accelerator identity, operating-system and Python versions, numeric-library versions, precision policy, deterministic controls, batching policy, model and tokenizer pins, and validation evidence. A BuildRun MUST use one ADEE for a given embedding shard and MUST NOT silently fall back or mix environments.</w:t>
      </w:r>
    </w:p>
    <w:p>
      <w:pPr>
        <w:keepNext/>
        <w:spacing w:before="320" w:after="160"/>
      </w:pPr>
      <w:r>
        <w:rPr>
          <w:rFonts w:ascii="Calibri" w:hAnsi="Calibri"/>
          <w:b/>
          <w:color w:val="2E74B5"/>
          <w:sz w:val="32"/>
        </w:rPr>
        <w:t>Approved M1 execution environment</w:t>
      </w:r>
    </w:p>
    <w:p>
      <w:pPr>
        <w:spacing w:after="40"/>
      </w:pPr>
      <w:r>
        <w:rPr>
          <w:rFonts w:ascii="Calibri" w:hAnsi="Calibri"/>
          <w:b/>
          <w:color w:val="0B2545"/>
          <w:sz w:val="21"/>
        </w:rPr>
        <w:t xml:space="preserve">Execution-environment ID: </w:t>
      </w:r>
      <w:r>
        <w:rPr>
          <w:rFonts w:ascii="Calibri" w:hAnsi="Calibri"/>
          <w:color w:val="0B2545"/>
          <w:sz w:val="21"/>
        </w:rPr>
        <w:t>m1-generanno-t4-cuda12.1-fp32-deterministic-v1</w:t>
      </w:r>
    </w:p>
    <w:p>
      <w:pPr>
        <w:spacing w:after="40"/>
      </w:pPr>
      <w:r>
        <w:rPr>
          <w:rFonts w:ascii="Calibri" w:hAnsi="Calibri"/>
          <w:b/>
          <w:color w:val="0B2545"/>
          <w:sz w:val="21"/>
        </w:rPr>
        <w:t xml:space="preserve">Accelerator: </w:t>
      </w:r>
      <w:r>
        <w:rPr>
          <w:rFonts w:ascii="Calibri" w:hAnsi="Calibri"/>
          <w:color w:val="0B2545"/>
          <w:sz w:val="21"/>
        </w:rPr>
        <w:t>Tesla T4; CUDA 12.1</w:t>
      </w:r>
    </w:p>
    <w:p>
      <w:pPr>
        <w:spacing w:after="40"/>
      </w:pPr>
      <w:r>
        <w:rPr>
          <w:rFonts w:ascii="Calibri" w:hAnsi="Calibri"/>
          <w:b/>
          <w:color w:val="0B2545"/>
          <w:sz w:val="21"/>
        </w:rPr>
        <w:t xml:space="preserve">Runtime: </w:t>
      </w:r>
      <w:r>
        <w:rPr>
          <w:rFonts w:ascii="Calibri" w:hAnsi="Calibri"/>
          <w:color w:val="0B2545"/>
          <w:sz w:val="21"/>
        </w:rPr>
        <w:t>Python 3.12.13; PyTorch 2.4.1+cu121; Transformers 4.44.0</w:t>
      </w:r>
    </w:p>
    <w:p>
      <w:pPr>
        <w:spacing w:after="40"/>
      </w:pPr>
      <w:r>
        <w:rPr>
          <w:rFonts w:ascii="Calibri" w:hAnsi="Calibri"/>
          <w:b/>
          <w:color w:val="0B2545"/>
          <w:sz w:val="21"/>
        </w:rPr>
        <w:t xml:space="preserve">Deterministic controls: </w:t>
      </w:r>
      <w:r>
        <w:rPr>
          <w:rFonts w:ascii="Calibri" w:hAnsi="Calibri"/>
          <w:color w:val="0B2545"/>
          <w:sz w:val="21"/>
        </w:rPr>
        <w:t>float32; deterministic algorithms enabled; TF32 disabled; CUBLAS_WORKSPACE_CONFIG=:4096:8</w:t>
      </w:r>
    </w:p>
    <w:p>
      <w:pPr>
        <w:spacing w:before="0" w:after="200" w:line="264" w:lineRule="auto"/>
      </w:pPr>
      <w:r>
        <w:rPr>
          <w:rFonts w:ascii="Calibri" w:hAnsi="Calibri"/>
          <w:b w:val="0"/>
          <w:i/>
          <w:color w:val="596373"/>
          <w:sz w:val="22"/>
        </w:rPr>
        <w:t>This approves an execution environment, not a new EmbeddingProfile or a GPU-specific profile. The M1 profile remains m1-generanno-prokaryote-0.5b-assembly-v1.</w:t>
      </w:r>
    </w:p>
    <w:p>
      <w:pPr>
        <w:keepNext/>
        <w:spacing w:before="320" w:after="160"/>
      </w:pPr>
      <w:r>
        <w:rPr>
          <w:rFonts w:ascii="Calibri" w:hAnsi="Calibri"/>
          <w:b/>
          <w:color w:val="2E74B5"/>
          <w:sz w:val="32"/>
        </w:rPr>
        <w:t>Exact EDS v2.1 clauses amended</w:t>
      </w:r>
    </w:p>
    <w:p>
      <w:pPr>
        <w:keepNext/>
        <w:spacing w:before="200" w:after="60"/>
      </w:pPr>
      <w:r>
        <w:rPr>
          <w:rFonts w:ascii="Calibri" w:hAnsi="Calibri"/>
          <w:b/>
          <w:color w:val="1F4D78"/>
          <w:sz w:val="24"/>
        </w:rPr>
        <w:t>1. §5.1, plugin capability negotiation, paragraph beginning “The host MUST reject a plugin…”</w:t>
      </w:r>
    </w:p>
    <w:p>
      <w:pPr>
        <w:spacing w:after="80" w:line="259" w:lineRule="auto"/>
        <w:ind w:left="259" w:right="144"/>
        <w:shd w:fill="F4F6F9"/>
      </w:pPr>
      <w:r>
        <w:rPr>
          <w:rFonts w:ascii="Calibri" w:hAnsi="Calibri"/>
          <w:b/>
          <w:color w:val="0B2545"/>
          <w:sz w:val="20"/>
        </w:rPr>
        <w:t xml:space="preserve">Normative replacement/addition. </w:t>
      </w:r>
      <w:r>
        <w:rPr>
          <w:rFonts w:ascii="Calibri" w:hAnsi="Calibri"/>
          <w:color w:val="0B2545"/>
          <w:sz w:val="20"/>
        </w:rPr>
        <w:t>Append: “Processor type is an execution-environment property, not an EmbeddingProfile identity. A BuildRun MAY select CPU or accelerator execution only through an ADEE declared in the BuildManifest and runner provenance. It MUST reject an undeclared, incompatible, or unverifiable ADEE and MUST NOT silently mix or fall back between environments.”</w:t>
      </w:r>
    </w:p>
    <w:p>
      <w:pPr>
        <w:spacing w:after="100"/>
        <w:ind w:left="259"/>
      </w:pPr>
      <w:r>
        <w:rPr>
          <w:rFonts w:ascii="Calibri" w:hAnsi="Calibri"/>
          <w:b/>
          <w:color w:val="596373"/>
          <w:sz w:val="21"/>
        </w:rPr>
        <w:t xml:space="preserve">Rationale. </w:t>
      </w:r>
      <w:r>
        <w:rPr>
          <w:rFonts w:ascii="Calibri" w:hAnsi="Calibri"/>
          <w:color w:val="596373"/>
          <w:sz w:val="21"/>
        </w:rPr>
        <w:t>Retains the existing no-fallback rule while allowing an explicitly selected, validated accelerator.</w:t>
      </w:r>
    </w:p>
    <w:p>
      <w:pPr>
        <w:keepNext/>
        <w:spacing w:before="200" w:after="60"/>
      </w:pPr>
      <w:r>
        <w:rPr>
          <w:rFonts w:ascii="Calibri" w:hAnsi="Calibri"/>
          <w:b/>
          <w:color w:val="1F4D78"/>
          <w:sz w:val="24"/>
        </w:rPr>
        <w:t>2. §8.2, required-profile-declaration table, provenance row</w:t>
      </w:r>
    </w:p>
    <w:p>
      <w:pPr>
        <w:spacing w:after="80" w:line="259" w:lineRule="auto"/>
        <w:ind w:left="259" w:right="144"/>
        <w:shd w:fill="F4F6F9"/>
      </w:pPr>
      <w:r>
        <w:rPr>
          <w:rFonts w:ascii="Calibri" w:hAnsi="Calibri"/>
          <w:b/>
          <w:color w:val="0B2545"/>
          <w:sz w:val="20"/>
        </w:rPr>
        <w:t xml:space="preserve">Normative replacement/addition. </w:t>
      </w:r>
      <w:r>
        <w:rPr>
          <w:rFonts w:ascii="Calibri" w:hAnsi="Calibri"/>
          <w:color w:val="0B2545"/>
          <w:sz w:val="20"/>
        </w:rPr>
        <w:t>Replace the Requirement cell with: “Runner/plugin version, ADEE identifier and declaration digest, environment lock, license, creator, and created time.”</w:t>
      </w:r>
    </w:p>
    <w:p>
      <w:pPr>
        <w:spacing w:after="100"/>
        <w:ind w:left="259"/>
      </w:pPr>
      <w:r>
        <w:rPr>
          <w:rFonts w:ascii="Calibri" w:hAnsi="Calibri"/>
          <w:b/>
          <w:color w:val="596373"/>
          <w:sz w:val="21"/>
        </w:rPr>
        <w:t xml:space="preserve">Rationale. </w:t>
      </w:r>
      <w:r>
        <w:rPr>
          <w:rFonts w:ascii="Calibri" w:hAnsi="Calibri"/>
          <w:color w:val="596373"/>
          <w:sz w:val="21"/>
        </w:rPr>
        <w:t>Makes execution provenance reproducible without making processor type a profile identifier.</w:t>
      </w:r>
    </w:p>
    <w:p>
      <w:pPr>
        <w:keepNext/>
        <w:spacing w:before="200" w:after="60"/>
      </w:pPr>
      <w:r>
        <w:rPr>
          <w:rFonts w:ascii="Calibri" w:hAnsi="Calibri"/>
          <w:b/>
          <w:color w:val="1F4D78"/>
          <w:sz w:val="24"/>
        </w:rPr>
        <w:t>3. §9.2, Builder manifest</w:t>
      </w:r>
    </w:p>
    <w:p>
      <w:pPr>
        <w:spacing w:after="80" w:line="259" w:lineRule="auto"/>
        <w:ind w:left="259" w:right="144"/>
        <w:shd w:fill="F4F6F9"/>
      </w:pPr>
      <w:r>
        <w:rPr>
          <w:rFonts w:ascii="Calibri" w:hAnsi="Calibri"/>
          <w:b/>
          <w:color w:val="0B2545"/>
          <w:sz w:val="20"/>
        </w:rPr>
        <w:t xml:space="preserve">Normative replacement/addition. </w:t>
      </w:r>
      <w:r>
        <w:rPr>
          <w:rFonts w:ascii="Calibri" w:hAnsi="Calibri"/>
          <w:color w:val="0B2545"/>
          <w:sz w:val="20"/>
        </w:rPr>
        <w:t>Insert “selected ADEE identifier and declaration digest” after “plugin versions/configuration digests.”</w:t>
      </w:r>
    </w:p>
    <w:p>
      <w:pPr>
        <w:spacing w:after="100"/>
        <w:ind w:left="259"/>
      </w:pPr>
      <w:r>
        <w:rPr>
          <w:rFonts w:ascii="Calibri" w:hAnsi="Calibri"/>
          <w:b/>
          <w:color w:val="596373"/>
          <w:sz w:val="21"/>
        </w:rPr>
        <w:t xml:space="preserve">Rationale. </w:t>
      </w:r>
      <w:r>
        <w:rPr>
          <w:rFonts w:ascii="Calibri" w:hAnsi="Calibri"/>
          <w:color w:val="596373"/>
          <w:sz w:val="21"/>
        </w:rPr>
        <w:t>Makes the execution environment an explicit, content-addressed build input.</w:t>
      </w:r>
    </w:p>
    <w:p>
      <w:pPr>
        <w:keepNext/>
        <w:spacing w:before="200" w:after="60"/>
      </w:pPr>
      <w:r>
        <w:rPr>
          <w:rFonts w:ascii="Calibri" w:hAnsi="Calibri"/>
          <w:b/>
          <w:color w:val="1F4D78"/>
          <w:sz w:val="24"/>
        </w:rPr>
        <w:t>4. §9.3, content-addressed execution</w:t>
      </w:r>
    </w:p>
    <w:p>
      <w:pPr>
        <w:spacing w:after="80" w:line="259" w:lineRule="auto"/>
        <w:ind w:left="259" w:right="144"/>
        <w:shd w:fill="F4F6F9"/>
      </w:pPr>
      <w:r>
        <w:rPr>
          <w:rFonts w:ascii="Calibri" w:hAnsi="Calibri"/>
          <w:b/>
          <w:color w:val="0B2545"/>
          <w:sz w:val="20"/>
        </w:rPr>
        <w:t xml:space="preserve">Normative replacement/addition. </w:t>
      </w:r>
      <w:r>
        <w:rPr>
          <w:rFonts w:ascii="Calibri" w:hAnsi="Calibri"/>
          <w:color w:val="0B2545"/>
          <w:sz w:val="20"/>
        </w:rPr>
        <w:t>Replace the reuse condition with: “A stage MAY reuse an existing artifact only when its input digests, plugin identity, configuration digest, ADEE declaration digest, and schema compatibility match.”</w:t>
      </w:r>
    </w:p>
    <w:p>
      <w:pPr>
        <w:spacing w:after="100"/>
        <w:ind w:left="259"/>
      </w:pPr>
      <w:r>
        <w:rPr>
          <w:rFonts w:ascii="Calibri" w:hAnsi="Calibri"/>
          <w:b/>
          <w:color w:val="596373"/>
          <w:sz w:val="21"/>
        </w:rPr>
        <w:t xml:space="preserve">Rationale. </w:t>
      </w:r>
      <w:r>
        <w:rPr>
          <w:rFonts w:ascii="Calibri" w:hAnsi="Calibri"/>
          <w:color w:val="596373"/>
          <w:sz w:val="21"/>
        </w:rPr>
        <w:t>Prevents cross-environment artifact reuse from becoming undocumented provenance.</w:t>
      </w:r>
    </w:p>
    <w:p>
      <w:pPr>
        <w:keepNext/>
        <w:spacing w:before="200" w:after="60"/>
      </w:pPr>
      <w:r>
        <w:rPr>
          <w:rFonts w:ascii="Calibri" w:hAnsi="Calibri"/>
          <w:b/>
          <w:color w:val="1F4D78"/>
          <w:sz w:val="24"/>
        </w:rPr>
        <w:t>5. §9.4, deterministic and non-deterministic output policy</w:t>
      </w:r>
    </w:p>
    <w:p>
      <w:pPr>
        <w:spacing w:after="80" w:line="259" w:lineRule="auto"/>
        <w:ind w:left="259" w:right="144"/>
        <w:shd w:fill="F4F6F9"/>
      </w:pPr>
      <w:r>
        <w:rPr>
          <w:rFonts w:ascii="Calibri" w:hAnsi="Calibri"/>
          <w:b/>
          <w:color w:val="0B2545"/>
          <w:sz w:val="20"/>
        </w:rPr>
        <w:t xml:space="preserve">Normative replacement/addition. </w:t>
      </w:r>
      <w:r>
        <w:rPr>
          <w:rFonts w:ascii="Calibri" w:hAnsi="Calibri"/>
          <w:color w:val="0B2545"/>
          <w:sz w:val="20"/>
        </w:rPr>
        <w:t>Replace the final bullet with: “Embedding output submitted as deterministic MUST record its ADEE, deterministic controls, seeds where applicable, and expected tolerance. An ADEE is release-eligible only when deterministic reproduction is demonstrated under its declared configuration. If reproducibility cannot be demonstrated, the output remains Experimental.”</w:t>
      </w:r>
    </w:p>
    <w:p>
      <w:pPr>
        <w:spacing w:after="100"/>
        <w:ind w:left="259"/>
      </w:pPr>
      <w:r>
        <w:rPr>
          <w:rFonts w:ascii="Calibri" w:hAnsi="Calibri"/>
          <w:b/>
          <w:color w:val="596373"/>
          <w:sz w:val="21"/>
        </w:rPr>
        <w:t xml:space="preserve">Rationale. </w:t>
      </w:r>
      <w:r>
        <w:rPr>
          <w:rFonts w:ascii="Calibri" w:hAnsi="Calibri"/>
          <w:color w:val="596373"/>
          <w:sz w:val="21"/>
        </w:rPr>
        <w:t>Defines an environment-neutral release gate without changing representation semantics.</w:t>
      </w:r>
    </w:p>
    <w:p>
      <w:pPr>
        <w:keepNext/>
        <w:spacing w:before="200" w:after="60"/>
      </w:pPr>
      <w:r>
        <w:rPr>
          <w:rFonts w:ascii="Calibri" w:hAnsi="Calibri"/>
          <w:b/>
          <w:color w:val="1F4D78"/>
          <w:sz w:val="24"/>
        </w:rPr>
        <w:t>6. §9.1, reference-pipeline table, Embed quality gate</w:t>
      </w:r>
    </w:p>
    <w:p>
      <w:pPr>
        <w:spacing w:after="80" w:line="259" w:lineRule="auto"/>
        <w:ind w:left="259" w:right="144"/>
        <w:shd w:fill="F4F6F9"/>
      </w:pPr>
      <w:r>
        <w:rPr>
          <w:rFonts w:ascii="Calibri" w:hAnsi="Calibri"/>
          <w:b/>
          <w:color w:val="0B2545"/>
          <w:sz w:val="20"/>
        </w:rPr>
        <w:t xml:space="preserve">Normative replacement/addition. </w:t>
      </w:r>
      <w:r>
        <w:rPr>
          <w:rFonts w:ascii="Calibri" w:hAnsi="Calibri"/>
          <w:color w:val="0B2545"/>
          <w:sz w:val="20"/>
        </w:rPr>
        <w:t>Replace the quality gate with: “Profile and ADEE match; pinned model/tokenizer verification; expected dimension; numeric sanity; deterministic-reproduction evidence; shard checksum. Failure: record-level failure ledger.”</w:t>
      </w:r>
    </w:p>
    <w:p>
      <w:pPr>
        <w:spacing w:after="100"/>
        <w:ind w:left="259"/>
      </w:pPr>
      <w:r>
        <w:rPr>
          <w:rFonts w:ascii="Calibri" w:hAnsi="Calibri"/>
          <w:b/>
          <w:color w:val="596373"/>
          <w:sz w:val="21"/>
        </w:rPr>
        <w:t xml:space="preserve">Rationale. </w:t>
      </w:r>
      <w:r>
        <w:rPr>
          <w:rFonts w:ascii="Calibri" w:hAnsi="Calibri"/>
          <w:color w:val="596373"/>
          <w:sz w:val="21"/>
        </w:rPr>
        <w:t>Keeps the same stage, artifacts, and gate while removing the operational CPU requirement.</w:t>
      </w:r>
    </w:p>
    <w:p>
      <w:pPr>
        <w:keepNext/>
        <w:spacing w:before="200" w:after="60"/>
      </w:pPr>
      <w:r>
        <w:rPr>
          <w:rFonts w:ascii="Calibri" w:hAnsi="Calibri"/>
          <w:b/>
          <w:color w:val="1F4D78"/>
          <w:sz w:val="24"/>
        </w:rPr>
        <w:t>7. Appendix C, OQ-03</w:t>
      </w:r>
    </w:p>
    <w:p>
      <w:pPr>
        <w:spacing w:after="80" w:line="259" w:lineRule="auto"/>
        <w:ind w:left="259" w:right="144"/>
        <w:shd w:fill="F4F6F9"/>
      </w:pPr>
      <w:r>
        <w:rPr>
          <w:rFonts w:ascii="Calibri" w:hAnsi="Calibri"/>
          <w:b/>
          <w:color w:val="0B2545"/>
          <w:sz w:val="20"/>
        </w:rPr>
        <w:t xml:space="preserve">Normative replacement/addition. </w:t>
      </w:r>
      <w:r>
        <w:rPr>
          <w:rFonts w:ascii="Calibri" w:hAnsi="Calibri"/>
          <w:color w:val="0B2545"/>
          <w:sz w:val="20"/>
        </w:rPr>
        <w:t>Replace the question with: “Which embedding profile, record unit, and ADEE define M1?”</w:t>
      </w:r>
    </w:p>
    <w:p>
      <w:pPr>
        <w:spacing w:after="100"/>
        <w:ind w:left="259"/>
      </w:pPr>
      <w:r>
        <w:rPr>
          <w:rFonts w:ascii="Calibri" w:hAnsi="Calibri"/>
          <w:b/>
          <w:color w:val="596373"/>
          <w:sz w:val="21"/>
        </w:rPr>
        <w:t xml:space="preserve">Rationale. </w:t>
      </w:r>
      <w:r>
        <w:rPr>
          <w:rFonts w:ascii="Calibri" w:hAnsi="Calibri"/>
          <w:color w:val="596373"/>
          <w:sz w:val="21"/>
        </w:rPr>
        <w:t>Records the M1 execution-policy disposition without creating another open question.</w:t>
      </w:r>
    </w:p>
    <w:p>
      <w:pPr>
        <w:keepNext/>
        <w:spacing w:before="200" w:after="60"/>
      </w:pPr>
      <w:r>
        <w:rPr>
          <w:rFonts w:ascii="Calibri" w:hAnsi="Calibri"/>
          <w:b/>
          <w:color w:val="1F4D78"/>
          <w:sz w:val="24"/>
        </w:rPr>
        <w:t>8. Appendix D, terminology table</w:t>
      </w:r>
    </w:p>
    <w:p>
      <w:pPr>
        <w:spacing w:after="80" w:line="259" w:lineRule="auto"/>
        <w:ind w:left="259" w:right="144"/>
        <w:shd w:fill="F4F6F9"/>
      </w:pPr>
      <w:r>
        <w:rPr>
          <w:rFonts w:ascii="Calibri" w:hAnsi="Calibri"/>
          <w:b/>
          <w:color w:val="0B2545"/>
          <w:sz w:val="20"/>
        </w:rPr>
        <w:t xml:space="preserve">Normative replacement/addition. </w:t>
      </w:r>
      <w:r>
        <w:rPr>
          <w:rFonts w:ascii="Calibri" w:hAnsi="Calibri"/>
          <w:color w:val="0B2545"/>
          <w:sz w:val="20"/>
        </w:rPr>
        <w:t>Add: “Approved Deterministic Execution Environment (ADEE): a versioned, provenance-recorded CPU or accelerator execution declaration approved for a BuildRun after deterministic reproduction and contract validation. It is not an EmbeddingProfile.”</w:t>
      </w:r>
    </w:p>
    <w:p>
      <w:pPr>
        <w:spacing w:after="100"/>
        <w:ind w:left="259"/>
      </w:pPr>
      <w:r>
        <w:rPr>
          <w:rFonts w:ascii="Calibri" w:hAnsi="Calibri"/>
          <w:b/>
          <w:color w:val="596373"/>
          <w:sz w:val="21"/>
        </w:rPr>
        <w:t xml:space="preserve">Rationale. </w:t>
      </w:r>
      <w:r>
        <w:rPr>
          <w:rFonts w:ascii="Calibri" w:hAnsi="Calibri"/>
          <w:color w:val="596373"/>
          <w:sz w:val="21"/>
        </w:rPr>
        <w:t>Defines the requested term and prevents a CPU/GPU profile split.</w:t>
      </w:r>
    </w:p>
    <w:p>
      <w:pPr>
        <w:keepNext/>
        <w:spacing w:before="320" w:after="160"/>
      </w:pPr>
      <w:r>
        <w:rPr>
          <w:rFonts w:ascii="Calibri" w:hAnsi="Calibri"/>
          <w:b/>
          <w:color w:val="2E74B5"/>
          <w:sz w:val="32"/>
        </w:rPr>
        <w:t>Acceptance interpretation after adoption</w:t>
      </w:r>
    </w:p>
    <w:p>
      <w:pPr>
        <w:spacing w:before="0" w:after="120" w:line="264" w:lineRule="auto"/>
      </w:pPr>
      <w:r>
        <w:rPr>
          <w:rFonts w:ascii="Calibri" w:hAnsi="Calibri"/>
          <w:b w:val="0"/>
          <w:i w:val="0"/>
          <w:color w:val="0B2545"/>
          <w:sz w:val="22"/>
        </w:rPr>
        <w:t>The M1.5 acceptance criterion remains unchanged except for processor type. Every eligible record MUST map to exactly one instance under the one profile; vector dimensions, dtype, normalization, row mapping, and shard digests MUST verify. The selected ADEE MUST additionally be recorded in runner provenance and the StageOutcome.</w:t>
      </w:r>
    </w:p>
    <w:p>
      <w:pPr>
        <w:spacing w:before="0" w:after="200" w:line="264" w:lineRule="auto"/>
        <w:shd w:fill="E8EEF5"/>
      </w:pPr>
      <w:r>
        <w:rPr>
          <w:rFonts w:ascii="Calibri" w:hAnsi="Calibri"/>
          <w:b/>
          <w:i w:val="0"/>
          <w:color w:val="0B2545"/>
          <w:sz w:val="22"/>
        </w:rPr>
        <w:t>Release artifacts are defined by profile conformance, pinned model and tokenizer revisions, the declared deterministic configuration, complete provenance, and successful contract validation. CPU and accelerator execution are both permitted only when they satisfy the selected ADEE requirements. Processor type is provenance, not profile identity.</w:t>
      </w:r>
    </w:p>
    <w:p>
      <w:pPr>
        <w:keepNext/>
        <w:spacing w:before="320" w:after="160"/>
      </w:pPr>
      <w:r>
        <w:rPr>
          <w:rFonts w:ascii="Calibri" w:hAnsi="Calibri"/>
          <w:b/>
          <w:color w:val="2E74B5"/>
          <w:sz w:val="32"/>
        </w:rPr>
        <w:t>Evidence motivating the amendment</w:t>
      </w:r>
    </w:p>
    <w:p>
      <w:pPr>
        <w:pStyle w:val="ListBullet"/>
        <w:spacing w:after="80"/>
      </w:pPr>
      <w:r>
        <w:rPr>
          <w:rFonts w:ascii="Calibri" w:hAnsi="Calibri"/>
          <w:color w:val="0B2545"/>
          <w:sz w:val="22"/>
        </w:rPr>
        <w:t>CPU reference instrumentation established approximately 39.6 CPU-hours for the smallest M1 assembly under the pinned sequential float32 policy; contract, pinning, weight-verification, deterministic-policy, and inference-pipeline checks passed.</w:t>
      </w:r>
    </w:p>
    <w:p>
      <w:pPr>
        <w:pStyle w:val="ListBullet"/>
        <w:spacing w:after="80"/>
      </w:pPr>
      <w:r>
        <w:rPr>
          <w:rFonts w:ascii="Calibri" w:hAnsi="Calibri"/>
          <w:color w:val="0B2545"/>
          <w:sz w:val="22"/>
        </w:rPr>
        <w:t>The validated Tesla T4 execution completed all 12 canonical records without changing model revision, tokenizer, preprocessing, windowing, pooling, normalization, or vector format.</w:t>
      </w:r>
    </w:p>
    <w:p>
      <w:pPr>
        <w:pStyle w:val="ListBullet"/>
        <w:spacing w:after="80"/>
      </w:pPr>
      <w:r>
        <w:rPr>
          <w:rFonts w:ascii="Calibri" w:hAnsi="Calibri"/>
          <w:color w:val="0B2545"/>
          <w:sz w:val="22"/>
        </w:rPr>
        <w:t>T4 evidence verified the pinned revision and weight digest, deterministic settings, finite normalized vectors, per-record digests, complete provenance, and exact 12-record coverage.</w:t>
      </w:r>
    </w:p>
    <w:p>
      <w:pPr>
        <w:pStyle w:val="ListBullet"/>
        <w:spacing w:after="80"/>
      </w:pPr>
      <w:r>
        <w:rPr>
          <w:rFonts w:ascii="Calibri" w:hAnsi="Calibri"/>
          <w:color w:val="0B2545"/>
          <w:sz w:val="22"/>
        </w:rPr>
        <w:t>Final T4 evidence digest: sha256:f7b4ba4a6f45eb69120f799a520b297d497705e5380e82ebb109afb7e3f69cff. Supporting record: validation/colab/evidence/m1-t4-accelerator-implementation-validation-2026-07-19.md.</w:t>
      </w:r>
    </w:p>
    <w:p>
      <w:pPr>
        <w:keepNext/>
        <w:spacing w:before="320" w:after="160"/>
      </w:pPr>
      <w:r>
        <w:rPr>
          <w:rFonts w:ascii="Calibri" w:hAnsi="Calibri"/>
          <w:b/>
          <w:color w:val="2E74B5"/>
          <w:sz w:val="32"/>
        </w:rPr>
        <w:t>Bounded follow-up after acceptance</w:t>
      </w:r>
    </w:p>
    <w:p>
      <w:pPr>
        <w:spacing w:before="0" w:after="120" w:line="264" w:lineRule="auto"/>
      </w:pPr>
      <w:r>
        <w:rPr>
          <w:rFonts w:ascii="Calibri" w:hAnsi="Calibri"/>
          <w:b w:val="0"/>
          <w:i w:val="0"/>
          <w:color w:val="0B2545"/>
          <w:sz w:val="22"/>
        </w:rPr>
        <w:t>No JSON Schema, Python contract binding, canonicalization profile, vector format, pooling rule, normalization rule, model pin, tokenizer pin, release state machine, or governance-role change follows from this amendment.</w:t>
      </w:r>
    </w:p>
    <w:p>
      <w:pPr>
        <w:spacing w:before="0" w:after="120" w:line="264" w:lineRule="auto"/>
      </w:pPr>
      <w:r>
        <w:rPr>
          <w:rFonts w:ascii="Calibri" w:hAnsi="Calibri"/>
          <w:b w:val="0"/>
          <w:i w:val="0"/>
          <w:color w:val="0B2545"/>
          <w:sz w:val="22"/>
        </w:rPr>
        <w:t>Only execution-policy fields in the M1 plugin descriptor and runner provenance declaration require controlled update to name the approved ADEE. The profile ID remains unchanged and no GPU-specific profile is created. The validated T4 vectors must be regenerated through the release embedding stage so that the shard, EmbeddingInstance table, and StageOutcome carry ADEE provenance.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6373"/>
        <w:sz w:val="18"/>
      </w:rPr>
      <w:t>EDS v2.1.1 proposed patch | M1 deterministic execution environments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96373"/>
        <w:sz w:val="18"/>
      </w:rPr>
      <w:t>EXPEDIA | Proposed controlled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