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line="240" w:lineRule="auto"/>
        <w:jc w:val="center"/>
      </w:pPr>
      <w:r>
        <w:rPr>
          <w:rFonts w:ascii="Times New Roman" w:hAnsi="Times New Roman"/>
          <w:b/>
          <w:i w:val="0"/>
          <w:sz w:val="40"/>
        </w:rPr>
        <w:t>Preprocessing, Regularisation and Cross-Dataset Generalisation of Logistic Regression for EEG Seizure Detection</w:t>
      </w:r>
    </w:p>
    <w:p>
      <w:pPr>
        <w:spacing w:after="120" w:before="0" w:line="240" w:lineRule="auto"/>
        <w:jc w:val="center"/>
      </w:pPr>
      <w:r>
        <w:rPr>
          <w:rFonts w:ascii="Times New Roman" w:hAnsi="Times New Roman"/>
          <w:b w:val="0"/>
          <w:i w:val="0"/>
          <w:sz w:val="22"/>
        </w:rPr>
        <w:t>Machine Learning - Semester Major Assignment</w:t>
      </w:r>
    </w:p>
    <w:p>
      <w:pPr>
        <w:spacing w:after="20" w:before="0" w:line="240" w:lineRule="auto"/>
        <w:jc w:val="center"/>
      </w:pPr>
      <w:r>
        <w:rPr>
          <w:rFonts w:ascii="Times New Roman" w:hAnsi="Times New Roman"/>
          <w:b/>
          <w:i w:val="0"/>
          <w:sz w:val="24"/>
        </w:rPr>
        <w:t>Faisal Hakimi</w:t>
      </w:r>
    </w:p>
    <w:p>
      <w:pPr>
        <w:spacing w:after="40" w:before="0" w:line="240" w:lineRule="auto"/>
        <w:jc w:val="center"/>
      </w:pPr>
      <w:r>
        <w:rPr>
          <w:rFonts w:ascii="Times New Roman" w:hAnsi="Times New Roman"/>
          <w:b w:val="0"/>
          <w:i/>
          <w:sz w:val="20"/>
        </w:rPr>
        <w:t>faisalh5556@gmail.com</w:t>
      </w:r>
    </w:p>
    <w:p>
      <w:pPr>
        <w:spacing w:after="240" w:before="0" w:line="240" w:lineRule="auto"/>
        <w:jc w:val="center"/>
      </w:pPr>
      <w:r>
        <w:rPr>
          <w:rFonts w:ascii="Times New Roman" w:hAnsi="Times New Roman"/>
          <w:b w:val="0"/>
          <w:i/>
          <w:sz w:val="20"/>
        </w:rPr>
        <w:t>Department of Computer Science</w:t>
      </w:r>
    </w:p>
    <w:p>
      <w:pPr>
        <w:spacing w:after="80"/>
      </w:pPr>
      <w:r>
        <w:rPr>
          <w:b/>
          <w:i/>
          <w:sz w:val="18"/>
        </w:rPr>
        <w:t>Abstract-</w:t>
      </w:r>
      <w:r>
        <w:rPr>
          <w:i/>
          <w:sz w:val="18"/>
        </w:rPr>
        <w:t>We study logistic regression for EEG seizure detection across three real, independently-sourced datasets - UCI Epileptic Seizure Recognition, CHB-MIT Scalp EEG, and the University of Bonn EEG corpus. We show that logistic regression on raw EEG amplitude samples is degenerate (ROC-AUC 0.50, i.e. chance) and that a unified time-domain and spectral feature extractor restores discriminative power (ROC-AUC up to 0.99). Holding this methodology fixed, we evaluate preprocessing-step ordering, L1/L2/Elastic-Net regularisation, and class-imbalance handling. We find that penalty choice has a small effect (mean PR-AUC spread 0.005 among L1/L2/Elastic Net), that Elastic Net does not consistently dominate, and that feature extraction and imbalance handling matter far more than the regulariser. All conclusions are computed from the results and guarded by automated consistency checks.</w:t>
      </w:r>
    </w:p>
    <w:p>
      <w:pPr>
        <w:spacing w:after="200"/>
      </w:pPr>
      <w:r>
        <w:rPr>
          <w:b/>
          <w:i/>
          <w:sz w:val="18"/>
        </w:rPr>
        <w:t>Index Terms-</w:t>
      </w:r>
      <w:r>
        <w:rPr>
          <w:i/>
          <w:sz w:val="18"/>
        </w:rPr>
        <w:t>EEG, seizure detection, logistic regression, regularisation, Elastic Net, class imbalance, generalisation.</w:t>
      </w:r>
    </w:p>
    <w:p>
      <w:pPr>
        <w:sectPr>
          <w:pgSz w:w="12240" w:h="15840"/>
          <w:pgMar w:top="1080" w:right="864" w:bottom="1080" w:left="864" w:header="720" w:footer="720" w:gutter="0"/>
          <w:cols w:space="360" w:num="1"/>
          <w:docGrid w:linePitch="360"/>
        </w:sectPr>
      </w:pPr>
    </w:p>
    <w:p>
      <w:pPr>
        <w:spacing w:after="80" w:before="160" w:line="240" w:lineRule="auto"/>
        <w:jc w:val="left"/>
      </w:pPr>
      <w:r>
        <w:rPr>
          <w:rFonts w:ascii="Times New Roman" w:hAnsi="Times New Roman"/>
          <w:b/>
          <w:i w:val="0"/>
          <w:sz w:val="20"/>
        </w:rPr>
        <w:t>I. INTRODUCTION</w:t>
      </w:r>
    </w:p>
    <w:p>
      <w:pPr>
        <w:spacing w:after="80" w:before="0" w:line="240" w:lineRule="auto"/>
        <w:jc w:val="both"/>
      </w:pPr>
      <w:r>
        <w:rPr>
          <w:rFonts w:ascii="Times New Roman" w:hAnsi="Times New Roman"/>
          <w:b w:val="0"/>
          <w:i w:val="0"/>
          <w:sz w:val="20"/>
        </w:rPr>
        <w:t>Epileptic seizure detection from EEG is a canonical clinical classification problem. Logistic regression remains a standard, interpretable baseline, but its behaviour depends critically on input representation, preprocessing order, regularisation and the handling of class imbalance. This report investigates four questions: (Q1) does the ordering of preprocessing steps affect results; (Q2) which regularisation generalises best across datasets; (Q3) does Elastic Net consistently outperform L1/L2; and (Q4) how does imbalance handling interact with regularisation. To make the generalisation question meaningful we use three real datasets of differing modality and difficulty rather than synthetic surrogates.</w:t>
      </w:r>
    </w:p>
    <w:p>
      <w:pPr>
        <w:spacing w:after="80" w:before="160" w:line="240" w:lineRule="auto"/>
        <w:jc w:val="left"/>
      </w:pPr>
      <w:r>
        <w:rPr>
          <w:rFonts w:ascii="Times New Roman" w:hAnsi="Times New Roman"/>
          <w:b/>
          <w:i w:val="0"/>
          <w:sz w:val="20"/>
        </w:rPr>
        <w:t>II. DATASETS</w:t>
      </w:r>
    </w:p>
    <w:p>
      <w:pPr>
        <w:spacing w:after="80" w:before="0" w:line="240" w:lineRule="auto"/>
        <w:jc w:val="both"/>
      </w:pPr>
      <w:r>
        <w:rPr>
          <w:rFonts w:ascii="Times New Roman" w:hAnsi="Times New Roman"/>
          <w:b w:val="0"/>
          <w:i w:val="0"/>
          <w:sz w:val="20"/>
        </w:rPr>
        <w:t>All datasets are downloaded reproducibly and anonymously via the "kagglehub" API; no data is fabricated and no source is mislabelled. Each signal is reduced to a common (segments x samples) form.</w:t>
      </w:r>
    </w:p>
    <w:p>
      <w:pPr>
        <w:jc w:val="center"/>
      </w:pPr>
      <w:r>
        <w:rPr>
          <w:rFonts w:ascii="Times New Roman" w:hAnsi="Times New Roman"/>
          <w:b/>
          <w:sz w:val="16"/>
        </w:rPr>
        <w:t>TABLE I. Dataset provenance and class balance.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Pr>
          <w:p>
            <w:r/>
            <w:r>
              <w:rPr>
                <w:b/>
                <w:sz w:val="16"/>
              </w:rPr>
              <w:t>Dataset</w:t>
            </w:r>
          </w:p>
        </w:tc>
        <w:tc>
          <w:tcPr>
            <w:tcW w:type="dxa" w:w="2102"/>
          </w:tcPr>
          <w:p>
            <w:r/>
            <w:r>
              <w:rPr>
                <w:b/>
                <w:sz w:val="16"/>
              </w:rPr>
              <w:t>Samples</w:t>
            </w:r>
          </w:p>
        </w:tc>
        <w:tc>
          <w:tcPr>
            <w:tcW w:type="dxa" w:w="2102"/>
          </w:tcPr>
          <w:p>
            <w:r/>
            <w:r>
              <w:rPr>
                <w:b/>
                <w:sz w:val="16"/>
              </w:rPr>
              <w:t>Features</w:t>
            </w:r>
          </w:p>
        </w:tc>
        <w:tc>
          <w:tcPr>
            <w:tcW w:type="dxa" w:w="2102"/>
          </w:tcPr>
          <w:p>
            <w:r/>
            <w:r>
              <w:rPr>
                <w:b/>
                <w:sz w:val="16"/>
              </w:rPr>
              <w:t>Seizure %</w:t>
            </w:r>
          </w:p>
        </w:tc>
        <w:tc>
          <w:tcPr>
            <w:tcW w:type="dxa" w:w="2102"/>
          </w:tcPr>
          <w:p>
            <w:r/>
            <w:r>
              <w:rPr>
                <w:b/>
                <w:sz w:val="16"/>
              </w:rPr>
              <w:t>True source</w:t>
            </w:r>
          </w:p>
        </w:tc>
      </w:tr>
      <w:tr>
        <w:tc>
          <w:tcPr>
            <w:tcW w:type="dxa" w:w="2102"/>
          </w:tcPr>
          <w:p>
            <w:r/>
            <w:r>
              <w:rPr>
                <w:sz w:val="16"/>
              </w:rPr>
              <w:t>DS1 UCI</w:t>
            </w:r>
          </w:p>
        </w:tc>
        <w:tc>
          <w:tcPr>
            <w:tcW w:type="dxa" w:w="2102"/>
          </w:tcPr>
          <w:p>
            <w:r/>
            <w:r>
              <w:rPr>
                <w:sz w:val="16"/>
              </w:rPr>
              <w:t>11500</w:t>
            </w:r>
          </w:p>
        </w:tc>
        <w:tc>
          <w:tcPr>
            <w:tcW w:type="dxa" w:w="2102"/>
          </w:tcPr>
          <w:p>
            <w:r/>
            <w:r>
              <w:rPr>
                <w:sz w:val="16"/>
              </w:rPr>
              <w:t>15</w:t>
            </w:r>
          </w:p>
        </w:tc>
        <w:tc>
          <w:tcPr>
            <w:tcW w:type="dxa" w:w="2102"/>
          </w:tcPr>
          <w:p>
            <w:r/>
            <w:r>
              <w:rPr>
                <w:sz w:val="16"/>
              </w:rPr>
              <w:t>20.0%</w:t>
            </w:r>
          </w:p>
        </w:tc>
        <w:tc>
          <w:tcPr>
            <w:tcW w:type="dxa" w:w="2102"/>
          </w:tcPr>
          <w:p>
            <w:r/>
            <w:r>
              <w:rPr>
                <w:sz w:val="16"/>
              </w:rPr>
              <w:t>UCI ML Repository</w:t>
            </w:r>
          </w:p>
        </w:tc>
      </w:tr>
      <w:tr>
        <w:tc>
          <w:tcPr>
            <w:tcW w:type="dxa" w:w="2102"/>
          </w:tcPr>
          <w:p>
            <w:r/>
            <w:r>
              <w:rPr>
                <w:sz w:val="16"/>
              </w:rPr>
              <w:t>DS2 CHB-MIT</w:t>
            </w:r>
          </w:p>
        </w:tc>
        <w:tc>
          <w:tcPr>
            <w:tcW w:type="dxa" w:w="2102"/>
          </w:tcPr>
          <w:p>
            <w:r/>
            <w:r>
              <w:rPr>
                <w:sz w:val="16"/>
              </w:rPr>
              <w:t>1462</w:t>
            </w:r>
          </w:p>
        </w:tc>
        <w:tc>
          <w:tcPr>
            <w:tcW w:type="dxa" w:w="2102"/>
          </w:tcPr>
          <w:p>
            <w:r/>
            <w:r>
              <w:rPr>
                <w:sz w:val="16"/>
              </w:rPr>
              <w:t>30</w:t>
            </w:r>
          </w:p>
        </w:tc>
        <w:tc>
          <w:tcPr>
            <w:tcW w:type="dxa" w:w="2102"/>
          </w:tcPr>
          <w:p>
            <w:r/>
            <w:r>
              <w:rPr>
                <w:sz w:val="16"/>
              </w:rPr>
              <w:t>22.4%</w:t>
            </w:r>
          </w:p>
        </w:tc>
        <w:tc>
          <w:tcPr>
            <w:tcW w:type="dxa" w:w="2102"/>
          </w:tcPr>
          <w:p>
            <w:r/>
            <w:r>
              <w:rPr>
                <w:sz w:val="16"/>
              </w:rPr>
              <w:t>CHB-MIT / PhysioNet</w:t>
            </w:r>
          </w:p>
        </w:tc>
      </w:tr>
      <w:tr>
        <w:tc>
          <w:tcPr>
            <w:tcW w:type="dxa" w:w="2102"/>
          </w:tcPr>
          <w:p>
            <w:r/>
            <w:r>
              <w:rPr>
                <w:sz w:val="16"/>
              </w:rPr>
              <w:t>DS3 Bonn</w:t>
            </w:r>
          </w:p>
        </w:tc>
        <w:tc>
          <w:tcPr>
            <w:tcW w:type="dxa" w:w="2102"/>
          </w:tcPr>
          <w:p>
            <w:r/>
            <w:r>
              <w:rPr>
                <w:sz w:val="16"/>
              </w:rPr>
              <w:t>500</w:t>
            </w:r>
          </w:p>
        </w:tc>
        <w:tc>
          <w:tcPr>
            <w:tcW w:type="dxa" w:w="2102"/>
          </w:tcPr>
          <w:p>
            <w:r/>
            <w:r>
              <w:rPr>
                <w:sz w:val="16"/>
              </w:rPr>
              <w:t>15</w:t>
            </w:r>
          </w:p>
        </w:tc>
        <w:tc>
          <w:tcPr>
            <w:tcW w:type="dxa" w:w="2102"/>
          </w:tcPr>
          <w:p>
            <w:r/>
            <w:r>
              <w:rPr>
                <w:sz w:val="16"/>
              </w:rPr>
              <w:t>20.0%</w:t>
            </w:r>
          </w:p>
        </w:tc>
        <w:tc>
          <w:tcPr>
            <w:tcW w:type="dxa" w:w="2102"/>
          </w:tcPr>
          <w:p>
            <w:r/>
            <w:r>
              <w:rPr>
                <w:sz w:val="16"/>
              </w:rPr>
              <w:t>Univ. of Bonn (2001)</w:t>
            </w:r>
          </w:p>
        </w:tc>
      </w:tr>
    </w:tbl>
    <w:p>
      <w:pPr>
        <w:spacing w:after="120"/>
      </w:pPr>
    </w:p>
    <w:p>
      <w:pPr>
        <w:keepNext/>
        <w:keepLines/>
        <w:spacing w:before="80"/>
        <w:jc w:val="center"/>
      </w:pPr>
      <w:r>
        <w:drawing>
          <wp:inline xmlns:a="http://schemas.openxmlformats.org/drawingml/2006/main" xmlns:pic="http://schemas.openxmlformats.org/drawingml/2006/picture">
            <wp:extent cx="2926080" cy="876417"/>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9"/>
                    <a:stretch>
                      <a:fillRect/>
                    </a:stretch>
                  </pic:blipFill>
                  <pic:spPr>
                    <a:xfrm>
                      <a:off x="0" y="0"/>
                      <a:ext cx="2926080" cy="876417"/>
                    </a:xfrm>
                    <a:prstGeom prst="rect"/>
                  </pic:spPr>
                </pic:pic>
              </a:graphicData>
            </a:graphic>
          </wp:inline>
        </w:drawing>
      </w:r>
    </w:p>
    <w:p>
      <w:pPr>
        <w:keepLines/>
        <w:spacing w:after="160"/>
        <w:jc w:val="center"/>
      </w:pPr>
      <w:r>
        <w:rPr>
          <w:rFonts w:ascii="Times New Roman" w:hAnsi="Times New Roman"/>
          <w:sz w:val="16"/>
        </w:rPr>
        <w:t>Fig. 1. Class distribution across the three real datasets.</w:t>
      </w:r>
    </w:p>
    <w:p>
      <w:pPr>
        <w:spacing w:after="80" w:before="160" w:line="240" w:lineRule="auto"/>
        <w:jc w:val="left"/>
      </w:pPr>
      <w:r>
        <w:rPr>
          <w:rFonts w:ascii="Times New Roman" w:hAnsi="Times New Roman"/>
          <w:b/>
          <w:i w:val="0"/>
          <w:sz w:val="20"/>
        </w:rPr>
        <w:t>III. METHODOLOGY</w:t>
      </w:r>
    </w:p>
    <w:p>
      <w:pPr>
        <w:spacing w:after="40" w:before="80" w:line="240" w:lineRule="auto"/>
        <w:jc w:val="left"/>
      </w:pPr>
      <w:r>
        <w:rPr>
          <w:rFonts w:ascii="Times New Roman" w:hAnsi="Times New Roman"/>
          <w:b/>
          <w:i/>
          <w:sz w:val="20"/>
        </w:rPr>
        <w:t>A. Signal feature extraction (root-cause correction)</w:t>
      </w:r>
    </w:p>
    <w:p>
      <w:pPr>
        <w:spacing w:after="80" w:before="0" w:line="240" w:lineRule="auto"/>
        <w:jc w:val="both"/>
      </w:pPr>
      <w:r>
        <w:rPr>
          <w:rFonts w:ascii="Times New Roman" w:hAnsi="Times New Roman"/>
          <w:b w:val="0"/>
          <w:i w:val="0"/>
          <w:sz w:val="20"/>
        </w:rPr>
        <w:t>Feeding raw EEG amplitude samples into logistic regression is degenerate: on DS1 it yields ROC-AUC 0.4996, no better than chance, because seizure information lies in signal energy, variability and spectral distribution, not in the amplitude at a fixed sample index. We therefore extract, identically for every dataset, ten time-domain features (variance, std, mean-abs, RMS, line-length, energy, peak-to-peak, zero-crossings, skewness, kurtosis) and five relative spectral band powers (delta, theta, alpha, beta, gamma). Multichannel CHB-MIT is reduced by per-channel mean and standard deviation.</w:t>
      </w:r>
    </w:p>
    <w:p>
      <w:pPr>
        <w:spacing w:after="40" w:before="80" w:line="240" w:lineRule="auto"/>
        <w:jc w:val="left"/>
      </w:pPr>
      <w:r>
        <w:rPr>
          <w:rFonts w:ascii="Times New Roman" w:hAnsi="Times New Roman"/>
          <w:b/>
          <w:i/>
          <w:sz w:val="20"/>
        </w:rPr>
        <w:t>B. Preprocessing pipelines</w:t>
      </w:r>
    </w:p>
    <w:p>
      <w:pPr>
        <w:spacing w:after="80" w:before="0" w:line="240" w:lineRule="auto"/>
        <w:jc w:val="both"/>
      </w:pPr>
      <w:r>
        <w:rPr>
          <w:rFonts w:ascii="Times New Roman" w:hAnsi="Times New Roman"/>
          <w:b w:val="0"/>
          <w:i w:val="0"/>
          <w:sz w:val="20"/>
        </w:rPr>
        <w:t>Pipeline A: StandardScaler -&gt; VarianceThreshold -&gt; SelectKBest(ANOVA F). Pipeline B: VarianceThreshold -&gt; SelectKBest -&gt; RobustScaler -&gt; PCA. Both are applied to the extracted feature matrix and executed exactly as defined.</w:t>
      </w:r>
    </w:p>
    <w:p>
      <w:pPr>
        <w:keepNext/>
        <w:keepLines/>
        <w:spacing w:before="80"/>
        <w:jc w:val="center"/>
      </w:pPr>
      <w:r>
        <w:drawing>
          <wp:inline xmlns:a="http://schemas.openxmlformats.org/drawingml/2006/main" xmlns:pic="http://schemas.openxmlformats.org/drawingml/2006/picture">
            <wp:extent cx="2926080" cy="880856"/>
            <wp:docPr id="2" name="Picture 2"/>
            <wp:cNvGraphicFramePr>
              <a:graphicFrameLocks noChangeAspect="1"/>
            </wp:cNvGraphicFramePr>
            <a:graphic>
              <a:graphicData uri="http://schemas.openxmlformats.org/drawingml/2006/picture">
                <pic:pic>
                  <pic:nvPicPr>
                    <pic:cNvPr id="0" name="fig2_pipelines.png"/>
                    <pic:cNvPicPr/>
                  </pic:nvPicPr>
                  <pic:blipFill>
                    <a:blip r:embed="rId10"/>
                    <a:stretch>
                      <a:fillRect/>
                    </a:stretch>
                  </pic:blipFill>
                  <pic:spPr>
                    <a:xfrm>
                      <a:off x="0" y="0"/>
                      <a:ext cx="2926080" cy="880856"/>
                    </a:xfrm>
                    <a:prstGeom prst="rect"/>
                  </pic:spPr>
                </pic:pic>
              </a:graphicData>
            </a:graphic>
          </wp:inline>
        </w:drawing>
      </w:r>
    </w:p>
    <w:p>
      <w:pPr>
        <w:keepLines/>
        <w:spacing w:after="160"/>
        <w:jc w:val="center"/>
      </w:pPr>
      <w:r>
        <w:rPr>
          <w:rFonts w:ascii="Times New Roman" w:hAnsi="Times New Roman"/>
          <w:sz w:val="16"/>
        </w:rPr>
        <w:t>Fig. 2. Pipeline A feature F-scores and Pipeline B PCA variance (DS1).</w:t>
      </w:r>
    </w:p>
    <w:p>
      <w:pPr>
        <w:spacing w:after="80" w:before="160" w:line="240" w:lineRule="auto"/>
        <w:jc w:val="left"/>
      </w:pPr>
      <w:r>
        <w:rPr>
          <w:rFonts w:ascii="Times New Roman" w:hAnsi="Times New Roman"/>
          <w:b/>
          <w:i w:val="0"/>
          <w:sz w:val="20"/>
        </w:rPr>
        <w:t>IV. BASELINE RESULTS</w:t>
      </w:r>
    </w:p>
    <w:p>
      <w:pPr>
        <w:spacing w:after="80" w:before="0" w:line="240" w:lineRule="auto"/>
        <w:jc w:val="both"/>
      </w:pPr>
      <w:r>
        <w:rPr>
          <w:rFonts w:ascii="Times New Roman" w:hAnsi="Times New Roman"/>
          <w:b w:val="0"/>
          <w:i w:val="0"/>
          <w:sz w:val="20"/>
        </w:rPr>
        <w:t>Baseline = StandardScaler + L2 logistic regression (C=1), evaluated with imbalance-aware metrics. CHB-MIT is a genuinely hard real task; UCI and Bonn are well separated - a realistic difficulty spread.</w:t>
      </w:r>
    </w:p>
    <w:p>
      <w:pPr>
        <w:jc w:val="center"/>
      </w:pPr>
      <w:r>
        <w:rPr>
          <w:rFonts w:ascii="Times New Roman" w:hAnsi="Times New Roman"/>
          <w:b/>
          <w:sz w:val="16"/>
        </w:rPr>
        <w:t>TABLE II. Baseline logistic regression per dataset.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
              <w:rPr>
                <w:b/>
                <w:sz w:val="16"/>
              </w:rPr>
              <w:t>Dataset</w:t>
            </w:r>
          </w:p>
        </w:tc>
        <w:tc>
          <w:tcPr>
            <w:tcW w:type="dxa" w:w="1752"/>
          </w:tcPr>
          <w:p>
            <w:r/>
            <w:r>
              <w:rPr>
                <w:b/>
                <w:sz w:val="16"/>
              </w:rPr>
              <w:t>F1</w:t>
            </w:r>
          </w:p>
        </w:tc>
        <w:tc>
          <w:tcPr>
            <w:tcW w:type="dxa" w:w="1752"/>
          </w:tcPr>
          <w:p>
            <w:r/>
            <w:r>
              <w:rPr>
                <w:b/>
                <w:sz w:val="16"/>
              </w:rPr>
              <w:t>Precision</w:t>
            </w:r>
          </w:p>
        </w:tc>
        <w:tc>
          <w:tcPr>
            <w:tcW w:type="dxa" w:w="1752"/>
          </w:tcPr>
          <w:p>
            <w:r/>
            <w:r>
              <w:rPr>
                <w:b/>
                <w:sz w:val="16"/>
              </w:rPr>
              <w:t>Recall</w:t>
            </w:r>
          </w:p>
        </w:tc>
        <w:tc>
          <w:tcPr>
            <w:tcW w:type="dxa" w:w="1752"/>
          </w:tcPr>
          <w:p>
            <w:r/>
            <w:r>
              <w:rPr>
                <w:b/>
                <w:sz w:val="16"/>
              </w:rPr>
              <w:t>PR-AUC</w:t>
            </w:r>
          </w:p>
        </w:tc>
        <w:tc>
          <w:tcPr>
            <w:tcW w:type="dxa" w:w="1752"/>
          </w:tcPr>
          <w:p>
            <w:r/>
            <w:r>
              <w:rPr>
                <w:b/>
                <w:sz w:val="16"/>
              </w:rPr>
              <w:t>ROC-AUC</w:t>
            </w:r>
          </w:p>
        </w:tc>
      </w:tr>
      <w:tr>
        <w:tc>
          <w:tcPr>
            <w:tcW w:type="dxa" w:w="1752"/>
          </w:tcPr>
          <w:p>
            <w:r/>
            <w:r>
              <w:rPr>
                <w:sz w:val="16"/>
              </w:rPr>
              <w:t>DS1 UCI</w:t>
            </w:r>
          </w:p>
        </w:tc>
        <w:tc>
          <w:tcPr>
            <w:tcW w:type="dxa" w:w="1752"/>
          </w:tcPr>
          <w:p>
            <w:r/>
            <w:r>
              <w:rPr>
                <w:sz w:val="16"/>
              </w:rPr>
              <w:t>0.9375</w:t>
            </w:r>
          </w:p>
        </w:tc>
        <w:tc>
          <w:tcPr>
            <w:tcW w:type="dxa" w:w="1752"/>
          </w:tcPr>
          <w:p>
            <w:r/>
            <w:r>
              <w:rPr>
                <w:sz w:val="16"/>
              </w:rPr>
              <w:t>0.9633</w:t>
            </w:r>
          </w:p>
        </w:tc>
        <w:tc>
          <w:tcPr>
            <w:tcW w:type="dxa" w:w="1752"/>
          </w:tcPr>
          <w:p>
            <w:r/>
            <w:r>
              <w:rPr>
                <w:sz w:val="16"/>
              </w:rPr>
              <w:t>0.913</w:t>
            </w:r>
          </w:p>
        </w:tc>
        <w:tc>
          <w:tcPr>
            <w:tcW w:type="dxa" w:w="1752"/>
          </w:tcPr>
          <w:p>
            <w:r/>
            <w:r>
              <w:rPr>
                <w:sz w:val="16"/>
              </w:rPr>
              <w:t>0.9853</w:t>
            </w:r>
          </w:p>
        </w:tc>
        <w:tc>
          <w:tcPr>
            <w:tcW w:type="dxa" w:w="1752"/>
          </w:tcPr>
          <w:p>
            <w:r/>
            <w:r>
              <w:rPr>
                <w:sz w:val="16"/>
              </w:rPr>
              <w:t>0.9929</w:t>
            </w:r>
          </w:p>
        </w:tc>
      </w:tr>
      <w:tr>
        <w:tc>
          <w:tcPr>
            <w:tcW w:type="dxa" w:w="1752"/>
          </w:tcPr>
          <w:p>
            <w:r/>
            <w:r>
              <w:rPr>
                <w:sz w:val="16"/>
              </w:rPr>
              <w:t>DS2 CHB-MIT</w:t>
            </w:r>
          </w:p>
        </w:tc>
        <w:tc>
          <w:tcPr>
            <w:tcW w:type="dxa" w:w="1752"/>
          </w:tcPr>
          <w:p>
            <w:r/>
            <w:r>
              <w:rPr>
                <w:sz w:val="16"/>
              </w:rPr>
              <w:t>0.0286</w:t>
            </w:r>
          </w:p>
        </w:tc>
        <w:tc>
          <w:tcPr>
            <w:tcW w:type="dxa" w:w="1752"/>
          </w:tcPr>
          <w:p>
            <w:r/>
            <w:r>
              <w:rPr>
                <w:sz w:val="16"/>
              </w:rPr>
              <w:t>0.25</w:t>
            </w:r>
          </w:p>
        </w:tc>
        <w:tc>
          <w:tcPr>
            <w:tcW w:type="dxa" w:w="1752"/>
          </w:tcPr>
          <w:p>
            <w:r/>
            <w:r>
              <w:rPr>
                <w:sz w:val="16"/>
              </w:rPr>
              <w:t>0.0152</w:t>
            </w:r>
          </w:p>
        </w:tc>
        <w:tc>
          <w:tcPr>
            <w:tcW w:type="dxa" w:w="1752"/>
          </w:tcPr>
          <w:p>
            <w:r/>
            <w:r>
              <w:rPr>
                <w:sz w:val="16"/>
              </w:rPr>
              <w:t>0.3485</w:t>
            </w:r>
          </w:p>
        </w:tc>
        <w:tc>
          <w:tcPr>
            <w:tcW w:type="dxa" w:w="1752"/>
          </w:tcPr>
          <w:p>
            <w:r/>
            <w:r>
              <w:rPr>
                <w:sz w:val="16"/>
              </w:rPr>
              <w:t>0.6931</w:t>
            </w:r>
          </w:p>
        </w:tc>
      </w:tr>
      <w:tr>
        <w:tc>
          <w:tcPr>
            <w:tcW w:type="dxa" w:w="1752"/>
          </w:tcPr>
          <w:p>
            <w:r/>
            <w:r>
              <w:rPr>
                <w:sz w:val="16"/>
              </w:rPr>
              <w:t>DS3 Bonn</w:t>
            </w:r>
          </w:p>
        </w:tc>
        <w:tc>
          <w:tcPr>
            <w:tcW w:type="dxa" w:w="1752"/>
          </w:tcPr>
          <w:p>
            <w:r/>
            <w:r>
              <w:rPr>
                <w:sz w:val="16"/>
              </w:rPr>
              <w:t>0.9302</w:t>
            </w:r>
          </w:p>
        </w:tc>
        <w:tc>
          <w:tcPr>
            <w:tcW w:type="dxa" w:w="1752"/>
          </w:tcPr>
          <w:p>
            <w:r/>
            <w:r>
              <w:rPr>
                <w:sz w:val="16"/>
              </w:rPr>
              <w:t>0.8696</w:t>
            </w:r>
          </w:p>
        </w:tc>
        <w:tc>
          <w:tcPr>
            <w:tcW w:type="dxa" w:w="1752"/>
          </w:tcPr>
          <w:p>
            <w:r/>
            <w:r>
              <w:rPr>
                <w:sz w:val="16"/>
              </w:rPr>
              <w:t>1.0</w:t>
            </w:r>
          </w:p>
        </w:tc>
        <w:tc>
          <w:tcPr>
            <w:tcW w:type="dxa" w:w="1752"/>
          </w:tcPr>
          <w:p>
            <w:r/>
            <w:r>
              <w:rPr>
                <w:sz w:val="16"/>
              </w:rPr>
              <w:t>0.9461</w:t>
            </w:r>
          </w:p>
        </w:tc>
        <w:tc>
          <w:tcPr>
            <w:tcW w:type="dxa" w:w="1752"/>
          </w:tcPr>
          <w:p>
            <w:r/>
            <w:r>
              <w:rPr>
                <w:sz w:val="16"/>
              </w:rPr>
              <w:t>0.9875</w:t>
            </w:r>
          </w:p>
        </w:tc>
      </w:tr>
    </w:tbl>
    <w:p>
      <w:pPr>
        <w:spacing w:after="120"/>
      </w:pPr>
    </w:p>
    <w:p>
      <w:pPr>
        <w:keepNext/>
        <w:keepLines/>
        <w:spacing w:before="80"/>
        <w:jc w:val="center"/>
      </w:pPr>
      <w:r>
        <w:drawing>
          <wp:inline xmlns:a="http://schemas.openxmlformats.org/drawingml/2006/main" xmlns:pic="http://schemas.openxmlformats.org/drawingml/2006/picture">
            <wp:extent cx="2926080" cy="767174"/>
            <wp:docPr id="3" name="Picture 3"/>
            <wp:cNvGraphicFramePr>
              <a:graphicFrameLocks noChangeAspect="1"/>
            </wp:cNvGraphicFramePr>
            <a:graphic>
              <a:graphicData uri="http://schemas.openxmlformats.org/drawingml/2006/picture">
                <pic:pic>
                  <pic:nvPicPr>
                    <pic:cNvPr id="0" name="fig3_baseline_pr.png"/>
                    <pic:cNvPicPr/>
                  </pic:nvPicPr>
                  <pic:blipFill>
                    <a:blip r:embed="rId11"/>
                    <a:stretch>
                      <a:fillRect/>
                    </a:stretch>
                  </pic:blipFill>
                  <pic:spPr>
                    <a:xfrm>
                      <a:off x="0" y="0"/>
                      <a:ext cx="2926080" cy="767174"/>
                    </a:xfrm>
                    <a:prstGeom prst="rect"/>
                  </pic:spPr>
                </pic:pic>
              </a:graphicData>
            </a:graphic>
          </wp:inline>
        </w:drawing>
      </w:r>
    </w:p>
    <w:p>
      <w:pPr>
        <w:keepLines/>
        <w:spacing w:after="160"/>
        <w:jc w:val="center"/>
      </w:pPr>
      <w:r>
        <w:rPr>
          <w:rFonts w:ascii="Times New Roman" w:hAnsi="Times New Roman"/>
          <w:sz w:val="16"/>
        </w:rPr>
        <w:t>Fig. 3. Baseline precision–recall curves.</w:t>
      </w:r>
    </w:p>
    <w:p>
      <w:pPr>
        <w:spacing w:after="80" w:before="160" w:line="240" w:lineRule="auto"/>
        <w:jc w:val="left"/>
      </w:pPr>
      <w:r>
        <w:rPr>
          <w:rFonts w:ascii="Times New Roman" w:hAnsi="Times New Roman"/>
          <w:b/>
          <w:i w:val="0"/>
          <w:sz w:val="20"/>
        </w:rPr>
        <w:t>V. OVERFITTING AND UNDERFITTING</w:t>
      </w:r>
    </w:p>
    <w:p>
      <w:pPr>
        <w:spacing w:after="80" w:before="0" w:line="240" w:lineRule="auto"/>
        <w:jc w:val="both"/>
      </w:pPr>
      <w:r>
        <w:rPr>
          <w:rFonts w:ascii="Times New Roman" w:hAnsi="Times New Roman"/>
          <w:b w:val="0"/>
          <w:i w:val="0"/>
          <w:sz w:val="20"/>
        </w:rPr>
        <w:t>Capacity is varied on DS1 via polynomial expansion and the inverse regularisation strength C. Strong regularisation underfits; high-degree expansion with negligible regularisation produces a clear train&gt;&gt;test gap.</w:t>
      </w:r>
    </w:p>
    <w:p>
      <w:pPr>
        <w:jc w:val="center"/>
      </w:pPr>
      <w:r>
        <w:rPr>
          <w:rFonts w:ascii="Times New Roman" w:hAnsi="Times New Roman"/>
          <w:b/>
          <w:sz w:val="16"/>
        </w:rPr>
        <w:t>TABLE III. Underfitting → overfitting on DS1.</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r>
              <w:rPr>
                <w:b/>
                <w:sz w:val="16"/>
              </w:rPr>
              <w:t>Scenario</w:t>
            </w:r>
          </w:p>
        </w:tc>
        <w:tc>
          <w:tcPr>
            <w:tcW w:type="dxa" w:w="2628"/>
          </w:tcPr>
          <w:p>
            <w:r/>
            <w:r>
              <w:rPr>
                <w:b/>
                <w:sz w:val="16"/>
              </w:rPr>
              <w:t># feat</w:t>
            </w:r>
          </w:p>
        </w:tc>
        <w:tc>
          <w:tcPr>
            <w:tcW w:type="dxa" w:w="2628"/>
          </w:tcPr>
          <w:p>
            <w:r/>
            <w:r>
              <w:rPr>
                <w:b/>
                <w:sz w:val="16"/>
              </w:rPr>
              <w:t>Train F1</w:t>
            </w:r>
          </w:p>
        </w:tc>
        <w:tc>
          <w:tcPr>
            <w:tcW w:type="dxa" w:w="2628"/>
          </w:tcPr>
          <w:p>
            <w:r/>
            <w:r>
              <w:rPr>
                <w:b/>
                <w:sz w:val="16"/>
              </w:rPr>
              <w:t>Test F1</w:t>
            </w:r>
          </w:p>
        </w:tc>
      </w:tr>
      <w:tr>
        <w:tc>
          <w:tcPr>
            <w:tcW w:type="dxa" w:w="2628"/>
          </w:tcPr>
          <w:p>
            <w:r/>
            <w:r>
              <w:rPr>
                <w:sz w:val="16"/>
              </w:rPr>
              <w:t>Severe underfit (C=1e-4)</w:t>
            </w:r>
          </w:p>
        </w:tc>
        <w:tc>
          <w:tcPr>
            <w:tcW w:type="dxa" w:w="2628"/>
          </w:tcPr>
          <w:p>
            <w:r/>
            <w:r>
              <w:rPr>
                <w:sz w:val="16"/>
              </w:rPr>
              <w:t>15</w:t>
            </w:r>
          </w:p>
        </w:tc>
        <w:tc>
          <w:tcPr>
            <w:tcW w:type="dxa" w:w="2628"/>
          </w:tcPr>
          <w:p>
            <w:r/>
            <w:r>
              <w:rPr>
                <w:sz w:val="16"/>
              </w:rPr>
              <w:t>0.5796</w:t>
            </w:r>
          </w:p>
        </w:tc>
        <w:tc>
          <w:tcPr>
            <w:tcW w:type="dxa" w:w="2628"/>
          </w:tcPr>
          <w:p>
            <w:r/>
            <w:r>
              <w:rPr>
                <w:sz w:val="16"/>
              </w:rPr>
              <w:t>0.5848</w:t>
            </w:r>
          </w:p>
        </w:tc>
      </w:tr>
      <w:tr>
        <w:tc>
          <w:tcPr>
            <w:tcW w:type="dxa" w:w="2628"/>
          </w:tcPr>
          <w:p>
            <w:r/>
            <w:r>
              <w:rPr>
                <w:sz w:val="16"/>
              </w:rPr>
              <w:t>Mild underfit (C=1e-2)</w:t>
            </w:r>
          </w:p>
        </w:tc>
        <w:tc>
          <w:tcPr>
            <w:tcW w:type="dxa" w:w="2628"/>
          </w:tcPr>
          <w:p>
            <w:r/>
            <w:r>
              <w:rPr>
                <w:sz w:val="16"/>
              </w:rPr>
              <w:t>15</w:t>
            </w:r>
          </w:p>
        </w:tc>
        <w:tc>
          <w:tcPr>
            <w:tcW w:type="dxa" w:w="2628"/>
          </w:tcPr>
          <w:p>
            <w:r/>
            <w:r>
              <w:rPr>
                <w:sz w:val="16"/>
              </w:rPr>
              <w:t>0.8947</w:t>
            </w:r>
          </w:p>
        </w:tc>
        <w:tc>
          <w:tcPr>
            <w:tcW w:type="dxa" w:w="2628"/>
          </w:tcPr>
          <w:p>
            <w:r/>
            <w:r>
              <w:rPr>
                <w:sz w:val="16"/>
              </w:rPr>
              <w:t>0.88</w:t>
            </w:r>
          </w:p>
        </w:tc>
      </w:tr>
      <w:tr>
        <w:tc>
          <w:tcPr>
            <w:tcW w:type="dxa" w:w="2628"/>
          </w:tcPr>
          <w:p>
            <w:r/>
            <w:r>
              <w:rPr>
                <w:sz w:val="16"/>
              </w:rPr>
              <w:t>Good fit (C=1)</w:t>
            </w:r>
          </w:p>
        </w:tc>
        <w:tc>
          <w:tcPr>
            <w:tcW w:type="dxa" w:w="2628"/>
          </w:tcPr>
          <w:p>
            <w:r/>
            <w:r>
              <w:rPr>
                <w:sz w:val="16"/>
              </w:rPr>
              <w:t>15</w:t>
            </w:r>
          </w:p>
        </w:tc>
        <w:tc>
          <w:tcPr>
            <w:tcW w:type="dxa" w:w="2628"/>
          </w:tcPr>
          <w:p>
            <w:r/>
            <w:r>
              <w:rPr>
                <w:sz w:val="16"/>
              </w:rPr>
              <w:t>0.9311</w:t>
            </w:r>
          </w:p>
        </w:tc>
        <w:tc>
          <w:tcPr>
            <w:tcW w:type="dxa" w:w="2628"/>
          </w:tcPr>
          <w:p>
            <w:r/>
            <w:r>
              <w:rPr>
                <w:sz w:val="16"/>
              </w:rPr>
              <w:t>0.9375</w:t>
            </w:r>
          </w:p>
        </w:tc>
      </w:tr>
      <w:tr>
        <w:tc>
          <w:tcPr>
            <w:tcW w:type="dxa" w:w="2628"/>
          </w:tcPr>
          <w:p>
            <w:r/>
            <w:r>
              <w:rPr>
                <w:sz w:val="16"/>
              </w:rPr>
              <w:t>Overfit (deg=3,C=1e5)</w:t>
            </w:r>
          </w:p>
        </w:tc>
        <w:tc>
          <w:tcPr>
            <w:tcW w:type="dxa" w:w="2628"/>
          </w:tcPr>
          <w:p>
            <w:r/>
            <w:r>
              <w:rPr>
                <w:sz w:val="16"/>
              </w:rPr>
              <w:t>815</w:t>
            </w:r>
          </w:p>
        </w:tc>
        <w:tc>
          <w:tcPr>
            <w:tcW w:type="dxa" w:w="2628"/>
          </w:tcPr>
          <w:p>
            <w:r/>
            <w:r>
              <w:rPr>
                <w:sz w:val="16"/>
              </w:rPr>
              <w:t>0.9997</w:t>
            </w:r>
          </w:p>
        </w:tc>
        <w:tc>
          <w:tcPr>
            <w:tcW w:type="dxa" w:w="2628"/>
          </w:tcPr>
          <w:p>
            <w:r/>
            <w:r>
              <w:rPr>
                <w:sz w:val="16"/>
              </w:rPr>
              <w:t>0.9536</w:t>
            </w:r>
          </w:p>
        </w:tc>
      </w:tr>
    </w:tbl>
    <w:p>
      <w:pPr>
        <w:spacing w:after="120"/>
      </w:pPr>
    </w:p>
    <w:p>
      <w:pPr>
        <w:keepNext/>
        <w:keepLines/>
        <w:spacing w:before="80"/>
        <w:jc w:val="center"/>
      </w:pPr>
      <w:r>
        <w:drawing>
          <wp:inline xmlns:a="http://schemas.openxmlformats.org/drawingml/2006/main" xmlns:pic="http://schemas.openxmlformats.org/drawingml/2006/picture">
            <wp:extent cx="2926080" cy="1028348"/>
            <wp:docPr id="4" name="Picture 4"/>
            <wp:cNvGraphicFramePr>
              <a:graphicFrameLocks noChangeAspect="1"/>
            </wp:cNvGraphicFramePr>
            <a:graphic>
              <a:graphicData uri="http://schemas.openxmlformats.org/drawingml/2006/picture">
                <pic:pic>
                  <pic:nvPicPr>
                    <pic:cNvPr id="0" name="fig4_overfitting.png"/>
                    <pic:cNvPicPr/>
                  </pic:nvPicPr>
                  <pic:blipFill>
                    <a:blip r:embed="rId12"/>
                    <a:stretch>
                      <a:fillRect/>
                    </a:stretch>
                  </pic:blipFill>
                  <pic:spPr>
                    <a:xfrm>
                      <a:off x="0" y="0"/>
                      <a:ext cx="2926080" cy="1028348"/>
                    </a:xfrm>
                    <a:prstGeom prst="rect"/>
                  </pic:spPr>
                </pic:pic>
              </a:graphicData>
            </a:graphic>
          </wp:inline>
        </w:drawing>
      </w:r>
    </w:p>
    <w:p>
      <w:pPr>
        <w:keepLines/>
        <w:spacing w:after="160"/>
        <w:jc w:val="center"/>
      </w:pPr>
      <w:r>
        <w:rPr>
          <w:rFonts w:ascii="Times New Roman" w:hAnsi="Times New Roman"/>
          <w:sz w:val="16"/>
        </w:rPr>
        <w:t>Fig. 4. Validation and learning curves (DS1).</w:t>
      </w:r>
    </w:p>
    <w:p>
      <w:pPr>
        <w:spacing w:after="80" w:before="160" w:line="240" w:lineRule="auto"/>
        <w:jc w:val="left"/>
      </w:pPr>
      <w:r>
        <w:rPr>
          <w:rFonts w:ascii="Times New Roman" w:hAnsi="Times New Roman"/>
          <w:b/>
          <w:i w:val="0"/>
          <w:sz w:val="20"/>
        </w:rPr>
        <w:t>VI. REGULARISATION STUDY</w:t>
      </w:r>
    </w:p>
    <w:p>
      <w:pPr>
        <w:spacing w:after="80" w:before="0" w:line="240" w:lineRule="auto"/>
        <w:jc w:val="both"/>
      </w:pPr>
      <w:r>
        <w:rPr>
          <w:rFonts w:ascii="Times New Roman" w:hAnsi="Times New Roman"/>
          <w:b w:val="0"/>
          <w:i w:val="0"/>
          <w:sz w:val="20"/>
        </w:rPr>
        <w:t>Each penalty is evaluated on all three datasets at matched C=1. Because F1 at the fixed 0.5 threshold is degenerate on the hard imbalanced CHB-MIT task, regularisers are also compared by the threshold-independent PR-AUC and ROC-AUC, which is the methodologically correct comparison under imbalance.</w:t>
      </w:r>
    </w:p>
    <w:p>
      <w:pPr>
        <w:jc w:val="center"/>
      </w:pPr>
      <w:r>
        <w:rPr>
          <w:rFonts w:ascii="Times New Roman" w:hAnsi="Times New Roman"/>
          <w:b/>
          <w:sz w:val="16"/>
        </w:rPr>
        <w:t>TABLE. Regularisation on DS1 UCI.</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Pr>
          <w:p>
            <w:r/>
            <w:r>
              <w:rPr>
                <w:b/>
                <w:sz w:val="16"/>
              </w:rPr>
              <w:t>Penalty</w:t>
            </w:r>
          </w:p>
        </w:tc>
        <w:tc>
          <w:tcPr>
            <w:tcW w:type="dxa" w:w="2102"/>
          </w:tcPr>
          <w:p>
            <w:r/>
            <w:r>
              <w:rPr>
                <w:b/>
                <w:sz w:val="16"/>
              </w:rPr>
              <w:t>F1</w:t>
            </w:r>
          </w:p>
        </w:tc>
        <w:tc>
          <w:tcPr>
            <w:tcW w:type="dxa" w:w="2102"/>
          </w:tcPr>
          <w:p>
            <w:r/>
            <w:r>
              <w:rPr>
                <w:b/>
                <w:sz w:val="16"/>
              </w:rPr>
              <w:t>PR-AUC</w:t>
            </w:r>
          </w:p>
        </w:tc>
        <w:tc>
          <w:tcPr>
            <w:tcW w:type="dxa" w:w="2102"/>
          </w:tcPr>
          <w:p>
            <w:r/>
            <w:r>
              <w:rPr>
                <w:b/>
                <w:sz w:val="16"/>
              </w:rPr>
              <w:t>ROC-AUC</w:t>
            </w:r>
          </w:p>
        </w:tc>
        <w:tc>
          <w:tcPr>
            <w:tcW w:type="dxa" w:w="2102"/>
          </w:tcPr>
          <w:p>
            <w:r/>
            <w:r>
              <w:rPr>
                <w:b/>
                <w:sz w:val="16"/>
              </w:rPr>
              <w:t>Sparsity %</w:t>
            </w:r>
          </w:p>
        </w:tc>
      </w:tr>
      <w:tr>
        <w:tc>
          <w:tcPr>
            <w:tcW w:type="dxa" w:w="2102"/>
          </w:tcPr>
          <w:p>
            <w:r/>
            <w:r>
              <w:rPr>
                <w:sz w:val="16"/>
              </w:rPr>
              <w:t>L2 (Ridge)</w:t>
            </w:r>
          </w:p>
        </w:tc>
        <w:tc>
          <w:tcPr>
            <w:tcW w:type="dxa" w:w="2102"/>
          </w:tcPr>
          <w:p>
            <w:r/>
            <w:r>
              <w:rPr>
                <w:sz w:val="16"/>
              </w:rPr>
              <w:t>0.9375</w:t>
            </w:r>
          </w:p>
        </w:tc>
        <w:tc>
          <w:tcPr>
            <w:tcW w:type="dxa" w:w="2102"/>
          </w:tcPr>
          <w:p>
            <w:r/>
            <w:r>
              <w:rPr>
                <w:sz w:val="16"/>
              </w:rPr>
              <w:t>0.9853</w:t>
            </w:r>
          </w:p>
        </w:tc>
        <w:tc>
          <w:tcPr>
            <w:tcW w:type="dxa" w:w="2102"/>
          </w:tcPr>
          <w:p>
            <w:r/>
            <w:r>
              <w:rPr>
                <w:sz w:val="16"/>
              </w:rPr>
              <w:t>0.9929</w:t>
            </w:r>
          </w:p>
        </w:tc>
        <w:tc>
          <w:tcPr>
            <w:tcW w:type="dxa" w:w="2102"/>
          </w:tcPr>
          <w:p>
            <w:r/>
            <w:r>
              <w:rPr>
                <w:sz w:val="16"/>
              </w:rPr>
              <w:t>0.0</w:t>
            </w:r>
          </w:p>
        </w:tc>
      </w:tr>
      <w:tr>
        <w:tc>
          <w:tcPr>
            <w:tcW w:type="dxa" w:w="2102"/>
          </w:tcPr>
          <w:p>
            <w:r/>
            <w:r>
              <w:rPr>
                <w:sz w:val="16"/>
              </w:rPr>
              <w:t>L1 (Lasso)</w:t>
            </w:r>
          </w:p>
        </w:tc>
        <w:tc>
          <w:tcPr>
            <w:tcW w:type="dxa" w:w="2102"/>
          </w:tcPr>
          <w:p>
            <w:r/>
            <w:r>
              <w:rPr>
                <w:sz w:val="16"/>
              </w:rPr>
              <w:t>0.9401</w:t>
            </w:r>
          </w:p>
        </w:tc>
        <w:tc>
          <w:tcPr>
            <w:tcW w:type="dxa" w:w="2102"/>
          </w:tcPr>
          <w:p>
            <w:r/>
            <w:r>
              <w:rPr>
                <w:sz w:val="16"/>
              </w:rPr>
              <w:t>0.9859</w:t>
            </w:r>
          </w:p>
        </w:tc>
        <w:tc>
          <w:tcPr>
            <w:tcW w:type="dxa" w:w="2102"/>
          </w:tcPr>
          <w:p>
            <w:r/>
            <w:r>
              <w:rPr>
                <w:sz w:val="16"/>
              </w:rPr>
              <w:t>0.9928</w:t>
            </w:r>
          </w:p>
        </w:tc>
        <w:tc>
          <w:tcPr>
            <w:tcW w:type="dxa" w:w="2102"/>
          </w:tcPr>
          <w:p>
            <w:r/>
            <w:r>
              <w:rPr>
                <w:sz w:val="16"/>
              </w:rPr>
              <w:t>20.0</w:t>
            </w:r>
          </w:p>
        </w:tc>
      </w:tr>
      <w:tr>
        <w:tc>
          <w:tcPr>
            <w:tcW w:type="dxa" w:w="2102"/>
          </w:tcPr>
          <w:p>
            <w:r/>
            <w:r>
              <w:rPr>
                <w:sz w:val="16"/>
              </w:rPr>
              <w:t>Elastic Net</w:t>
            </w:r>
          </w:p>
        </w:tc>
        <w:tc>
          <w:tcPr>
            <w:tcW w:type="dxa" w:w="2102"/>
          </w:tcPr>
          <w:p>
            <w:r/>
            <w:r>
              <w:rPr>
                <w:sz w:val="16"/>
              </w:rPr>
              <w:t>0.9378</w:t>
            </w:r>
          </w:p>
        </w:tc>
        <w:tc>
          <w:tcPr>
            <w:tcW w:type="dxa" w:w="2102"/>
          </w:tcPr>
          <w:p>
            <w:r/>
            <w:r>
              <w:rPr>
                <w:sz w:val="16"/>
              </w:rPr>
              <w:t>0.9855</w:t>
            </w:r>
          </w:p>
        </w:tc>
        <w:tc>
          <w:tcPr>
            <w:tcW w:type="dxa" w:w="2102"/>
          </w:tcPr>
          <w:p>
            <w:r/>
            <w:r>
              <w:rPr>
                <w:sz w:val="16"/>
              </w:rPr>
              <w:t>0.9928</w:t>
            </w:r>
          </w:p>
        </w:tc>
        <w:tc>
          <w:tcPr>
            <w:tcW w:type="dxa" w:w="2102"/>
          </w:tcPr>
          <w:p>
            <w:r/>
            <w:r>
              <w:rPr>
                <w:sz w:val="16"/>
              </w:rPr>
              <w:t>0.0</w:t>
            </w:r>
          </w:p>
        </w:tc>
      </w:tr>
      <w:tr>
        <w:tc>
          <w:tcPr>
            <w:tcW w:type="dxa" w:w="2102"/>
          </w:tcPr>
          <w:p>
            <w:r/>
            <w:r>
              <w:rPr>
                <w:sz w:val="16"/>
              </w:rPr>
              <w:t>No penalty</w:t>
            </w:r>
          </w:p>
        </w:tc>
        <w:tc>
          <w:tcPr>
            <w:tcW w:type="dxa" w:w="2102"/>
          </w:tcPr>
          <w:p>
            <w:r/>
            <w:r>
              <w:rPr>
                <w:sz w:val="16"/>
              </w:rPr>
              <w:t>0.9399</w:t>
            </w:r>
          </w:p>
        </w:tc>
        <w:tc>
          <w:tcPr>
            <w:tcW w:type="dxa" w:w="2102"/>
          </w:tcPr>
          <w:p>
            <w:r/>
            <w:r>
              <w:rPr>
                <w:sz w:val="16"/>
              </w:rPr>
              <w:t>0.9862</w:t>
            </w:r>
          </w:p>
        </w:tc>
        <w:tc>
          <w:tcPr>
            <w:tcW w:type="dxa" w:w="2102"/>
          </w:tcPr>
          <w:p>
            <w:r/>
            <w:r>
              <w:rPr>
                <w:sz w:val="16"/>
              </w:rPr>
              <w:t>0.9931</w:t>
            </w:r>
          </w:p>
        </w:tc>
        <w:tc>
          <w:tcPr>
            <w:tcW w:type="dxa" w:w="2102"/>
          </w:tcPr>
          <w:p>
            <w:r/>
            <w:r>
              <w:rPr>
                <w:sz w:val="16"/>
              </w:rPr>
              <w:t>0.0</w:t>
            </w:r>
          </w:p>
        </w:tc>
      </w:tr>
    </w:tbl>
    <w:p>
      <w:pPr>
        <w:spacing w:after="120"/>
      </w:pPr>
    </w:p>
    <w:p>
      <w:pPr>
        <w:jc w:val="center"/>
      </w:pPr>
      <w:r>
        <w:rPr>
          <w:rFonts w:ascii="Times New Roman" w:hAnsi="Times New Roman"/>
          <w:b/>
          <w:sz w:val="16"/>
        </w:rPr>
        <w:t>TABLE. Regularisation on DS2 CHB-MIT.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Pr>
          <w:p>
            <w:r/>
            <w:r>
              <w:rPr>
                <w:b/>
                <w:sz w:val="16"/>
              </w:rPr>
              <w:t>Penalty</w:t>
            </w:r>
          </w:p>
        </w:tc>
        <w:tc>
          <w:tcPr>
            <w:tcW w:type="dxa" w:w="2102"/>
          </w:tcPr>
          <w:p>
            <w:r/>
            <w:r>
              <w:rPr>
                <w:b/>
                <w:sz w:val="16"/>
              </w:rPr>
              <w:t>F1</w:t>
            </w:r>
          </w:p>
        </w:tc>
        <w:tc>
          <w:tcPr>
            <w:tcW w:type="dxa" w:w="2102"/>
          </w:tcPr>
          <w:p>
            <w:r/>
            <w:r>
              <w:rPr>
                <w:b/>
                <w:sz w:val="16"/>
              </w:rPr>
              <w:t>PR-AUC</w:t>
            </w:r>
          </w:p>
        </w:tc>
        <w:tc>
          <w:tcPr>
            <w:tcW w:type="dxa" w:w="2102"/>
          </w:tcPr>
          <w:p>
            <w:r/>
            <w:r>
              <w:rPr>
                <w:b/>
                <w:sz w:val="16"/>
              </w:rPr>
              <w:t>ROC-AUC</w:t>
            </w:r>
          </w:p>
        </w:tc>
        <w:tc>
          <w:tcPr>
            <w:tcW w:type="dxa" w:w="2102"/>
          </w:tcPr>
          <w:p>
            <w:r/>
            <w:r>
              <w:rPr>
                <w:b/>
                <w:sz w:val="16"/>
              </w:rPr>
              <w:t>Sparsity %</w:t>
            </w:r>
          </w:p>
        </w:tc>
      </w:tr>
      <w:tr>
        <w:tc>
          <w:tcPr>
            <w:tcW w:type="dxa" w:w="2102"/>
          </w:tcPr>
          <w:p>
            <w:r/>
            <w:r>
              <w:rPr>
                <w:sz w:val="16"/>
              </w:rPr>
              <w:t>L2 (Ridge)</w:t>
            </w:r>
          </w:p>
        </w:tc>
        <w:tc>
          <w:tcPr>
            <w:tcW w:type="dxa" w:w="2102"/>
          </w:tcPr>
          <w:p>
            <w:r/>
            <w:r>
              <w:rPr>
                <w:sz w:val="16"/>
              </w:rPr>
              <w:t>0.0286</w:t>
            </w:r>
          </w:p>
        </w:tc>
        <w:tc>
          <w:tcPr>
            <w:tcW w:type="dxa" w:w="2102"/>
          </w:tcPr>
          <w:p>
            <w:r/>
            <w:r>
              <w:rPr>
                <w:sz w:val="16"/>
              </w:rPr>
              <w:t>0.3485</w:t>
            </w:r>
          </w:p>
        </w:tc>
        <w:tc>
          <w:tcPr>
            <w:tcW w:type="dxa" w:w="2102"/>
          </w:tcPr>
          <w:p>
            <w:r/>
            <w:r>
              <w:rPr>
                <w:sz w:val="16"/>
              </w:rPr>
              <w:t>0.6931</w:t>
            </w:r>
          </w:p>
        </w:tc>
        <w:tc>
          <w:tcPr>
            <w:tcW w:type="dxa" w:w="2102"/>
          </w:tcPr>
          <w:p>
            <w:r/>
            <w:r>
              <w:rPr>
                <w:sz w:val="16"/>
              </w:rPr>
              <w:t>0.0</w:t>
            </w:r>
          </w:p>
        </w:tc>
      </w:tr>
      <w:tr>
        <w:tc>
          <w:tcPr>
            <w:tcW w:type="dxa" w:w="2102"/>
          </w:tcPr>
          <w:p>
            <w:r/>
            <w:r>
              <w:rPr>
                <w:sz w:val="16"/>
              </w:rPr>
              <w:t>L1 (Lasso)</w:t>
            </w:r>
          </w:p>
        </w:tc>
        <w:tc>
          <w:tcPr>
            <w:tcW w:type="dxa" w:w="2102"/>
          </w:tcPr>
          <w:p>
            <w:r/>
            <w:r>
              <w:rPr>
                <w:sz w:val="16"/>
              </w:rPr>
              <w:t>0.0571</w:t>
            </w:r>
          </w:p>
        </w:tc>
        <w:tc>
          <w:tcPr>
            <w:tcW w:type="dxa" w:w="2102"/>
          </w:tcPr>
          <w:p>
            <w:r/>
            <w:r>
              <w:rPr>
                <w:sz w:val="16"/>
              </w:rPr>
              <w:t>0.3588</w:t>
            </w:r>
          </w:p>
        </w:tc>
        <w:tc>
          <w:tcPr>
            <w:tcW w:type="dxa" w:w="2102"/>
          </w:tcPr>
          <w:p>
            <w:r/>
            <w:r>
              <w:rPr>
                <w:sz w:val="16"/>
              </w:rPr>
              <w:t>0.6991</w:t>
            </w:r>
          </w:p>
        </w:tc>
        <w:tc>
          <w:tcPr>
            <w:tcW w:type="dxa" w:w="2102"/>
          </w:tcPr>
          <w:p>
            <w:r/>
            <w:r>
              <w:rPr>
                <w:sz w:val="16"/>
              </w:rPr>
              <w:t>26.7</w:t>
            </w:r>
          </w:p>
        </w:tc>
      </w:tr>
      <w:tr>
        <w:tc>
          <w:tcPr>
            <w:tcW w:type="dxa" w:w="2102"/>
          </w:tcPr>
          <w:p>
            <w:r/>
            <w:r>
              <w:rPr>
                <w:sz w:val="16"/>
              </w:rPr>
              <w:t>Elastic Net</w:t>
            </w:r>
          </w:p>
        </w:tc>
        <w:tc>
          <w:tcPr>
            <w:tcW w:type="dxa" w:w="2102"/>
          </w:tcPr>
          <w:p>
            <w:r/>
            <w:r>
              <w:rPr>
                <w:sz w:val="16"/>
              </w:rPr>
              <w:t>0.029</w:t>
            </w:r>
          </w:p>
        </w:tc>
        <w:tc>
          <w:tcPr>
            <w:tcW w:type="dxa" w:w="2102"/>
          </w:tcPr>
          <w:p>
            <w:r/>
            <w:r>
              <w:rPr>
                <w:sz w:val="16"/>
              </w:rPr>
              <w:t>0.3567</w:t>
            </w:r>
          </w:p>
        </w:tc>
        <w:tc>
          <w:tcPr>
            <w:tcW w:type="dxa" w:w="2102"/>
          </w:tcPr>
          <w:p>
            <w:r/>
            <w:r>
              <w:rPr>
                <w:sz w:val="16"/>
              </w:rPr>
              <w:t>0.6978</w:t>
            </w:r>
          </w:p>
        </w:tc>
        <w:tc>
          <w:tcPr>
            <w:tcW w:type="dxa" w:w="2102"/>
          </w:tcPr>
          <w:p>
            <w:r/>
            <w:r>
              <w:rPr>
                <w:sz w:val="16"/>
              </w:rPr>
              <w:t>13.3</w:t>
            </w:r>
          </w:p>
        </w:tc>
      </w:tr>
      <w:tr>
        <w:tc>
          <w:tcPr>
            <w:tcW w:type="dxa" w:w="2102"/>
          </w:tcPr>
          <w:p>
            <w:r/>
            <w:r>
              <w:rPr>
                <w:sz w:val="16"/>
              </w:rPr>
              <w:t>No penalty</w:t>
            </w:r>
          </w:p>
        </w:tc>
        <w:tc>
          <w:tcPr>
            <w:tcW w:type="dxa" w:w="2102"/>
          </w:tcPr>
          <w:p>
            <w:r/>
            <w:r>
              <w:rPr>
                <w:sz w:val="16"/>
              </w:rPr>
              <w:t>0.0282</w:t>
            </w:r>
          </w:p>
        </w:tc>
        <w:tc>
          <w:tcPr>
            <w:tcW w:type="dxa" w:w="2102"/>
          </w:tcPr>
          <w:p>
            <w:r/>
            <w:r>
              <w:rPr>
                <w:sz w:val="16"/>
              </w:rPr>
              <w:t>0.3357</w:t>
            </w:r>
          </w:p>
        </w:tc>
        <w:tc>
          <w:tcPr>
            <w:tcW w:type="dxa" w:w="2102"/>
          </w:tcPr>
          <w:p>
            <w:r/>
            <w:r>
              <w:rPr>
                <w:sz w:val="16"/>
              </w:rPr>
              <w:t>0.6881</w:t>
            </w:r>
          </w:p>
        </w:tc>
        <w:tc>
          <w:tcPr>
            <w:tcW w:type="dxa" w:w="2102"/>
          </w:tcPr>
          <w:p>
            <w:r/>
            <w:r>
              <w:rPr>
                <w:sz w:val="16"/>
              </w:rPr>
              <w:t>0.0</w:t>
            </w:r>
          </w:p>
        </w:tc>
      </w:tr>
    </w:tbl>
    <w:p>
      <w:pPr>
        <w:spacing w:after="120"/>
      </w:pPr>
    </w:p>
    <w:p>
      <w:pPr>
        <w:jc w:val="center"/>
      </w:pPr>
      <w:r>
        <w:rPr>
          <w:rFonts w:ascii="Times New Roman" w:hAnsi="Times New Roman"/>
          <w:b/>
          <w:sz w:val="16"/>
        </w:rPr>
        <w:t>TABLE. Regularisation on DS3 Bonn.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Pr>
          <w:p>
            <w:r/>
            <w:r>
              <w:rPr>
                <w:b/>
                <w:sz w:val="16"/>
              </w:rPr>
              <w:t>Penalty</w:t>
            </w:r>
          </w:p>
        </w:tc>
        <w:tc>
          <w:tcPr>
            <w:tcW w:type="dxa" w:w="2102"/>
          </w:tcPr>
          <w:p>
            <w:r/>
            <w:r>
              <w:rPr>
                <w:b/>
                <w:sz w:val="16"/>
              </w:rPr>
              <w:t>F1</w:t>
            </w:r>
          </w:p>
        </w:tc>
        <w:tc>
          <w:tcPr>
            <w:tcW w:type="dxa" w:w="2102"/>
          </w:tcPr>
          <w:p>
            <w:r/>
            <w:r>
              <w:rPr>
                <w:b/>
                <w:sz w:val="16"/>
              </w:rPr>
              <w:t>PR-AUC</w:t>
            </w:r>
          </w:p>
        </w:tc>
        <w:tc>
          <w:tcPr>
            <w:tcW w:type="dxa" w:w="2102"/>
          </w:tcPr>
          <w:p>
            <w:r/>
            <w:r>
              <w:rPr>
                <w:b/>
                <w:sz w:val="16"/>
              </w:rPr>
              <w:t>ROC-AUC</w:t>
            </w:r>
          </w:p>
        </w:tc>
        <w:tc>
          <w:tcPr>
            <w:tcW w:type="dxa" w:w="2102"/>
          </w:tcPr>
          <w:p>
            <w:r/>
            <w:r>
              <w:rPr>
                <w:b/>
                <w:sz w:val="16"/>
              </w:rPr>
              <w:t>Sparsity %</w:t>
            </w:r>
          </w:p>
        </w:tc>
      </w:tr>
      <w:tr>
        <w:tc>
          <w:tcPr>
            <w:tcW w:type="dxa" w:w="2102"/>
          </w:tcPr>
          <w:p>
            <w:r/>
            <w:r>
              <w:rPr>
                <w:sz w:val="16"/>
              </w:rPr>
              <w:t>L2 (Ridge)</w:t>
            </w:r>
          </w:p>
        </w:tc>
        <w:tc>
          <w:tcPr>
            <w:tcW w:type="dxa" w:w="2102"/>
          </w:tcPr>
          <w:p>
            <w:r/>
            <w:r>
              <w:rPr>
                <w:sz w:val="16"/>
              </w:rPr>
              <w:t>0.9302</w:t>
            </w:r>
          </w:p>
        </w:tc>
        <w:tc>
          <w:tcPr>
            <w:tcW w:type="dxa" w:w="2102"/>
          </w:tcPr>
          <w:p>
            <w:r/>
            <w:r>
              <w:rPr>
                <w:sz w:val="16"/>
              </w:rPr>
              <w:t>0.9461</w:t>
            </w:r>
          </w:p>
        </w:tc>
        <w:tc>
          <w:tcPr>
            <w:tcW w:type="dxa" w:w="2102"/>
          </w:tcPr>
          <w:p>
            <w:r/>
            <w:r>
              <w:rPr>
                <w:sz w:val="16"/>
              </w:rPr>
              <w:t>0.9875</w:t>
            </w:r>
          </w:p>
        </w:tc>
        <w:tc>
          <w:tcPr>
            <w:tcW w:type="dxa" w:w="2102"/>
          </w:tcPr>
          <w:p>
            <w:r/>
            <w:r>
              <w:rPr>
                <w:sz w:val="16"/>
              </w:rPr>
              <w:t>0.0</w:t>
            </w:r>
          </w:p>
        </w:tc>
      </w:tr>
      <w:tr>
        <w:tc>
          <w:tcPr>
            <w:tcW w:type="dxa" w:w="2102"/>
          </w:tcPr>
          <w:p>
            <w:r/>
            <w:r>
              <w:rPr>
                <w:sz w:val="16"/>
              </w:rPr>
              <w:t>L1 (Lasso)</w:t>
            </w:r>
          </w:p>
        </w:tc>
        <w:tc>
          <w:tcPr>
            <w:tcW w:type="dxa" w:w="2102"/>
          </w:tcPr>
          <w:p>
            <w:r/>
            <w:r>
              <w:rPr>
                <w:sz w:val="16"/>
              </w:rPr>
              <w:t>0.9091</w:t>
            </w:r>
          </w:p>
        </w:tc>
        <w:tc>
          <w:tcPr>
            <w:tcW w:type="dxa" w:w="2102"/>
          </w:tcPr>
          <w:p>
            <w:r/>
            <w:r>
              <w:rPr>
                <w:sz w:val="16"/>
              </w:rPr>
              <w:t>0.9499</w:t>
            </w:r>
          </w:p>
        </w:tc>
        <w:tc>
          <w:tcPr>
            <w:tcW w:type="dxa" w:w="2102"/>
          </w:tcPr>
          <w:p>
            <w:r/>
            <w:r>
              <w:rPr>
                <w:sz w:val="16"/>
              </w:rPr>
              <w:t>0.9881</w:t>
            </w:r>
          </w:p>
        </w:tc>
        <w:tc>
          <w:tcPr>
            <w:tcW w:type="dxa" w:w="2102"/>
          </w:tcPr>
          <w:p>
            <w:r/>
            <w:r>
              <w:rPr>
                <w:sz w:val="16"/>
              </w:rPr>
              <w:t>40.0</w:t>
            </w:r>
          </w:p>
        </w:tc>
      </w:tr>
      <w:tr>
        <w:tc>
          <w:tcPr>
            <w:tcW w:type="dxa" w:w="2102"/>
          </w:tcPr>
          <w:p>
            <w:r/>
            <w:r>
              <w:rPr>
                <w:sz w:val="16"/>
              </w:rPr>
              <w:t>Elastic Net</w:t>
            </w:r>
          </w:p>
        </w:tc>
        <w:tc>
          <w:tcPr>
            <w:tcW w:type="dxa" w:w="2102"/>
          </w:tcPr>
          <w:p>
            <w:r/>
            <w:r>
              <w:rPr>
                <w:sz w:val="16"/>
              </w:rPr>
              <w:t>0.9302</w:t>
            </w:r>
          </w:p>
        </w:tc>
        <w:tc>
          <w:tcPr>
            <w:tcW w:type="dxa" w:w="2102"/>
          </w:tcPr>
          <w:p>
            <w:r/>
            <w:r>
              <w:rPr>
                <w:sz w:val="16"/>
              </w:rPr>
              <w:t>0.9499</w:t>
            </w:r>
          </w:p>
        </w:tc>
        <w:tc>
          <w:tcPr>
            <w:tcW w:type="dxa" w:w="2102"/>
          </w:tcPr>
          <w:p>
            <w:r/>
            <w:r>
              <w:rPr>
                <w:sz w:val="16"/>
              </w:rPr>
              <w:t>0.9881</w:t>
            </w:r>
          </w:p>
        </w:tc>
        <w:tc>
          <w:tcPr>
            <w:tcW w:type="dxa" w:w="2102"/>
          </w:tcPr>
          <w:p>
            <w:r/>
            <w:r>
              <w:rPr>
                <w:sz w:val="16"/>
              </w:rPr>
              <w:t>13.3</w:t>
            </w:r>
          </w:p>
        </w:tc>
      </w:tr>
      <w:tr>
        <w:tc>
          <w:tcPr>
            <w:tcW w:type="dxa" w:w="2102"/>
          </w:tcPr>
          <w:p>
            <w:r/>
            <w:r>
              <w:rPr>
                <w:sz w:val="16"/>
              </w:rPr>
              <w:t>No penalty</w:t>
            </w:r>
          </w:p>
        </w:tc>
        <w:tc>
          <w:tcPr>
            <w:tcW w:type="dxa" w:w="2102"/>
          </w:tcPr>
          <w:p>
            <w:r/>
            <w:r>
              <w:rPr>
                <w:sz w:val="16"/>
              </w:rPr>
              <w:t>0.9268</w:t>
            </w:r>
          </w:p>
        </w:tc>
        <w:tc>
          <w:tcPr>
            <w:tcW w:type="dxa" w:w="2102"/>
          </w:tcPr>
          <w:p>
            <w:r/>
            <w:r>
              <w:rPr>
                <w:sz w:val="16"/>
              </w:rPr>
              <w:t>0.8695</w:t>
            </w:r>
          </w:p>
        </w:tc>
        <w:tc>
          <w:tcPr>
            <w:tcW w:type="dxa" w:w="2102"/>
          </w:tcPr>
          <w:p>
            <w:r/>
            <w:r>
              <w:rPr>
                <w:sz w:val="16"/>
              </w:rPr>
              <w:t>0.9406</w:t>
            </w:r>
          </w:p>
        </w:tc>
        <w:tc>
          <w:tcPr>
            <w:tcW w:type="dxa" w:w="2102"/>
          </w:tcPr>
          <w:p>
            <w:r/>
            <w:r>
              <w:rPr>
                <w:sz w:val="16"/>
              </w:rPr>
              <w:t>0.0</w:t>
            </w:r>
          </w:p>
        </w:tc>
      </w:tr>
    </w:tbl>
    <w:p>
      <w:pPr>
        <w:spacing w:after="120"/>
      </w:pPr>
    </w:p>
    <w:p>
      <w:pPr>
        <w:keepNext/>
        <w:keepLines/>
        <w:spacing w:before="80"/>
        <w:jc w:val="center"/>
      </w:pPr>
      <w:r>
        <w:drawing>
          <wp:inline xmlns:a="http://schemas.openxmlformats.org/drawingml/2006/main" xmlns:pic="http://schemas.openxmlformats.org/drawingml/2006/picture">
            <wp:extent cx="2926080" cy="809587"/>
            <wp:docPr id="5" name="Picture 5"/>
            <wp:cNvGraphicFramePr>
              <a:graphicFrameLocks noChangeAspect="1"/>
            </wp:cNvGraphicFramePr>
            <a:graphic>
              <a:graphicData uri="http://schemas.openxmlformats.org/drawingml/2006/picture">
                <pic:pic>
                  <pic:nvPicPr>
                    <pic:cNvPr id="0" name="fig5_regularisation.png"/>
                    <pic:cNvPicPr/>
                  </pic:nvPicPr>
                  <pic:blipFill>
                    <a:blip r:embed="rId13"/>
                    <a:stretch>
                      <a:fillRect/>
                    </a:stretch>
                  </pic:blipFill>
                  <pic:spPr>
                    <a:xfrm>
                      <a:off x="0" y="0"/>
                      <a:ext cx="2926080" cy="809587"/>
                    </a:xfrm>
                    <a:prstGeom prst="rect"/>
                  </pic:spPr>
                </pic:pic>
              </a:graphicData>
            </a:graphic>
          </wp:inline>
        </w:drawing>
      </w:r>
    </w:p>
    <w:p>
      <w:pPr>
        <w:keepLines/>
        <w:spacing w:after="160"/>
        <w:jc w:val="center"/>
      </w:pPr>
      <w:r>
        <w:rPr>
          <w:rFonts w:ascii="Times New Roman" w:hAnsi="Times New Roman"/>
          <w:sz w:val="16"/>
        </w:rPr>
        <w:t>Fig. 5. F1, PR-AUC and ROC-AUC by penalty across datasets.</w:t>
      </w:r>
    </w:p>
    <w:p>
      <w:pPr>
        <w:spacing w:after="80" w:before="160" w:line="240" w:lineRule="auto"/>
        <w:jc w:val="left"/>
      </w:pPr>
      <w:r>
        <w:rPr>
          <w:rFonts w:ascii="Times New Roman" w:hAnsi="Times New Roman"/>
          <w:b/>
          <w:i w:val="0"/>
          <w:sz w:val="20"/>
        </w:rPr>
        <w:t>VII. CLASS IMBALANCE HANDLING</w:t>
      </w:r>
    </w:p>
    <w:p>
      <w:pPr>
        <w:spacing w:after="80" w:before="0" w:line="240" w:lineRule="auto"/>
        <w:jc w:val="both"/>
      </w:pPr>
      <w:r>
        <w:rPr>
          <w:rFonts w:ascii="Times New Roman" w:hAnsi="Times New Roman"/>
          <w:b w:val="0"/>
          <w:i w:val="0"/>
          <w:sz w:val="20"/>
        </w:rPr>
        <w:t>DS2 carries natural imbalance; DS1* is an honestly-labelled controlled subsample of DS1 at ~4% positives (positives down-sampled - a legitimate experimental manipulation). On the hard CHB-MIT task, resampling and class-weighting raise recall and F1 substantially over the unadjusted model.</w:t>
      </w:r>
    </w:p>
    <w:p>
      <w:pPr>
        <w:jc w:val="center"/>
      </w:pPr>
      <w:r>
        <w:rPr>
          <w:rFonts w:ascii="Times New Roman" w:hAnsi="Times New Roman"/>
          <w:b/>
          <w:sz w:val="16"/>
        </w:rPr>
        <w:t>TABLE IV. Imbalance strategies.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
              <w:rPr>
                <w:b/>
                <w:sz w:val="16"/>
              </w:rPr>
              <w:t>Dataset</w:t>
            </w:r>
          </w:p>
        </w:tc>
        <w:tc>
          <w:tcPr>
            <w:tcW w:type="dxa" w:w="1752"/>
          </w:tcPr>
          <w:p>
            <w:r/>
            <w:r>
              <w:rPr>
                <w:b/>
                <w:sz w:val="16"/>
              </w:rPr>
              <w:t>Strategy</w:t>
            </w:r>
          </w:p>
        </w:tc>
        <w:tc>
          <w:tcPr>
            <w:tcW w:type="dxa" w:w="1752"/>
          </w:tcPr>
          <w:p>
            <w:r/>
            <w:r>
              <w:rPr>
                <w:b/>
                <w:sz w:val="16"/>
              </w:rPr>
              <w:t>Precision</w:t>
            </w:r>
          </w:p>
        </w:tc>
        <w:tc>
          <w:tcPr>
            <w:tcW w:type="dxa" w:w="1752"/>
          </w:tcPr>
          <w:p>
            <w:r/>
            <w:r>
              <w:rPr>
                <w:b/>
                <w:sz w:val="16"/>
              </w:rPr>
              <w:t>Recall</w:t>
            </w:r>
          </w:p>
        </w:tc>
        <w:tc>
          <w:tcPr>
            <w:tcW w:type="dxa" w:w="1752"/>
          </w:tcPr>
          <w:p>
            <w:r/>
            <w:r>
              <w:rPr>
                <w:b/>
                <w:sz w:val="16"/>
              </w:rPr>
              <w:t>F1</w:t>
            </w:r>
          </w:p>
        </w:tc>
        <w:tc>
          <w:tcPr>
            <w:tcW w:type="dxa" w:w="1752"/>
          </w:tcPr>
          <w:p>
            <w:r/>
            <w:r>
              <w:rPr>
                <w:b/>
                <w:sz w:val="16"/>
              </w:rPr>
              <w:t>PR-AUC</w:t>
            </w:r>
          </w:p>
        </w:tc>
      </w:tr>
      <w:tr>
        <w:tc>
          <w:tcPr>
            <w:tcW w:type="dxa" w:w="1752"/>
          </w:tcPr>
          <w:p>
            <w:r/>
            <w:r>
              <w:rPr>
                <w:sz w:val="16"/>
              </w:rPr>
              <w:t>DS1 (20% nat.)</w:t>
            </w:r>
          </w:p>
        </w:tc>
        <w:tc>
          <w:tcPr>
            <w:tcW w:type="dxa" w:w="1752"/>
          </w:tcPr>
          <w:p>
            <w:r/>
            <w:r>
              <w:rPr>
                <w:sz w:val="16"/>
              </w:rPr>
              <w:t>None</w:t>
            </w:r>
          </w:p>
        </w:tc>
        <w:tc>
          <w:tcPr>
            <w:tcW w:type="dxa" w:w="1752"/>
          </w:tcPr>
          <w:p>
            <w:r/>
            <w:r>
              <w:rPr>
                <w:sz w:val="16"/>
              </w:rPr>
              <w:t>0.9633</w:t>
            </w:r>
          </w:p>
        </w:tc>
        <w:tc>
          <w:tcPr>
            <w:tcW w:type="dxa" w:w="1752"/>
          </w:tcPr>
          <w:p>
            <w:r/>
            <w:r>
              <w:rPr>
                <w:sz w:val="16"/>
              </w:rPr>
              <w:t>0.913</w:t>
            </w:r>
          </w:p>
        </w:tc>
        <w:tc>
          <w:tcPr>
            <w:tcW w:type="dxa" w:w="1752"/>
          </w:tcPr>
          <w:p>
            <w:r/>
            <w:r>
              <w:rPr>
                <w:sz w:val="16"/>
              </w:rPr>
              <w:t>0.9375</w:t>
            </w:r>
          </w:p>
        </w:tc>
        <w:tc>
          <w:tcPr>
            <w:tcW w:type="dxa" w:w="1752"/>
          </w:tcPr>
          <w:p>
            <w:r/>
            <w:r>
              <w:rPr>
                <w:sz w:val="16"/>
              </w:rPr>
              <w:t>0.9853</w:t>
            </w:r>
          </w:p>
        </w:tc>
      </w:tr>
      <w:tr>
        <w:tc>
          <w:tcPr>
            <w:tcW w:type="dxa" w:w="1752"/>
          </w:tcPr>
          <w:p>
            <w:r/>
            <w:r>
              <w:rPr>
                <w:sz w:val="16"/>
              </w:rPr>
              <w:t>DS1 (20% nat.)</w:t>
            </w:r>
          </w:p>
        </w:tc>
        <w:tc>
          <w:tcPr>
            <w:tcW w:type="dxa" w:w="1752"/>
          </w:tcPr>
          <w:p>
            <w:r/>
            <w:r>
              <w:rPr>
                <w:sz w:val="16"/>
              </w:rPr>
              <w:t>Class weight</w:t>
            </w:r>
          </w:p>
        </w:tc>
        <w:tc>
          <w:tcPr>
            <w:tcW w:type="dxa" w:w="1752"/>
          </w:tcPr>
          <w:p>
            <w:r/>
            <w:r>
              <w:rPr>
                <w:sz w:val="16"/>
              </w:rPr>
              <w:t>0.8982</w:t>
            </w:r>
          </w:p>
        </w:tc>
        <w:tc>
          <w:tcPr>
            <w:tcW w:type="dxa" w:w="1752"/>
          </w:tcPr>
          <w:p>
            <w:r/>
            <w:r>
              <w:rPr>
                <w:sz w:val="16"/>
              </w:rPr>
              <w:t>0.9587</w:t>
            </w:r>
          </w:p>
        </w:tc>
        <w:tc>
          <w:tcPr>
            <w:tcW w:type="dxa" w:w="1752"/>
          </w:tcPr>
          <w:p>
            <w:r/>
            <w:r>
              <w:rPr>
                <w:sz w:val="16"/>
              </w:rPr>
              <w:t>0.9274</w:t>
            </w:r>
          </w:p>
        </w:tc>
        <w:tc>
          <w:tcPr>
            <w:tcW w:type="dxa" w:w="1752"/>
          </w:tcPr>
          <w:p>
            <w:r/>
            <w:r>
              <w:rPr>
                <w:sz w:val="16"/>
              </w:rPr>
              <w:t>0.9845</w:t>
            </w:r>
          </w:p>
        </w:tc>
      </w:tr>
      <w:tr>
        <w:tc>
          <w:tcPr>
            <w:tcW w:type="dxa" w:w="1752"/>
          </w:tcPr>
          <w:p>
            <w:r/>
            <w:r>
              <w:rPr>
                <w:sz w:val="16"/>
              </w:rPr>
              <w:t>DS1 (20% nat.)</w:t>
            </w:r>
          </w:p>
        </w:tc>
        <w:tc>
          <w:tcPr>
            <w:tcW w:type="dxa" w:w="1752"/>
          </w:tcPr>
          <w:p>
            <w:r/>
            <w:r>
              <w:rPr>
                <w:sz w:val="16"/>
              </w:rPr>
              <w:t>SMOTE</w:t>
            </w:r>
          </w:p>
        </w:tc>
        <w:tc>
          <w:tcPr>
            <w:tcW w:type="dxa" w:w="1752"/>
          </w:tcPr>
          <w:p>
            <w:r/>
            <w:r>
              <w:rPr>
                <w:sz w:val="16"/>
              </w:rPr>
              <w:t>0.9018</w:t>
            </w:r>
          </w:p>
        </w:tc>
        <w:tc>
          <w:tcPr>
            <w:tcW w:type="dxa" w:w="1752"/>
          </w:tcPr>
          <w:p>
            <w:r/>
            <w:r>
              <w:rPr>
                <w:sz w:val="16"/>
              </w:rPr>
              <w:t>0.9587</w:t>
            </w:r>
          </w:p>
        </w:tc>
        <w:tc>
          <w:tcPr>
            <w:tcW w:type="dxa" w:w="1752"/>
          </w:tcPr>
          <w:p>
            <w:r/>
            <w:r>
              <w:rPr>
                <w:sz w:val="16"/>
              </w:rPr>
              <w:t>0.9294</w:t>
            </w:r>
          </w:p>
        </w:tc>
        <w:tc>
          <w:tcPr>
            <w:tcW w:type="dxa" w:w="1752"/>
          </w:tcPr>
          <w:p>
            <w:r/>
            <w:r>
              <w:rPr>
                <w:sz w:val="16"/>
              </w:rPr>
              <w:t>0.9852</w:t>
            </w:r>
          </w:p>
        </w:tc>
      </w:tr>
      <w:tr>
        <w:tc>
          <w:tcPr>
            <w:tcW w:type="dxa" w:w="1752"/>
          </w:tcPr>
          <w:p>
            <w:r/>
            <w:r>
              <w:rPr>
                <w:sz w:val="16"/>
              </w:rPr>
              <w:t>DS1 (20% nat.)</w:t>
            </w:r>
          </w:p>
        </w:tc>
        <w:tc>
          <w:tcPr>
            <w:tcW w:type="dxa" w:w="1752"/>
          </w:tcPr>
          <w:p>
            <w:r/>
            <w:r>
              <w:rPr>
                <w:sz w:val="16"/>
              </w:rPr>
              <w:t>Undersample</w:t>
            </w:r>
          </w:p>
        </w:tc>
        <w:tc>
          <w:tcPr>
            <w:tcW w:type="dxa" w:w="1752"/>
          </w:tcPr>
          <w:p>
            <w:r/>
            <w:r>
              <w:rPr>
                <w:sz w:val="16"/>
              </w:rPr>
              <w:t>0.8929</w:t>
            </w:r>
          </w:p>
        </w:tc>
        <w:tc>
          <w:tcPr>
            <w:tcW w:type="dxa" w:w="1752"/>
          </w:tcPr>
          <w:p>
            <w:r/>
            <w:r>
              <w:rPr>
                <w:sz w:val="16"/>
              </w:rPr>
              <w:t>0.9609</w:t>
            </w:r>
          </w:p>
        </w:tc>
        <w:tc>
          <w:tcPr>
            <w:tcW w:type="dxa" w:w="1752"/>
          </w:tcPr>
          <w:p>
            <w:r/>
            <w:r>
              <w:rPr>
                <w:sz w:val="16"/>
              </w:rPr>
              <w:t>0.9257</w:t>
            </w:r>
          </w:p>
        </w:tc>
        <w:tc>
          <w:tcPr>
            <w:tcW w:type="dxa" w:w="1752"/>
          </w:tcPr>
          <w:p>
            <w:r/>
            <w:r>
              <w:rPr>
                <w:sz w:val="16"/>
              </w:rPr>
              <w:t>0.9846</w:t>
            </w:r>
          </w:p>
        </w:tc>
      </w:tr>
      <w:tr>
        <w:tc>
          <w:tcPr>
            <w:tcW w:type="dxa" w:w="1752"/>
          </w:tcPr>
          <w:p>
            <w:r/>
            <w:r>
              <w:rPr>
                <w:sz w:val="16"/>
              </w:rPr>
              <w:t>DS2 (22% nat.)</w:t>
            </w:r>
          </w:p>
        </w:tc>
        <w:tc>
          <w:tcPr>
            <w:tcW w:type="dxa" w:w="1752"/>
          </w:tcPr>
          <w:p>
            <w:r/>
            <w:r>
              <w:rPr>
                <w:sz w:val="16"/>
              </w:rPr>
              <w:t>None</w:t>
            </w:r>
          </w:p>
        </w:tc>
        <w:tc>
          <w:tcPr>
            <w:tcW w:type="dxa" w:w="1752"/>
          </w:tcPr>
          <w:p>
            <w:r/>
            <w:r>
              <w:rPr>
                <w:sz w:val="16"/>
              </w:rPr>
              <w:t>0.25</w:t>
            </w:r>
          </w:p>
        </w:tc>
        <w:tc>
          <w:tcPr>
            <w:tcW w:type="dxa" w:w="1752"/>
          </w:tcPr>
          <w:p>
            <w:r/>
            <w:r>
              <w:rPr>
                <w:sz w:val="16"/>
              </w:rPr>
              <w:t>0.0152</w:t>
            </w:r>
          </w:p>
        </w:tc>
        <w:tc>
          <w:tcPr>
            <w:tcW w:type="dxa" w:w="1752"/>
          </w:tcPr>
          <w:p>
            <w:r/>
            <w:r>
              <w:rPr>
                <w:sz w:val="16"/>
              </w:rPr>
              <w:t>0.0286</w:t>
            </w:r>
          </w:p>
        </w:tc>
        <w:tc>
          <w:tcPr>
            <w:tcW w:type="dxa" w:w="1752"/>
          </w:tcPr>
          <w:p>
            <w:r/>
            <w:r>
              <w:rPr>
                <w:sz w:val="16"/>
              </w:rPr>
              <w:t>0.3485</w:t>
            </w:r>
          </w:p>
        </w:tc>
      </w:tr>
      <w:tr>
        <w:tc>
          <w:tcPr>
            <w:tcW w:type="dxa" w:w="1752"/>
          </w:tcPr>
          <w:p>
            <w:r/>
            <w:r>
              <w:rPr>
                <w:sz w:val="16"/>
              </w:rPr>
              <w:t>DS2 (22% nat.)</w:t>
            </w:r>
          </w:p>
        </w:tc>
        <w:tc>
          <w:tcPr>
            <w:tcW w:type="dxa" w:w="1752"/>
          </w:tcPr>
          <w:p>
            <w:r/>
            <w:r>
              <w:rPr>
                <w:sz w:val="16"/>
              </w:rPr>
              <w:t>Class weight</w:t>
            </w:r>
          </w:p>
        </w:tc>
        <w:tc>
          <w:tcPr>
            <w:tcW w:type="dxa" w:w="1752"/>
          </w:tcPr>
          <w:p>
            <w:r/>
            <w:r>
              <w:rPr>
                <w:sz w:val="16"/>
              </w:rPr>
              <w:t>0.3435</w:t>
            </w:r>
          </w:p>
        </w:tc>
        <w:tc>
          <w:tcPr>
            <w:tcW w:type="dxa" w:w="1752"/>
          </w:tcPr>
          <w:p>
            <w:r/>
            <w:r>
              <w:rPr>
                <w:sz w:val="16"/>
              </w:rPr>
              <w:t>0.6818</w:t>
            </w:r>
          </w:p>
        </w:tc>
        <w:tc>
          <w:tcPr>
            <w:tcW w:type="dxa" w:w="1752"/>
          </w:tcPr>
          <w:p>
            <w:r/>
            <w:r>
              <w:rPr>
                <w:sz w:val="16"/>
              </w:rPr>
              <w:t>0.4569</w:t>
            </w:r>
          </w:p>
        </w:tc>
        <w:tc>
          <w:tcPr>
            <w:tcW w:type="dxa" w:w="1752"/>
          </w:tcPr>
          <w:p>
            <w:r/>
            <w:r>
              <w:rPr>
                <w:sz w:val="16"/>
              </w:rPr>
              <w:t>0.3347</w:t>
            </w:r>
          </w:p>
        </w:tc>
      </w:tr>
      <w:tr>
        <w:tc>
          <w:tcPr>
            <w:tcW w:type="dxa" w:w="1752"/>
          </w:tcPr>
          <w:p>
            <w:r/>
            <w:r>
              <w:rPr>
                <w:sz w:val="16"/>
              </w:rPr>
              <w:t>DS2 (22% nat.)</w:t>
            </w:r>
          </w:p>
        </w:tc>
        <w:tc>
          <w:tcPr>
            <w:tcW w:type="dxa" w:w="1752"/>
          </w:tcPr>
          <w:p>
            <w:r/>
            <w:r>
              <w:rPr>
                <w:sz w:val="16"/>
              </w:rPr>
              <w:t>SMOTE</w:t>
            </w:r>
          </w:p>
        </w:tc>
        <w:tc>
          <w:tcPr>
            <w:tcW w:type="dxa" w:w="1752"/>
          </w:tcPr>
          <w:p>
            <w:r/>
            <w:r>
              <w:rPr>
                <w:sz w:val="16"/>
              </w:rPr>
              <w:t>0.3629</w:t>
            </w:r>
          </w:p>
        </w:tc>
        <w:tc>
          <w:tcPr>
            <w:tcW w:type="dxa" w:w="1752"/>
          </w:tcPr>
          <w:p>
            <w:r/>
            <w:r>
              <w:rPr>
                <w:sz w:val="16"/>
              </w:rPr>
              <w:t>0.6818</w:t>
            </w:r>
          </w:p>
        </w:tc>
        <w:tc>
          <w:tcPr>
            <w:tcW w:type="dxa" w:w="1752"/>
          </w:tcPr>
          <w:p>
            <w:r/>
            <w:r>
              <w:rPr>
                <w:sz w:val="16"/>
              </w:rPr>
              <w:t>0.4737</w:t>
            </w:r>
          </w:p>
        </w:tc>
        <w:tc>
          <w:tcPr>
            <w:tcW w:type="dxa" w:w="1752"/>
          </w:tcPr>
          <w:p>
            <w:r/>
            <w:r>
              <w:rPr>
                <w:sz w:val="16"/>
              </w:rPr>
              <w:t>0.3381</w:t>
            </w:r>
          </w:p>
        </w:tc>
      </w:tr>
      <w:tr>
        <w:tc>
          <w:tcPr>
            <w:tcW w:type="dxa" w:w="1752"/>
          </w:tcPr>
          <w:p>
            <w:r/>
            <w:r>
              <w:rPr>
                <w:sz w:val="16"/>
              </w:rPr>
              <w:t>DS2 (22% nat.)</w:t>
            </w:r>
          </w:p>
        </w:tc>
        <w:tc>
          <w:tcPr>
            <w:tcW w:type="dxa" w:w="1752"/>
          </w:tcPr>
          <w:p>
            <w:r/>
            <w:r>
              <w:rPr>
                <w:sz w:val="16"/>
              </w:rPr>
              <w:t>Undersample</w:t>
            </w:r>
          </w:p>
        </w:tc>
        <w:tc>
          <w:tcPr>
            <w:tcW w:type="dxa" w:w="1752"/>
          </w:tcPr>
          <w:p>
            <w:r/>
            <w:r>
              <w:rPr>
                <w:sz w:val="16"/>
              </w:rPr>
              <w:t>0.3194</w:t>
            </w:r>
          </w:p>
        </w:tc>
        <w:tc>
          <w:tcPr>
            <w:tcW w:type="dxa" w:w="1752"/>
          </w:tcPr>
          <w:p>
            <w:r/>
            <w:r>
              <w:rPr>
                <w:sz w:val="16"/>
              </w:rPr>
              <w:t>0.697</w:t>
            </w:r>
          </w:p>
        </w:tc>
        <w:tc>
          <w:tcPr>
            <w:tcW w:type="dxa" w:w="1752"/>
          </w:tcPr>
          <w:p>
            <w:r/>
            <w:r>
              <w:rPr>
                <w:sz w:val="16"/>
              </w:rPr>
              <w:t>0.4381</w:t>
            </w:r>
          </w:p>
        </w:tc>
        <w:tc>
          <w:tcPr>
            <w:tcW w:type="dxa" w:w="1752"/>
          </w:tcPr>
          <w:p>
            <w:r/>
            <w:r>
              <w:rPr>
                <w:sz w:val="16"/>
              </w:rPr>
              <w:t>0.3288</w:t>
            </w:r>
          </w:p>
        </w:tc>
      </w:tr>
      <w:tr>
        <w:tc>
          <w:tcPr>
            <w:tcW w:type="dxa" w:w="1752"/>
          </w:tcPr>
          <w:p>
            <w:r/>
            <w:r>
              <w:rPr>
                <w:sz w:val="16"/>
              </w:rPr>
              <w:t>DS1* (~4% controlled)</w:t>
            </w:r>
          </w:p>
        </w:tc>
        <w:tc>
          <w:tcPr>
            <w:tcW w:type="dxa" w:w="1752"/>
          </w:tcPr>
          <w:p>
            <w:r/>
            <w:r>
              <w:rPr>
                <w:sz w:val="16"/>
              </w:rPr>
              <w:t>None</w:t>
            </w:r>
          </w:p>
        </w:tc>
        <w:tc>
          <w:tcPr>
            <w:tcW w:type="dxa" w:w="1752"/>
          </w:tcPr>
          <w:p>
            <w:r/>
            <w:r>
              <w:rPr>
                <w:sz w:val="16"/>
              </w:rPr>
              <w:t>1.0</w:t>
            </w:r>
          </w:p>
        </w:tc>
        <w:tc>
          <w:tcPr>
            <w:tcW w:type="dxa" w:w="1752"/>
          </w:tcPr>
          <w:p>
            <w:r/>
            <w:r>
              <w:rPr>
                <w:sz w:val="16"/>
              </w:rPr>
              <w:t>0.7239</w:t>
            </w:r>
          </w:p>
        </w:tc>
        <w:tc>
          <w:tcPr>
            <w:tcW w:type="dxa" w:w="1752"/>
          </w:tcPr>
          <w:p>
            <w:r/>
            <w:r>
              <w:rPr>
                <w:sz w:val="16"/>
              </w:rPr>
              <w:t>0.8398</w:t>
            </w:r>
          </w:p>
        </w:tc>
        <w:tc>
          <w:tcPr>
            <w:tcW w:type="dxa" w:w="1752"/>
          </w:tcPr>
          <w:p>
            <w:r/>
            <w:r>
              <w:rPr>
                <w:sz w:val="16"/>
              </w:rPr>
              <w:t>0.979</w:t>
            </w:r>
          </w:p>
        </w:tc>
      </w:tr>
      <w:tr>
        <w:tc>
          <w:tcPr>
            <w:tcW w:type="dxa" w:w="1752"/>
          </w:tcPr>
          <w:p>
            <w:r/>
            <w:r>
              <w:rPr>
                <w:sz w:val="16"/>
              </w:rPr>
              <w:t>DS1* (~4% controlled)</w:t>
            </w:r>
          </w:p>
        </w:tc>
        <w:tc>
          <w:tcPr>
            <w:tcW w:type="dxa" w:w="1752"/>
          </w:tcPr>
          <w:p>
            <w:r/>
            <w:r>
              <w:rPr>
                <w:sz w:val="16"/>
              </w:rPr>
              <w:t>Class weight</w:t>
            </w:r>
          </w:p>
        </w:tc>
        <w:tc>
          <w:tcPr>
            <w:tcW w:type="dxa" w:w="1752"/>
          </w:tcPr>
          <w:p>
            <w:r/>
            <w:r>
              <w:rPr>
                <w:sz w:val="16"/>
              </w:rPr>
              <w:t>0.9123</w:t>
            </w:r>
          </w:p>
        </w:tc>
        <w:tc>
          <w:tcPr>
            <w:tcW w:type="dxa" w:w="1752"/>
          </w:tcPr>
          <w:p>
            <w:r/>
            <w:r>
              <w:rPr>
                <w:sz w:val="16"/>
              </w:rPr>
              <w:t>0.9043</w:t>
            </w:r>
          </w:p>
        </w:tc>
        <w:tc>
          <w:tcPr>
            <w:tcW w:type="dxa" w:w="1752"/>
          </w:tcPr>
          <w:p>
            <w:r/>
            <w:r>
              <w:rPr>
                <w:sz w:val="16"/>
              </w:rPr>
              <w:t>0.9083</w:t>
            </w:r>
          </w:p>
        </w:tc>
        <w:tc>
          <w:tcPr>
            <w:tcW w:type="dxa" w:w="1752"/>
          </w:tcPr>
          <w:p>
            <w:r/>
            <w:r>
              <w:rPr>
                <w:sz w:val="16"/>
              </w:rPr>
              <w:t>0.9678</w:t>
            </w:r>
          </w:p>
        </w:tc>
      </w:tr>
      <w:tr>
        <w:tc>
          <w:tcPr>
            <w:tcW w:type="dxa" w:w="1752"/>
          </w:tcPr>
          <w:p>
            <w:r/>
            <w:r>
              <w:rPr>
                <w:sz w:val="16"/>
              </w:rPr>
              <w:t>DS1* (~4% controlled)</w:t>
            </w:r>
          </w:p>
        </w:tc>
        <w:tc>
          <w:tcPr>
            <w:tcW w:type="dxa" w:w="1752"/>
          </w:tcPr>
          <w:p>
            <w:r/>
            <w:r>
              <w:rPr>
                <w:sz w:val="16"/>
              </w:rPr>
              <w:t>SMOTE</w:t>
            </w:r>
          </w:p>
        </w:tc>
        <w:tc>
          <w:tcPr>
            <w:tcW w:type="dxa" w:w="1752"/>
          </w:tcPr>
          <w:p>
            <w:r/>
            <w:r>
              <w:rPr>
                <w:sz w:val="16"/>
              </w:rPr>
              <w:t>0.9238</w:t>
            </w:r>
          </w:p>
        </w:tc>
        <w:tc>
          <w:tcPr>
            <w:tcW w:type="dxa" w:w="1752"/>
          </w:tcPr>
          <w:p>
            <w:r/>
            <w:r>
              <w:rPr>
                <w:sz w:val="16"/>
              </w:rPr>
              <w:t>0.8957</w:t>
            </w:r>
          </w:p>
        </w:tc>
        <w:tc>
          <w:tcPr>
            <w:tcW w:type="dxa" w:w="1752"/>
          </w:tcPr>
          <w:p>
            <w:r/>
            <w:r>
              <w:rPr>
                <w:sz w:val="16"/>
              </w:rPr>
              <w:t>0.9095</w:t>
            </w:r>
          </w:p>
        </w:tc>
        <w:tc>
          <w:tcPr>
            <w:tcW w:type="dxa" w:w="1752"/>
          </w:tcPr>
          <w:p>
            <w:r/>
            <w:r>
              <w:rPr>
                <w:sz w:val="16"/>
              </w:rPr>
              <w:t>0.9663</w:t>
            </w:r>
          </w:p>
        </w:tc>
      </w:tr>
      <w:tr>
        <w:tc>
          <w:tcPr>
            <w:tcW w:type="dxa" w:w="1752"/>
          </w:tcPr>
          <w:p>
            <w:r/>
            <w:r>
              <w:rPr>
                <w:sz w:val="16"/>
              </w:rPr>
              <w:t>DS1* (~4% controlled)</w:t>
            </w:r>
          </w:p>
        </w:tc>
        <w:tc>
          <w:tcPr>
            <w:tcW w:type="dxa" w:w="1752"/>
          </w:tcPr>
          <w:p>
            <w:r/>
            <w:r>
              <w:rPr>
                <w:sz w:val="16"/>
              </w:rPr>
              <w:t>Undersample</w:t>
            </w:r>
          </w:p>
        </w:tc>
        <w:tc>
          <w:tcPr>
            <w:tcW w:type="dxa" w:w="1752"/>
          </w:tcPr>
          <w:p>
            <w:r/>
            <w:r>
              <w:rPr>
                <w:sz w:val="16"/>
              </w:rPr>
              <w:t>0.8819</w:t>
            </w:r>
          </w:p>
        </w:tc>
        <w:tc>
          <w:tcPr>
            <w:tcW w:type="dxa" w:w="1752"/>
          </w:tcPr>
          <w:p>
            <w:r/>
            <w:r>
              <w:rPr>
                <w:sz w:val="16"/>
              </w:rPr>
              <w:t>0.9739</w:t>
            </w:r>
          </w:p>
        </w:tc>
        <w:tc>
          <w:tcPr>
            <w:tcW w:type="dxa" w:w="1752"/>
          </w:tcPr>
          <w:p>
            <w:r/>
            <w:r>
              <w:rPr>
                <w:sz w:val="16"/>
              </w:rPr>
              <w:t>0.9256</w:t>
            </w:r>
          </w:p>
        </w:tc>
        <w:tc>
          <w:tcPr>
            <w:tcW w:type="dxa" w:w="1752"/>
          </w:tcPr>
          <w:p>
            <w:r/>
            <w:r>
              <w:rPr>
                <w:sz w:val="16"/>
              </w:rPr>
              <w:t>0.9439</w:t>
            </w:r>
          </w:p>
        </w:tc>
      </w:tr>
    </w:tbl>
    <w:p>
      <w:pPr>
        <w:spacing w:after="120"/>
      </w:pPr>
    </w:p>
    <w:p>
      <w:pPr>
        <w:keepNext/>
        <w:keepLines/>
        <w:spacing w:before="80"/>
        <w:jc w:val="center"/>
      </w:pPr>
      <w:r>
        <w:drawing>
          <wp:inline xmlns:a="http://schemas.openxmlformats.org/drawingml/2006/main" xmlns:pic="http://schemas.openxmlformats.org/drawingml/2006/picture">
            <wp:extent cx="2926080" cy="911949"/>
            <wp:docPr id="6" name="Picture 6"/>
            <wp:cNvGraphicFramePr>
              <a:graphicFrameLocks noChangeAspect="1"/>
            </wp:cNvGraphicFramePr>
            <a:graphic>
              <a:graphicData uri="http://schemas.openxmlformats.org/drawingml/2006/picture">
                <pic:pic>
                  <pic:nvPicPr>
                    <pic:cNvPr id="0" name="fig6_imbalance.png"/>
                    <pic:cNvPicPr/>
                  </pic:nvPicPr>
                  <pic:blipFill>
                    <a:blip r:embed="rId14"/>
                    <a:stretch>
                      <a:fillRect/>
                    </a:stretch>
                  </pic:blipFill>
                  <pic:spPr>
                    <a:xfrm>
                      <a:off x="0" y="0"/>
                      <a:ext cx="2926080" cy="911949"/>
                    </a:xfrm>
                    <a:prstGeom prst="rect"/>
                  </pic:spPr>
                </pic:pic>
              </a:graphicData>
            </a:graphic>
          </wp:inline>
        </w:drawing>
      </w:r>
    </w:p>
    <w:p>
      <w:pPr>
        <w:keepLines/>
        <w:spacing w:after="160"/>
        <w:jc w:val="center"/>
      </w:pPr>
      <w:r>
        <w:rPr>
          <w:rFonts w:ascii="Times New Roman" w:hAnsi="Times New Roman"/>
          <w:sz w:val="16"/>
        </w:rPr>
        <w:t>Fig. 6. Recall and F1 by strategy and dataset.</w:t>
      </w:r>
    </w:p>
    <w:p>
      <w:pPr>
        <w:spacing w:after="80" w:before="160" w:line="240" w:lineRule="auto"/>
        <w:jc w:val="left"/>
      </w:pPr>
      <w:r>
        <w:rPr>
          <w:rFonts w:ascii="Times New Roman" w:hAnsi="Times New Roman"/>
          <w:b/>
          <w:i w:val="0"/>
          <w:sz w:val="20"/>
        </w:rPr>
        <w:t>VIII. COMPARATIVE ANALYSIS (Q1–Q4)</w:t>
      </w:r>
    </w:p>
    <w:p>
      <w:pPr>
        <w:spacing w:after="80" w:before="0" w:line="240" w:lineRule="auto"/>
        <w:jc w:val="both"/>
      </w:pPr>
      <w:r>
        <w:rPr>
          <w:rFonts w:ascii="Times New Roman" w:hAnsi="Times New Roman"/>
          <w:b w:val="0"/>
          <w:i w:val="0"/>
          <w:sz w:val="20"/>
        </w:rPr>
        <w:t>Q1 - Preprocessing order. Pipeline A F1 = 0.9272, Pipeline B F1 = 0.9107 (|ΔF1| = 0.0165). On these features the ordering has only a minor effect; scaling/transform choice dominates ordering.</w:t>
      </w:r>
    </w:p>
    <w:p>
      <w:pPr>
        <w:spacing w:after="80" w:before="0" w:line="240" w:lineRule="auto"/>
        <w:jc w:val="both"/>
      </w:pPr>
      <w:r>
        <w:rPr>
          <w:rFonts w:ascii="Times New Roman" w:hAnsi="Times New Roman"/>
          <w:b w:val="0"/>
          <w:i w:val="0"/>
          <w:sz w:val="20"/>
        </w:rPr>
        <w:t>Q2/Q3 - Regulariser generalisation. By the threshold-independent mean PR-AUC the best penalty is L1 (Lasso), but the spread among L1/L2/Elastic Net is only 0.0049. Elastic Net does NOT consistently beat L1/L2 (consistently-best = False). The unregularised model is the clear loser (spread widens to 0.0344). The defensible conclusion is "regularised vs. not", not which penalty.</w:t>
      </w:r>
    </w:p>
    <w:p>
      <w:pPr>
        <w:spacing w:after="80" w:before="0" w:line="240" w:lineRule="auto"/>
        <w:jc w:val="both"/>
      </w:pPr>
      <w:r>
        <w:rPr>
          <w:rFonts w:ascii="Times New Roman" w:hAnsi="Times New Roman"/>
          <w:b w:val="0"/>
          <w:i w:val="0"/>
          <w:sz w:val="20"/>
        </w:rPr>
        <w:t>Q4 - Imbalance × regularisation. On the severe-imbalance DS1* grid the best combination is Undersample + L2 (F1 = 0.9256). Resampling interacts with the penalty, but the resampling/recall trade-off dominates the penalty choice.</w:t>
      </w:r>
    </w:p>
    <w:p>
      <w:pPr>
        <w:keepNext/>
        <w:keepLines/>
        <w:spacing w:before="80"/>
        <w:jc w:val="center"/>
      </w:pPr>
      <w:r>
        <w:drawing>
          <wp:inline xmlns:a="http://schemas.openxmlformats.org/drawingml/2006/main" xmlns:pic="http://schemas.openxmlformats.org/drawingml/2006/picture">
            <wp:extent cx="2926080" cy="1584707"/>
            <wp:docPr id="7" name="Picture 7"/>
            <wp:cNvGraphicFramePr>
              <a:graphicFrameLocks noChangeAspect="1"/>
            </wp:cNvGraphicFramePr>
            <a:graphic>
              <a:graphicData uri="http://schemas.openxmlformats.org/drawingml/2006/picture">
                <pic:pic>
                  <pic:nvPicPr>
                    <pic:cNvPr id="0" name="fig7_interaction.png"/>
                    <pic:cNvPicPr/>
                  </pic:nvPicPr>
                  <pic:blipFill>
                    <a:blip r:embed="rId15"/>
                    <a:stretch>
                      <a:fillRect/>
                    </a:stretch>
                  </pic:blipFill>
                  <pic:spPr>
                    <a:xfrm>
                      <a:off x="0" y="0"/>
                      <a:ext cx="2926080" cy="1584707"/>
                    </a:xfrm>
                    <a:prstGeom prst="rect"/>
                  </pic:spPr>
                </pic:pic>
              </a:graphicData>
            </a:graphic>
          </wp:inline>
        </w:drawing>
      </w:r>
    </w:p>
    <w:p>
      <w:pPr>
        <w:keepLines/>
        <w:spacing w:after="160"/>
        <w:jc w:val="center"/>
      </w:pPr>
      <w:r>
        <w:rPr>
          <w:rFonts w:ascii="Times New Roman" w:hAnsi="Times New Roman"/>
          <w:sz w:val="16"/>
        </w:rPr>
        <w:t>Fig. 7. Resampling × regularisation F1 (DS1*, ~4%).</w:t>
      </w:r>
    </w:p>
    <w:p>
      <w:pPr>
        <w:spacing w:after="80" w:before="160" w:line="240" w:lineRule="auto"/>
        <w:jc w:val="left"/>
      </w:pPr>
      <w:r>
        <w:rPr>
          <w:rFonts w:ascii="Times New Roman" w:hAnsi="Times New Roman"/>
          <w:b/>
          <w:i w:val="0"/>
          <w:sz w:val="20"/>
        </w:rPr>
        <w:t>IX. THREATS TO VALIDITY AND INTEGRITY</w:t>
      </w:r>
    </w:p>
    <w:p>
      <w:pPr>
        <w:spacing w:after="80" w:before="0" w:line="240" w:lineRule="auto"/>
        <w:jc w:val="both"/>
      </w:pPr>
      <w:r>
        <w:rPr>
          <w:rFonts w:ascii="Times New Roman" w:hAnsi="Times New Roman"/>
          <w:b w:val="0"/>
          <w:i w:val="0"/>
          <w:sz w:val="20"/>
        </w:rPr>
        <w:t>An earlier version of this study fabricated two of three datasets with a synthetic Gaussian generator while labelling them as Bonn/PhysioNet data, and its narrative conclusions contradicted its own computed output. This version uses only real data with true provenance, one transparent methodology applied identically to all datasets, and derives every Q1–Q4 statement from computed values with assert-based consistency checks embedded in the notebook. Remaining limitations: CHB-MIT uses the predictive validation split for tractability; results are single-split with a fixed seed (cross-validation curves are reported for the capacity study).</w:t>
      </w:r>
    </w:p>
    <w:p>
      <w:pPr>
        <w:spacing w:after="80" w:before="160" w:line="240" w:lineRule="auto"/>
        <w:jc w:val="left"/>
      </w:pPr>
      <w:r>
        <w:rPr>
          <w:rFonts w:ascii="Times New Roman" w:hAnsi="Times New Roman"/>
          <w:b/>
          <w:i w:val="0"/>
          <w:sz w:val="20"/>
        </w:rPr>
        <w:t>X. CONCLUSION</w:t>
      </w:r>
    </w:p>
    <w:p>
      <w:pPr>
        <w:spacing w:after="80" w:before="0" w:line="240" w:lineRule="auto"/>
        <w:jc w:val="both"/>
      </w:pPr>
      <w:r>
        <w:rPr>
          <w:rFonts w:ascii="Times New Roman" w:hAnsi="Times New Roman"/>
          <w:b w:val="0"/>
          <w:i w:val="0"/>
          <w:sz w:val="20"/>
        </w:rPr>
        <w:t>With a correct EEG feature representation, logistic regression is a strong baseline on UCI and Bonn and a weak one on CHB-MIT, reflecting true task difficulty. Across these real datasets the choice of regularisation penalty is a second-order effect; the first-order levers are signal feature extraction and class-imbalance handling. Honest, reproducible methodology changes the headline answer relative to the fabricated original - which is precisely the point.</w:t>
      </w:r>
    </w:p>
    <w:p>
      <w:pPr>
        <w:spacing w:after="80" w:before="160" w:line="240" w:lineRule="auto"/>
        <w:jc w:val="left"/>
      </w:pPr>
      <w:r>
        <w:rPr>
          <w:rFonts w:ascii="Times New Roman" w:hAnsi="Times New Roman"/>
          <w:b/>
          <w:i w:val="0"/>
          <w:sz w:val="20"/>
        </w:rPr>
        <w:t>. REFERENCES</w:t>
      </w:r>
    </w:p>
    <w:p>
      <w:pPr>
        <w:spacing w:after="40" w:before="0" w:line="240" w:lineRule="auto"/>
        <w:jc w:val="left"/>
      </w:pPr>
      <w:r>
        <w:rPr>
          <w:rFonts w:ascii="Times New Roman" w:hAnsi="Times New Roman"/>
          <w:b w:val="0"/>
          <w:i w:val="0"/>
          <w:sz w:val="16"/>
        </w:rPr>
        <w:t>[1] R. G. Andrzejak et al., "Indications of nonlinear deterministic and finite-dimensional structures in time series of brain electrical activity," Phys. Rev. E, vol. 64, 061907, 2001.</w:t>
      </w:r>
    </w:p>
    <w:p>
      <w:pPr>
        <w:spacing w:after="40" w:before="0" w:line="240" w:lineRule="auto"/>
        <w:jc w:val="left"/>
      </w:pPr>
      <w:r>
        <w:rPr>
          <w:rFonts w:ascii="Times New Roman" w:hAnsi="Times New Roman"/>
          <w:b w:val="0"/>
          <w:i w:val="0"/>
          <w:sz w:val="16"/>
        </w:rPr>
        <w:t>[2] A. H. Shoeb, "Application of machine learning to epileptic seizure onset detection and treatment," Ph.D. dissertation, MIT, 2009 (CHB-MIT).</w:t>
      </w:r>
    </w:p>
    <w:p>
      <w:pPr>
        <w:spacing w:after="40" w:before="0" w:line="240" w:lineRule="auto"/>
        <w:jc w:val="left"/>
      </w:pPr>
      <w:r>
        <w:rPr>
          <w:rFonts w:ascii="Times New Roman" w:hAnsi="Times New Roman"/>
          <w:b w:val="0"/>
          <w:i w:val="0"/>
          <w:sz w:val="16"/>
        </w:rPr>
        <w:t>[3] Q. Wu and E. Fokoue, "Epileptic Seizure Recognition Data Set," UCI Machine Learning Repository, 2017.</w:t>
      </w:r>
    </w:p>
    <w:p>
      <w:pPr>
        <w:spacing w:after="40" w:before="0" w:line="240" w:lineRule="auto"/>
        <w:jc w:val="left"/>
      </w:pPr>
      <w:r>
        <w:rPr>
          <w:rFonts w:ascii="Times New Roman" w:hAnsi="Times New Roman"/>
          <w:b w:val="0"/>
          <w:i w:val="0"/>
          <w:sz w:val="16"/>
        </w:rPr>
        <w:t>[4] F. Pedregosa et al., "Scikit-learn: Machine learning in Python," JMLR, vol. 12, pp. 2825–2830, 2011.</w:t>
      </w:r>
    </w:p>
    <w:p>
      <w:pPr>
        <w:spacing w:after="40" w:before="0" w:line="240" w:lineRule="auto"/>
        <w:jc w:val="left"/>
      </w:pPr>
      <w:r>
        <w:rPr>
          <w:rFonts w:ascii="Times New Roman" w:hAnsi="Times New Roman"/>
          <w:b w:val="0"/>
          <w:i w:val="0"/>
          <w:sz w:val="16"/>
        </w:rPr>
        <w:t>[5] H. He and E. A. Garcia, "Learning from imbalanced data," IEEE TKDE, vol. 21, no. 9, pp. 1263–1284, 2009.</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