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color w:val="2C3E50"/>
          <w:sz w:val="72"/>
        </w:rPr>
        <w:t>MEDICARE MAP: THE 2026 DATA REVOLUTION</w:t>
      </w:r>
    </w:p>
    <w:p>
      <w:pPr>
        <w:jc w:val="center"/>
      </w:pPr>
      <w:r>
        <w:rPr>
          <w:i/>
          <w:color w:val="3498DB"/>
          <w:sz w:val="28"/>
        </w:rPr>
        <w:t>Engineering Thesis: From Chaotic SILOs to Predictive AI Intelligence</w:t>
      </w:r>
    </w:p>
    <w:p>
      <w:r>
        <w:br/>
      </w:r>
    </w:p>
    <w:p>
      <w:pPr>
        <w:jc w:val="center"/>
      </w:pPr>
      <w:r>
        <w:rPr>
          <w:color w:val="BDC3C7"/>
        </w:rPr>
        <w:t>_______________________________________________________</w:t>
      </w:r>
    </w:p>
    <w:p>
      <w:r>
        <w:br/>
      </w:r>
    </w:p>
    <w:p>
      <w:pPr>
        <w:jc w:val="center"/>
      </w:pPr>
      <w:r>
        <w:rPr>
          <w:b/>
          <w:sz w:val="24"/>
        </w:rPr>
        <w:t>PREPARED BY: DANISH RAZA</w:t>
        <w:br/>
        <w:t>LEAD DATA ARCHITECT &amp; ML ENGINEER</w:t>
      </w:r>
    </w:p>
    <w:p>
      <w:pPr>
        <w:jc w:val="center"/>
      </w:pPr>
      <w:r>
        <w:rPr>
          <w:color w:val="7F8C8D"/>
        </w:rPr>
        <w:t>Date: June 4, 2026</w:t>
        <w:br/>
        <w:t>Project Version: 4.2 (AI-Ready)</w:t>
      </w:r>
    </w:p>
    <w:p>
      <w:r>
        <w:br w:type="page"/>
      </w:r>
    </w:p>
    <w:p>
      <w:pPr>
        <w:pStyle w:val="Heading1"/>
      </w:pPr>
      <w:r>
        <w:t>1. EXECUTIVE SUMMARY</w:t>
      </w:r>
    </w:p>
    <w:p>
      <w:r>
        <w:t>The MediCare MAP (Modern Analytics Platform) 2026 initiative represents a foundational shift in how healthcare institutions manage their most valuable asset: Data. In an era where hospitals are inundated with disparate information from billing, clinical labs, and patient admissions, the ability to synthesize this data into actionable intelligence is a critical competitive advantage.</w:t>
      </w:r>
    </w:p>
    <w:p>
      <w:r>
        <w:t>This project has successfully navigated the full engineering lifecycle—moving from a state of raw data chaos to a refined, high-performance PostgreSQL Data Warehouse. To date, we have achieved four major technological milestones: Infrastructure Architecting, Professional ETL Engineering, Analytical Data Warehousing, and Predictive Artificial Intelligence Implementation.</w:t>
      </w:r>
    </w:p>
    <w:p>
      <w:r>
        <w:t>Key Outcomes Delivered:</w:t>
        <w:br/>
        <w:t>• Verification and processing of 45,165 unique hospital encounters.</w:t>
        <w:br/>
        <w:t>• Establishment of a 'Single Source of Truth' for clinical and financial auditing.</w:t>
        <w:br/>
        <w:t>• Deployment of Random Forest models achieving over 75% accuracy in clinical risk assessment.</w:t>
        <w:br/>
        <w:t>• A 100% Tableau-ready backend, prepared for executive dashboarding.</w:t>
      </w:r>
    </w:p>
    <w:p>
      <w:pPr>
        <w:pStyle w:val="Heading1"/>
      </w:pPr>
      <w:r>
        <w:t>2. THE PROBLEM LANDSCAPE</w:t>
      </w:r>
    </w:p>
    <w:p>
      <w:r>
        <w:t>Modern healthcare providers often operate in 'Data Silos.' During the discovery phase of this project, it was identified that patient billing records were maintained in isolation from their clinical laboratory outcomes. This fragmentation led to three primary organizational risks:</w:t>
      </w:r>
    </w:p>
    <w:p>
      <w:pPr>
        <w:pStyle w:val="Heading2"/>
      </w:pPr>
      <w:r>
        <w:t>2.1 Clinical Blind Spots</w:t>
      </w:r>
    </w:p>
    <w:p>
      <w:r>
        <w:t>Clinicians were unable to identify 'revolving door' patients—those with high comorbidity scores who frequently return within 30 days of discharge. Without a unified view, follow-up care was reactionary rather than proactive.</w:t>
      </w:r>
    </w:p>
    <w:p>
      <w:pPr>
        <w:pStyle w:val="Heading2"/>
      </w:pPr>
      <w:r>
        <w:t>2.2 Financial Leakage</w:t>
      </w:r>
    </w:p>
    <w:p>
      <w:r>
        <w:t>The hospital’s CFO lacked real-time visibility into collection rates. Specifically, the socio-economic impact on payments (such as self-pay vs. insured) was hidden behind bulk accounting reports, leading to thousands of dollars in unrecovered debt.</w:t>
      </w:r>
    </w:p>
    <w:p>
      <w:r>
        <w:br w:type="page"/>
      </w:r>
    </w:p>
    <w:p>
      <w:pPr>
        <w:pStyle w:val="Heading1"/>
      </w:pPr>
      <w:r>
        <w:t>3. PHASE 1: INFRASTRUCTURE &amp; ARCHITECTURAL DESIGN</w:t>
      </w:r>
    </w:p>
    <w:p>
      <w:r>
        <w:t>The foundation of the project is built on PostgreSQL, chosen for its industrial-grade support for relational data and complex analytical queries. We moved away from flat-file storage to a fully normalized schema design.</w:t>
      </w:r>
    </w:p>
    <w:p>
      <w:pPr>
        <w:pStyle w:val="Heading2"/>
      </w:pPr>
      <w:r>
        <w:t>3.1 Schema Normalization</w:t>
      </w:r>
    </w:p>
    <w:p>
      <w:r>
        <w:t>To minimize data redundancy and ensure referential integrity, we designed a 7-table master schema. The 'Admissions' table acts as the central transaction hub, linking Patients, Doctors, Billing, and Labs.</w:t>
      </w:r>
    </w:p>
    <w:tbl>
      <w:tblPr>
        <w:tblStyle w:val="LightShading-Accent1"/>
        <w:tblW w:type="auto" w:w="0"/>
        <w:tblLook w:firstColumn="1" w:firstRow="1" w:lastColumn="0" w:lastRow="0" w:noHBand="0" w:noVBand="1" w:val="04A0"/>
      </w:tblPr>
      <w:tblGrid>
        <w:gridCol w:w="4320"/>
        <w:gridCol w:w="4320"/>
      </w:tblGrid>
      <w:tr>
        <w:tc>
          <w:tcPr>
            <w:tcW w:type="dxa" w:w="4320"/>
          </w:tcPr>
          <w:p>
            <w:r>
              <w:t>Table Name</w:t>
            </w:r>
          </w:p>
        </w:tc>
        <w:tc>
          <w:tcPr>
            <w:tcW w:type="dxa" w:w="4320"/>
          </w:tcPr>
          <w:p>
            <w:r>
              <w:t>Primary Responsibility</w:t>
            </w:r>
          </w:p>
        </w:tc>
      </w:tr>
      <w:tr>
        <w:tc>
          <w:tcPr>
            <w:tcW w:type="dxa" w:w="4320"/>
          </w:tcPr>
          <w:p>
            <w:r>
              <w:t>Patients</w:t>
            </w:r>
          </w:p>
        </w:tc>
        <w:tc>
          <w:tcPr>
            <w:tcW w:type="dxa" w:w="4320"/>
          </w:tcPr>
          <w:p>
            <w:r>
              <w:t>Demographic tracking and Comorbidity Scores</w:t>
            </w:r>
          </w:p>
        </w:tc>
      </w:tr>
      <w:tr>
        <w:tc>
          <w:tcPr>
            <w:tcW w:type="dxa" w:w="4320"/>
          </w:tcPr>
          <w:p>
            <w:r>
              <w:t>Admissions</w:t>
            </w:r>
          </w:p>
        </w:tc>
        <w:tc>
          <w:tcPr>
            <w:tcW w:type="dxa" w:w="4320"/>
          </w:tcPr>
          <w:p>
            <w:r>
              <w:t>Central encounter records and stay metadata</w:t>
            </w:r>
          </w:p>
        </w:tc>
      </w:tr>
      <w:tr>
        <w:tc>
          <w:tcPr>
            <w:tcW w:type="dxa" w:w="4320"/>
          </w:tcPr>
          <w:p>
            <w:r>
              <w:t>Billing</w:t>
            </w:r>
          </w:p>
        </w:tc>
        <w:tc>
          <w:tcPr>
            <w:tcW w:type="dxa" w:w="4320"/>
          </w:tcPr>
          <w:p>
            <w:r>
              <w:t>Financial transactions and risk flagging</w:t>
            </w:r>
          </w:p>
        </w:tc>
      </w:tr>
      <w:tr>
        <w:tc>
          <w:tcPr>
            <w:tcW w:type="dxa" w:w="4320"/>
          </w:tcPr>
          <w:p>
            <w:r>
              <w:t>Lab Results</w:t>
            </w:r>
          </w:p>
        </w:tc>
        <w:tc>
          <w:tcPr>
            <w:tcW w:type="dxa" w:w="4320"/>
          </w:tcPr>
          <w:p>
            <w:r>
              <w:t>Clinical metrics and abnormal result flags</w:t>
            </w:r>
          </w:p>
        </w:tc>
      </w:tr>
      <w:tr>
        <w:tc>
          <w:tcPr>
            <w:tcW w:type="dxa" w:w="4320"/>
          </w:tcPr>
          <w:p>
            <w:r>
              <w:t>Diagnoses</w:t>
            </w:r>
          </w:p>
        </w:tc>
        <w:tc>
          <w:tcPr>
            <w:tcW w:type="dxa" w:w="4320"/>
          </w:tcPr>
          <w:p>
            <w:r>
              <w:t>ICD-10 clinical condition mapping</w:t>
            </w:r>
          </w:p>
        </w:tc>
      </w:tr>
    </w:tbl>
    <w:p>
      <w:pPr>
        <w:pStyle w:val="Heading2"/>
      </w:pPr>
      <w:r>
        <w:t>3.2 Performance Optimization</w:t>
      </w:r>
    </w:p>
    <w:p>
      <w:r>
        <w:t>Healthcare queries often involve complex time-series analysis. We implemented B-Tree indexing on `admission_date` and `discharge_date` to reduce query latency by over 80%. Additionally, the use of PostgreSQL Schemas allowed us to isolate the 'Production' data from the 'Quarantine' and 'Staging' layers.</w:t>
      </w:r>
    </w:p>
    <w:p>
      <w:r>
        <w:br w:type="page"/>
      </w:r>
    </w:p>
    <w:p>
      <w:pPr>
        <w:pStyle w:val="Heading1"/>
      </w:pPr>
      <w:r>
        <w:t>4. PHASE 2: PROFESSIONAL ETL PIPELINE</w:t>
      </w:r>
    </w:p>
    <w:p>
      <w:r>
        <w:t>Data integrity is the lifeblood of healthcare analytics. In Phase 2, we developed a Python-driven ETL engine designed to handle the 'dirty' data common in hospital environments.</w:t>
      </w:r>
    </w:p>
    <w:p>
      <w:pPr>
        <w:pStyle w:val="Heading2"/>
      </w:pPr>
      <w:r>
        <w:t>4.1 Transformation Logic</w:t>
      </w:r>
    </w:p>
    <w:p>
      <w:r>
        <w:t>Our pipeline (scripts/etl_pipeline.py) enforces 12 unique validation rules, including:</w:t>
        <w:br/>
        <w:t>• Date Logic: Ensuring discharge dates are temporally subsequent to admission dates.</w:t>
        <w:br/>
        <w:t>• Missing Value Imputation: Strategic handling of NULLs in clinical lab flags.</w:t>
        <w:br/>
        <w:t>• Standardized Formatting: Universal ISO-8601 formatting for all date-time stamps.</w:t>
      </w:r>
    </w:p>
    <w:p>
      <w:pPr>
        <w:pStyle w:val="Heading2"/>
      </w:pPr>
      <w:r>
        <w:t>4.2 The Quarantine Mechanism</w:t>
      </w:r>
    </w:p>
    <w:p>
      <w:r>
        <w:t>A hallmark of senior-level data engineering is the 'Quarantine' strategy. Instead of deleting records that fail validation, our system moves them to a separate audit path. This ensures that every byte of patient data is accounted for, even if it requires human intervention before reaching production.</w:t>
      </w:r>
    </w:p>
    <w:p>
      <w:r>
        <w:br w:type="page"/>
      </w:r>
    </w:p>
    <w:p>
      <w:pPr>
        <w:pStyle w:val="Heading1"/>
      </w:pPr>
      <w:r>
        <w:t>5. PHASE 3: ANALYTICAL DATA WAREHOUSE &amp; SQL ENGINEERING</w:t>
      </w:r>
    </w:p>
    <w:p>
      <w:r>
        <w:t>Phase 3 transformed our static tables into 'Business Intelligence Objects.' We engineered custom SQL views that act as the source for all visual and predictive layers.</w:t>
      </w:r>
    </w:p>
    <w:p>
      <w:pPr>
        <w:pStyle w:val="Heading2"/>
      </w:pPr>
      <w:r>
        <w:t>5.1 v_clinical_performance</w:t>
      </w:r>
    </w:p>
    <w:p>
      <w:r>
        <w:t>This view calculates 30-day readmission percentages by department. It revealed that patients in the Emergency department are at a 21.5% risk of readmission—identifying a critical operational bottleneck.</w:t>
      </w:r>
    </w:p>
    <w:p>
      <w:pPr>
        <w:pStyle w:val="Heading2"/>
      </w:pPr>
      <w:r>
        <w:t>5.2 v_financial_integrity</w:t>
      </w:r>
    </w:p>
    <w:p>
      <w:r>
        <w:t>This view merges billing data with outcome data. It allows the CFO to track collection rates across insurance types, revealing a massive gap in 'Self-Pay' collections.</w:t>
      </w:r>
    </w:p>
    <w:p>
      <w:r>
        <w:br w:type="page"/>
      </w:r>
    </w:p>
    <w:p>
      <w:pPr>
        <w:pStyle w:val="Heading1"/>
      </w:pPr>
      <w:r>
        <w:t>6. PHASE 4: MACHINE LEARNING &amp; ARTIFICIAL INTELLIGENCE</w:t>
      </w:r>
    </w:p>
    <w:p>
      <w:r>
        <w:t>The project’s 'AI-Ready' milestone involved training predictive models to assist clinicians and financial administrators. We chose the Random Forest Classifier for its robustness and explainability.</w:t>
      </w:r>
    </w:p>
    <w:p>
      <w:pPr>
        <w:pStyle w:val="Heading2"/>
      </w:pPr>
      <w:r>
        <w:t>6.1 Clinical Risk Prediction</w:t>
      </w:r>
    </w:p>
    <w:p>
      <w:r>
        <w:t>Our model achieved a 76% accuracy rate. Most importantly, we extracted Feature Importance metrics that proved 'Age' and 'Comorbidity Score' are the strongest predictors of readmission risk. This allows the hospital to prioritize high-touch follow-up care for elderly, chronic-condition patients.</w:t>
      </w:r>
    </w:p>
    <w:p>
      <w:pPr>
        <w:pStyle w:val="Heading2"/>
      </w:pPr>
      <w:r>
        <w:t>6.2 Financial Insolvency Prediction</w:t>
      </w:r>
    </w:p>
    <w:p>
      <w:r>
        <w:t>We developed a binary classifier to flag accounts as 'High Risk Debt' at the moment of discharge. This gives the billing department a 30-day head start on setting up financial counseling or payment plans.</w:t>
      </w:r>
    </w:p>
    <w:p>
      <w:pPr>
        <w:pStyle w:val="Heading1"/>
      </w:pPr>
      <w:r>
        <w:t>7. CONCLUSION &amp; STRATEGIC ROADMAP</w:t>
      </w:r>
    </w:p>
    <w:p>
      <w:r>
        <w:t>To date, the MediCare MAP project has successfully delivered a comprehensive engineering foundation. The data is generated, cleaned, warehoused, and predictive. We have successfully mitigated the initial risks of data silos and clinical blind spots.</w:t>
      </w:r>
    </w:p>
    <w:p>
      <w:r>
        <w:t>Current Project Status: 80% Complete.</w:t>
        <w:br/>
        <w:t>Remaining Milestone: Phase 5 - Tableau Visualization.</w:t>
        <w:br/>
        <w:br/>
        <w:t>The project is now officially 'Engineering-Complete.' The database is fully staged, and the models are saved. The path forward is clear: transforming these technical insights into visual stories through the Tableau Dashboarding suite.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MediCare MAP 2026 | Proprietary Engineering Report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