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0f7fe1f863c473c" /><Relationship Type="http://schemas.openxmlformats.org/package/2006/relationships/metadata/core-properties" Target="/docProps/core.xml" Id="R8114a32325f9461d" /><Relationship Type="http://schemas.openxmlformats.org/officeDocument/2006/relationships/extended-properties" Target="/docProps/app.xml" Id="Rb5f128856e1f4118" /><Relationship Type="http://schemas.openxmlformats.org/officeDocument/2006/relationships/custom-properties" Target="/docProps/custom.xml" Id="R09a435c5f9c1464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UPI Pulse India: Digital Payments and UPI Transaction Trend Analysis in India</w:t>
      </w:r>
    </w:p>
    <w:p w14:paraId="00100002" w14:textId="00100003">
      <w:pPr>
        <w:pStyle w:val="Normal"/>
        <w:spacing w:after="80"/>
        <w:jc w:val="center"/>
      </w:pPr>
      <w:r>
        <w:rPr>
          <w:sz w:val="26"/>
        </w:rPr>
        <w:t xml:space="preserve">AICTE | IBM SkillsBuild Data Analytics with AI Internship 2026</w:t>
      </w:r>
    </w:p>
    <w:p w14:paraId="00100004" w14:textId="00100005">
      <w:pPr>
        <w:pStyle w:val="Normal"/>
        <w:spacing w:after="80"/>
        <w:jc w:val="center"/>
      </w:pPr>
      <w:r>
        <w:rPr>
          <w:sz w:val="24"/>
        </w:rPr>
        <w:t xml:space="preserve">Author: Mo Faishal Haque</w:t>
      </w:r>
    </w:p>
    <w:p w14:paraId="00100006" w14:textId="00100007">
      <w:pPr>
        <w:pStyle w:val="Normal"/>
        <w:spacing w:after="480"/>
        <w:jc w:val="center"/>
      </w:pPr>
      <w:r>
        <w:rPr>
          <w:color w:val="4472C4"/>
          <w:sz w:val="22"/>
        </w:rPr>
        <w:t xml:space="preserve">Dataset Source: NPCI Monthly UPI Statistics | https://www.npci.org.in/product/upi/product-statistics</w:t>
      </w:r>
    </w:p>
    <w:p w14:paraId="00100008" w14:textId="00100009">
      <w:pPr>
        <w:pStyle w:val="Heading1"/>
        <w:spacing w:after="160"/>
      </w:pPr>
      <w:r>
        <w:rPr>
          <w:b/>
          <w:sz w:val="36"/>
        </w:rPr>
        <w:t xml:space="preserve">Table of Contents</w:t>
      </w:r>
    </w:p>
    <w:p w14:paraId="001000B2" w14:textId="001000B3">
      <w:r>
        <w:fldChar w:fldCharType="begin"/>
      </w:r>
      <w:r>
        <w:instrText xml:space="preserve"> TOC \o "1-3" \h \u </w:instrText>
      </w:r>
      <w:r>
        <w:fldChar w:fldCharType="separate"/>
      </w:r>
      <w:r>
        <w:t xml:space="preserve">Update field to see table of contents</w:t>
      </w:r>
      <w:r>
        <w:fldChar w:fldCharType="end"/>
      </w:r>
    </w:p>
    <w:p w14:paraId="0010000A" w14:textId="0010000B">
      <w:pPr>
        <w:pStyle w:val="Heading1"/>
        <w:spacing w:before="360" w:after="160"/>
      </w:pPr>
      <w:r>
        <w:rPr>
          <w:b/>
          <w:sz w:val="36"/>
        </w:rPr>
        <w:t xml:space="preserve">1. Problem Statement</w:t>
      </w:r>
    </w:p>
    <w:p w14:paraId="0010000C" w14:textId="0010000D">
      <w:pPr>
        <w:pStyle w:val="Normal"/>
        <w:spacing w:after="160"/>
      </w:pPr>
      <w:r>
        <w:rPr>
          <w:sz w:val="22"/>
        </w:rPr>
        <w:t xml:space="preserve">India's Unified Payments Interface (UPI) has emerged as one of the world's fastest-growing real-time payment systems since its launch in April 2016. With over one billion transactions per month recorded by late 2023, UPI has fundamentally transformed how Indian citizens and businesses transact digitally.</w:t>
      </w:r>
    </w:p>
    <w:p w14:paraId="0010000E" w14:textId="0010000F">
      <w:pPr>
        <w:pStyle w:val="Normal"/>
        <w:spacing w:after="160"/>
      </w:pPr>
      <w:r>
        <w:rPr>
          <w:sz w:val="22"/>
        </w:rPr>
        <w:t xml:space="preserve">However, the raw monthly statistics published by the National Payments Corporation of India (NPCI) are tabular and static, making it difficult for researchers, policymakers, and analysts to quickly understand long-term trends, anomalies, and growth trajectories.</w:t>
      </w:r>
    </w:p>
    <w:p w14:paraId="00100010" w14:textId="00100011">
      <w:pPr>
        <w:pStyle w:val="Normal"/>
        <w:spacing w:after="160"/>
      </w:pPr>
      <w:r>
        <w:rPr>
          <w:sz w:val="22"/>
        </w:rPr>
        <w:t xml:space="preserve">This project addresses the following question: How can publicly available UPI transaction data be transformed into actionable analytical insights through data engineering, interactive visualisation, and AI-assisted summaries?</w:t>
      </w:r>
    </w:p>
    <w:p w14:paraId="00100012" w14:textId="00100013">
      <w:pPr>
        <w:pStyle w:val="Heading1"/>
        <w:spacing w:before="360" w:after="160"/>
      </w:pPr>
      <w:r>
        <w:rPr>
          <w:b/>
          <w:sz w:val="36"/>
        </w:rPr>
        <w:t xml:space="preserve">2. Objectives</w:t>
      </w:r>
    </w:p>
    <w:p w14:paraId="00100014" w14:textId="00100015">
      <w:pPr>
        <w:pStyle w:val="Normal"/>
        <w:spacing w:after="80"/>
      </w:pPr>
      <w:r>
        <w:rPr>
          <w:sz w:val="22"/>
        </w:rPr>
        <w:t xml:space="preserve">The primary objectives of this project are:</w:t>
      </w:r>
    </w:p>
    <w:p w14:paraId="00100016" w14:textId="00100017">
      <w:pPr>
        <w:pStyle w:val="Normal"/>
        <w:numPr>
          <w:ilvl w:val="0"/>
          <w:numId w:val="1"/>
        </w:numPr>
        <w:spacing w:after="80"/>
      </w:pPr>
      <w:r>
        <w:rPr>
          <w:sz w:val="22"/>
        </w:rPr>
        <w:t xml:space="preserve">1. To load, validate, and clean official or representative UPI transaction data from NPCI.</w:t>
      </w:r>
    </w:p>
    <w:p w14:paraId="00100018" w14:textId="00100019">
      <w:pPr>
        <w:pStyle w:val="Normal"/>
        <w:numPr>
          <w:ilvl w:val="0"/>
          <w:numId w:val="1"/>
        </w:numPr>
        <w:spacing w:after="80"/>
      </w:pPr>
      <w:r>
        <w:rPr>
          <w:sz w:val="22"/>
        </w:rPr>
        <w:t xml:space="preserve">2. To compute meaningful KPIs including total volume, total value, average transaction value, and growth rates with correct unit handling.</w:t>
      </w:r>
    </w:p>
    <w:p w14:paraId="0010001A" w14:textId="0010001B">
      <w:pPr>
        <w:pStyle w:val="Normal"/>
        <w:numPr>
          <w:ilvl w:val="0"/>
          <w:numId w:val="1"/>
        </w:numPr>
        <w:spacing w:after="80"/>
      </w:pPr>
      <w:r>
        <w:rPr>
          <w:sz w:val="22"/>
        </w:rPr>
        <w:t xml:space="preserve">3. To visualise monthly and annual trends through interactive charts in a web-based dashboard.</w:t>
      </w:r>
    </w:p>
    <w:p w14:paraId="0010001C" w14:textId="0010001D">
      <w:pPr>
        <w:pStyle w:val="Normal"/>
        <w:numPr>
          <w:ilvl w:val="0"/>
          <w:numId w:val="1"/>
        </w:numPr>
        <w:spacing w:after="80"/>
      </w:pPr>
      <w:r>
        <w:rPr>
          <w:sz w:val="22"/>
        </w:rPr>
        <w:t xml:space="preserve">4. To identify anomalous reporting periods using statistical z-score analysis.</w:t>
      </w:r>
    </w:p>
    <w:p w14:paraId="0010001E" w14:textId="0010001F">
      <w:pPr>
        <w:pStyle w:val="Normal"/>
        <w:numPr>
          <w:ilvl w:val="0"/>
          <w:numId w:val="1"/>
        </w:numPr>
        <w:spacing w:after="80"/>
      </w:pPr>
      <w:r>
        <w:rPr>
          <w:sz w:val="22"/>
        </w:rPr>
        <w:t xml:space="preserve">5. To provide a rule-based AI insights engine that generates natural-language summaries grounded entirely in the loaded data.</w:t>
      </w:r>
    </w:p>
    <w:p w14:paraId="00100020" w14:textId="00100021">
      <w:pPr>
        <w:pStyle w:val="Normal"/>
        <w:numPr>
          <w:ilvl w:val="0"/>
          <w:numId w:val="1"/>
        </w:numPr>
        <w:spacing w:after="160"/>
      </w:pPr>
      <w:r>
        <w:rPr>
          <w:sz w:val="22"/>
        </w:rPr>
        <w:t xml:space="preserve">6. To deliver a maintainable, well-documented, reproducible analytics project suitable for internship portfolio submission.</w:t>
      </w:r>
    </w:p>
    <w:p w14:paraId="00100022" w14:textId="00100023">
      <w:pPr>
        <w:pStyle w:val="Heading1"/>
        <w:spacing w:before="360" w:after="160"/>
      </w:pPr>
      <w:r>
        <w:rPr>
          <w:b/>
          <w:sz w:val="36"/>
        </w:rPr>
        <w:t xml:space="preserve">3. Dataset</w:t>
      </w:r>
    </w:p>
    <w:p w14:paraId="00100024" w14:textId="00100025">
      <w:pPr>
        <w:pStyle w:val="Heading2"/>
        <w:spacing w:after="120"/>
      </w:pPr>
      <w:r>
        <w:rPr>
          <w:b/>
          <w:sz w:val="28"/>
        </w:rPr>
        <w:t xml:space="preserve">3.1 Source</w:t>
      </w:r>
    </w:p>
    <w:p w14:paraId="00100026" w14:textId="00100027">
      <w:pPr>
        <w:pStyle w:val="Normal"/>
        <w:spacing w:after="160"/>
      </w:pPr>
      <w:r>
        <w:rPr>
          <w:sz w:val="22"/>
        </w:rPr>
        <w:t xml:space="preserve">Primary source: National Payments Corporation of India (NPCI) — UPI Product Statistics page at https://www.npci.org.in/product/upi/product-statistics. Additional reference: NPCI UPI Ecosystem Statistics at https://www.npci.org.in/what-we-do/upi/upi-ecosystem-statistics.</w:t>
      </w:r>
    </w:p>
    <w:p w14:paraId="00100028" w14:textId="00100029">
      <w:pPr>
        <w:pStyle w:val="Heading2"/>
        <w:spacing w:after="120"/>
      </w:pPr>
      <w:r>
        <w:rPr>
          <w:b/>
          <w:sz w:val="28"/>
        </w:rPr>
        <w:t xml:space="preserve">3.2 Dataset Description</w:t>
      </w:r>
    </w:p>
    <w:p w14:paraId="0010002A" w14:textId="0010002B">
      <w:pPr>
        <w:pStyle w:val="Normal"/>
        <w:spacing w:after="120"/>
      </w:pPr>
      <w:r>
        <w:rPr>
          <w:sz w:val="22"/>
        </w:rPr>
        <w:t xml:space="preserve">The dataset covers monthly UPI aggregate statistics from April 2016 to December 2024 in the demo file. The schema contains the following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C" w14:textId="0010002D">
            <w:r>
              <w:t xml:space="preserve">Column</w:t>
            </w:r>
          </w:p>
        </w:tc>
        <w:tc>
          <w:p w14:paraId="0010002E" w14:textId="0010002F">
            <w:r>
              <w:t xml:space="preserve">Unit</w:t>
            </w:r>
          </w:p>
        </w:tc>
        <w:tc>
          <w:p w14:paraId="00100030" w14:textId="00100031">
            <w:r>
              <w:t xml:space="preserve">Description</w:t>
            </w:r>
          </w:p>
        </w:tc>
      </w:tr>
      <w:tr>
        <w:trPr/>
        <w:tc>
          <w:p w14:paraId="00100032" w14:textId="00100033">
            <w:r>
              <w:t xml:space="preserve">month</w:t>
            </w:r>
          </w:p>
        </w:tc>
        <w:tc>
          <w:p w14:paraId="00100034" w14:textId="00100035">
            <w:r>
              <w:t xml:space="preserve">String (MMM)</w:t>
            </w:r>
          </w:p>
        </w:tc>
        <w:tc>
          <w:p w14:paraId="00100036" w14:textId="00100037">
            <w:r>
              <w:t xml:space="preserve">Month abbreviation e.g. Jan, Feb, Mar</w:t>
            </w:r>
          </w:p>
        </w:tc>
      </w:tr>
      <w:tr>
        <w:trPr/>
        <w:tc>
          <w:p w14:paraId="00100038" w14:textId="00100039">
            <w:r>
              <w:t xml:space="preserve">year</w:t>
            </w:r>
          </w:p>
        </w:tc>
        <w:tc>
          <w:p w14:paraId="0010003A" w14:textId="0010003B">
            <w:r>
              <w:t xml:space="preserve">Integer</w:t>
            </w:r>
          </w:p>
        </w:tc>
        <w:tc>
          <w:p w14:paraId="0010003C" w14:textId="0010003D">
            <w:r>
              <w:t xml:space="preserve">Calendar year e.g. 2023</w:t>
            </w:r>
          </w:p>
        </w:tc>
      </w:tr>
      <w:tr>
        <w:trPr/>
        <w:tc>
          <w:p w14:paraId="0010003E" w14:textId="0010003F">
            <w:r>
              <w:t xml:space="preserve">transaction_volume</w:t>
            </w:r>
          </w:p>
        </w:tc>
        <w:tc>
          <w:p w14:paraId="00100040" w14:textId="00100041">
            <w:r>
              <w:t xml:space="preserve">Crore</w:t>
            </w:r>
          </w:p>
        </w:tc>
        <w:tc>
          <w:p w14:paraId="00100042" w14:textId="00100043">
            <w:r>
              <w:t xml:space="preserve">Number of UPI transactions (1 Cr = 10 million)</w:t>
            </w:r>
          </w:p>
        </w:tc>
      </w:tr>
      <w:tr>
        <w:trPr/>
        <w:tc>
          <w:p w14:paraId="00100044" w14:textId="00100045">
            <w:r>
              <w:t xml:space="preserve">transaction_value</w:t>
            </w:r>
          </w:p>
        </w:tc>
        <w:tc>
          <w:p w14:paraId="00100046" w14:textId="00100047">
            <w:r>
              <w:t xml:space="preserve">₹ Lakh Crore</w:t>
            </w:r>
          </w:p>
        </w:tc>
        <w:tc>
          <w:p w14:paraId="00100048" w14:textId="00100049">
            <w:r>
              <w:t xml:space="preserve">Aggregate monetary value of all UPI transfers</w:t>
            </w:r>
          </w:p>
        </w:tc>
      </w:tr>
      <w:tr>
        <w:trPr/>
        <w:tc>
          <w:p w14:paraId="0010004A" w14:textId="0010004B">
            <w:r>
              <w:t xml:space="preserve">reporting_source</w:t>
            </w:r>
          </w:p>
        </w:tc>
        <w:tc>
          <w:p w14:paraId="0010004C" w14:textId="0010004D">
            <w:r>
              <w:t xml:space="preserve">String</w:t>
            </w:r>
          </w:p>
        </w:tc>
        <w:tc>
          <w:p w14:paraId="0010004E" w14:textId="0010004F">
            <w:r>
              <w:t xml:space="preserve">Source identifier e.g. NPCI, NPCI_DEMO</w:t>
            </w:r>
          </w:p>
        </w:tc>
      </w:tr>
    </w:tbl>
    <w:p w14:paraId="00100050" w14:textId="00100051">
      <w:pPr>
        <w:pStyle w:val="Heading2"/>
        <w:spacing w:before="240" w:after="120"/>
      </w:pPr>
      <w:r>
        <w:rPr>
          <w:b/>
          <w:sz w:val="28"/>
        </w:rPr>
        <w:t xml:space="preserve">3.3 Demo Data Disclosure</w:t>
      </w:r>
    </w:p>
    <w:p w14:paraId="00100052" w14:textId="00100053">
      <w:pPr>
        <w:pStyle w:val="Normal"/>
        <w:spacing w:after="160"/>
      </w:pPr>
      <w:r>
        <w:rPr>
          <w:sz w:val="22"/>
        </w:rPr>
        <w:t xml:space="preserve">The bundled file upi_transactions_sample.csv contains illustrative synthetic figures calibrated to approximate public domain trends. It is clearly marked DEMO DATA throughout the application and notebook. For certified or academic use, the official NPCI CSV must be downloaded and placed in the data/ directory.</w:t>
      </w:r>
    </w:p>
    <w:p w14:paraId="00100054" w14:textId="00100055">
      <w:pPr>
        <w:pStyle w:val="Heading1"/>
        <w:spacing w:before="360" w:after="160"/>
      </w:pPr>
      <w:r>
        <w:rPr>
          <w:b/>
          <w:sz w:val="36"/>
        </w:rPr>
        <w:t xml:space="preserve">4. Methodology</w:t>
      </w:r>
    </w:p>
    <w:p w14:paraId="00100056" w14:textId="00100057">
      <w:pPr>
        <w:pStyle w:val="Heading2"/>
        <w:spacing w:after="120"/>
      </w:pPr>
      <w:r>
        <w:rPr>
          <w:b/>
          <w:sz w:val="28"/>
        </w:rPr>
        <w:t xml:space="preserve">4.1 Data Pipeline</w:t>
      </w:r>
    </w:p>
    <w:p w14:paraId="00100058" w14:textId="00100059">
      <w:pPr>
        <w:pStyle w:val="Normal"/>
        <w:spacing w:after="160"/>
      </w:pPr>
      <w:r>
        <w:rPr>
          <w:sz w:val="22"/>
        </w:rPr>
        <w:t xml:space="preserve">The data pipeline implemented in src/data_loader.py follows these steps: (1) File selection — uploaded CSV, official file, or demo file, in order of priority. (2) Column normalisation — strip whitespace, lowercase, replace spaces with underscores. (3) Type coercion — numeric conversion with error tracking. (4) Row filtering — drop rows with missing volume, value, or year. (5) Duplicate detection — flag and remove duplicate month-year pairs. (6) Derived column computation — average transaction value, MoM growth, YoY growth. (7) Chronological sorting.</w:t>
      </w:r>
    </w:p>
    <w:p w14:paraId="0010005A" w14:textId="0010005B">
      <w:pPr>
        <w:pStyle w:val="Heading2"/>
        <w:spacing w:after="120"/>
      </w:pPr>
      <w:r>
        <w:rPr>
          <w:b/>
          <w:sz w:val="28"/>
        </w:rPr>
        <w:t xml:space="preserve">4.2 Unit Handling</w:t>
      </w:r>
    </w:p>
    <w:p w14:paraId="0010005C" w14:textId="0010005D">
      <w:pPr>
        <w:pStyle w:val="Normal"/>
        <w:spacing w:after="160"/>
      </w:pPr>
      <w:r>
        <w:rPr>
          <w:sz w:val="22"/>
        </w:rPr>
        <w:t xml:space="preserve">Units are a critical concern in this dataset. Transaction volume is measured in crore (1 crore = 10,000,000 transactions). Transaction value is measured in lakh crore (1 lakh crore = 1,000,000,000,000 rupees = 1 trillion rupees). The average per-transaction value is computed as: avg_value (₹) = (transaction_value × 10^12) / (transaction_volume × 10^7). This formula is unit-tested and verified against manual calculation in the Jupyter Notebook.</w:t>
      </w:r>
    </w:p>
    <w:p w14:paraId="0010005E" w14:textId="0010005F">
      <w:pPr>
        <w:pStyle w:val="Heading2"/>
        <w:spacing w:after="120"/>
      </w:pPr>
      <w:r>
        <w:rPr>
          <w:b/>
          <w:sz w:val="28"/>
        </w:rPr>
        <w:t xml:space="preserve">4.3 Analytics Functions</w:t>
      </w:r>
    </w:p>
    <w:p w14:paraId="00100060" w14:textId="00100061">
      <w:pPr>
        <w:pStyle w:val="Normal"/>
        <w:spacing w:after="160"/>
      </w:pPr>
      <w:r>
        <w:rPr>
          <w:sz w:val="22"/>
        </w:rPr>
        <w:t xml:space="preserve">Reusable functions in src/analytics.py implement: total_transaction_volume, total_transaction_value, average_transaction_value, period_over_period_growth, highest/lowest volume period detection, monthly and year-over-year growth rates, z-score based anomaly detection, trend summary, and a simple linear regression forecast.</w:t>
      </w:r>
    </w:p>
    <w:p w14:paraId="00100062" w14:textId="00100063">
      <w:pPr>
        <w:pStyle w:val="Heading2"/>
        <w:spacing w:after="120"/>
      </w:pPr>
      <w:r>
        <w:rPr>
          <w:b/>
          <w:sz w:val="28"/>
        </w:rPr>
        <w:t xml:space="preserve">4.4 Anomaly Detection</w:t>
      </w:r>
    </w:p>
    <w:p w14:paraId="00100064" w14:textId="00100065">
      <w:pPr>
        <w:pStyle w:val="Normal"/>
        <w:spacing w:after="160"/>
      </w:pPr>
      <w:r>
        <w:rPr>
          <w:sz w:val="22"/>
        </w:rPr>
        <w:t xml:space="preserve">Statistical anomalies are flagged using z-scores applied to month-over-month percentage changes in transaction volume. A period is flagged if its z-score exceeds 2.0 standard deviations from the mean change across the dataset. This method is transparent, parameter-exposed, and labelled clearly in the UI as a statistical observation rather than a definitive classification.</w:t>
      </w:r>
    </w:p>
    <w:p w14:paraId="00100066" w14:textId="00100067">
      <w:pPr>
        <w:pStyle w:val="Heading2"/>
        <w:spacing w:after="120"/>
      </w:pPr>
      <w:r>
        <w:rPr>
          <w:b/>
          <w:sz w:val="28"/>
        </w:rPr>
        <w:t xml:space="preserve">4.5 Forecasting</w:t>
      </w:r>
    </w:p>
    <w:p w14:paraId="00100068" w14:textId="00100069">
      <w:pPr>
        <w:pStyle w:val="Normal"/>
        <w:spacing w:after="160"/>
      </w:pPr>
      <w:r>
        <w:rPr>
          <w:sz w:val="22"/>
        </w:rPr>
        <w:t xml:space="preserve">When at least 24 months of data are present, a simple ordinary least squares (OLS) linear regression is fit on the chronological index and used to project the next 6 months. Uncertainty bands represent ±1 standard deviation of training residuals. This is an intentionally naive baseline and is labelled 'illustrative only'. It does not model seasonality, economic shocks, or policy changes. Users are warned not to use it for financial decisions.</w:t>
      </w:r>
    </w:p>
    <w:p w14:paraId="0010006A" w14:textId="0010006B">
      <w:pPr>
        <w:pStyle w:val="Heading1"/>
        <w:spacing w:before="360" w:after="160"/>
      </w:pPr>
      <w:r>
        <w:rPr>
          <w:b/>
          <w:sz w:val="36"/>
        </w:rPr>
        <w:t xml:space="preserve">5. Implementation</w:t>
      </w:r>
    </w:p>
    <w:p w14:paraId="0010006C" w14:textId="0010006D">
      <w:pPr>
        <w:pStyle w:val="Heading2"/>
        <w:spacing w:after="120"/>
      </w:pPr>
      <w:r>
        <w:rPr>
          <w:b/>
          <w:sz w:val="28"/>
        </w:rPr>
        <w:t xml:space="preserve">5.1 Technology Stack</w:t>
      </w:r>
    </w:p>
    <w:p w14:paraId="0010006E" w14:textId="0010006F">
      <w:pPr>
        <w:pStyle w:val="Normal"/>
        <w:spacing w:after="160"/>
      </w:pPr>
      <w:r>
        <w:rPr>
          <w:sz w:val="22"/>
        </w:rPr>
        <w:t xml:space="preserve">Python 3.10+ | Streamlit 1.32+ | Pandas 2.0+ | NumPy 1.24+ | Plotly 5.18+ | Scikit-learn 1.3+ | python-dotenv 1.0+ | Requests 2.31+</w:t>
      </w:r>
    </w:p>
    <w:p w14:paraId="00100070" w14:textId="00100071">
      <w:pPr>
        <w:pStyle w:val="Heading2"/>
        <w:spacing w:after="120"/>
      </w:pPr>
      <w:r>
        <w:rPr>
          <w:b/>
          <w:sz w:val="28"/>
        </w:rPr>
        <w:t xml:space="preserve">5.2 Project Structure</w:t>
      </w:r>
    </w:p>
    <w:p w14:paraId="00100072" w14:textId="00100073">
      <w:pPr>
        <w:pStyle w:val="Normal"/>
        <w:spacing w:after="160"/>
      </w:pPr>
      <w:r>
        <w:rPr>
          <w:sz w:val="22"/>
        </w:rPr>
        <w:t xml:space="preserve">upi-pulse-india/ contains: app.py (Streamlit dashboard), requirements.txt, README.md, data/ (CSV files), src/ (data_loader.py, analytics.py, insights.py), assets/ (chart exports), tests/ (test_analytics.py), MoFaishalHaque_UPIPulseIndia.ipynb, MoFaishalHaque_ProjectReport.docx.</w:t>
      </w:r>
    </w:p>
    <w:p w14:paraId="00100074" w14:textId="00100075">
      <w:pPr>
        <w:pStyle w:val="Heading2"/>
        <w:spacing w:after="120"/>
      </w:pPr>
      <w:r>
        <w:rPr>
          <w:b/>
          <w:sz w:val="28"/>
        </w:rPr>
        <w:t xml:space="preserve">5.3 Dashboard Features</w:t>
      </w:r>
    </w:p>
    <w:p w14:paraId="00100076" w14:textId="00100077">
      <w:pPr>
        <w:pStyle w:val="Normal"/>
        <w:spacing w:after="160"/>
      </w:pPr>
      <w:r>
        <w:rPr>
          <w:sz w:val="22"/>
        </w:rPr>
        <w:t xml:space="preserve">The Streamlit dashboard provides six pages: Overview (KPI cards, volume trend, dataset info), Transaction Trends (6 interactive Plotly charts across tabs), Payment Insights (rule-based observations and anomaly cards), Data Explorer (sortable table with CSV download), AI Insights (generated summaries and forecast), About Project (full documentation).</w:t>
      </w:r>
    </w:p>
    <w:p w14:paraId="00100078" w14:textId="00100079">
      <w:pPr>
        <w:pStyle w:val="Heading1"/>
        <w:spacing w:before="360" w:after="160"/>
      </w:pPr>
      <w:r>
        <w:rPr>
          <w:b/>
          <w:sz w:val="36"/>
        </w:rPr>
        <w:t xml:space="preserve">6. Results</w:t>
      </w:r>
    </w:p>
    <w:p w14:paraId="0010007A" w14:textId="0010007B">
      <w:pPr>
        <w:pStyle w:val="Normal"/>
        <w:spacing w:after="160"/>
      </w:pPr>
      <w:r>
        <w:rPr>
          <w:color w:val="FF0000"/>
          <w:sz w:val="22"/>
        </w:rPr>
        <w:t xml:space="preserve">All KPI values and trend statements in this section are derived from executing the analytics code on the demo dataset. Replace with official NPCI data for verified figures.</w:t>
      </w:r>
    </w:p>
    <w:p w14:paraId="0010007C" w14:textId="0010007D">
      <w:pPr>
        <w:pStyle w:val="Heading2"/>
        <w:spacing w:after="120"/>
      </w:pPr>
      <w:r>
        <w:rPr>
          <w:b/>
          <w:sz w:val="28"/>
        </w:rPr>
        <w:t xml:space="preserve">6.1 Overall Growth Trajectory</w:t>
      </w:r>
    </w:p>
    <w:p w14:paraId="0010007E" w14:textId="0010007F">
      <w:pPr>
        <w:pStyle w:val="Normal"/>
        <w:spacing w:after="160"/>
      </w:pPr>
      <w:r>
        <w:rPr>
          <w:sz w:val="22"/>
        </w:rPr>
        <w:t xml:space="preserve">The demo dataset covers April 2016 through December 2024, representing 104 months of monthly UPI statistics. Transaction volume grew from 0.04 crore in April 2016 to 1,682.34 crore in December 2024 — an increase of over 4,200× in absolute terms. This reflects UPI's rapid adoption following its launch and further acceleration during India's digital push post-2019.</w:t>
      </w:r>
    </w:p>
    <w:p w14:paraId="00100080" w14:textId="00100081">
      <w:pPr>
        <w:pStyle w:val="Heading2"/>
        <w:spacing w:after="120"/>
      </w:pPr>
      <w:r>
        <w:rPr>
          <w:b/>
          <w:sz w:val="28"/>
        </w:rPr>
        <w:t xml:space="preserve">6.2 COVID-19 Impact (April–May 2020)</w:t>
      </w:r>
    </w:p>
    <w:p w14:paraId="00100082" w14:textId="00100083">
      <w:pPr>
        <w:pStyle w:val="Normal"/>
        <w:spacing w:after="160"/>
      </w:pPr>
      <w:r>
        <w:rPr>
          <w:sz w:val="22"/>
        </w:rPr>
        <w:t xml:space="preserve">The demo data shows a visible dip in April 2020 (199.17 crore) compared to March 2020 (278.41 crore), representing an approximate 28.5% decline. This period corresponds to India's national lockdown. Volume subsequently recovered and surpassed pre-COVID levels by July 2020, indicating resilience driven by the necessity of contactless payments.</w:t>
      </w:r>
    </w:p>
    <w:p w14:paraId="00100084" w14:textId="00100085">
      <w:pPr>
        <w:pStyle w:val="Heading2"/>
        <w:spacing w:after="120"/>
      </w:pPr>
      <w:r>
        <w:rPr>
          <w:b/>
          <w:sz w:val="28"/>
        </w:rPr>
        <w:t xml:space="preserve">6.3 Average Transaction Value Trend</w:t>
      </w:r>
    </w:p>
    <w:p w14:paraId="00100086" w14:textId="00100087">
      <w:pPr>
        <w:pStyle w:val="Normal"/>
        <w:spacing w:after="160"/>
      </w:pPr>
      <w:r>
        <w:rPr>
          <w:sz w:val="22"/>
        </w:rPr>
        <w:t xml:space="preserve">Average transaction value (calculated as total value in rupees divided by total transaction count) shows a general declining trend over time. This is consistent with the broadening of UPI to smaller everyday transactions such as merchant payments, peer-to-peer micro-transfers, and bill payments, which dilute the average away from larger fund transfers that dominated early adoption.</w:t>
      </w:r>
    </w:p>
    <w:p w14:paraId="00100088" w14:textId="00100089">
      <w:pPr>
        <w:pStyle w:val="Heading2"/>
        <w:spacing w:after="120"/>
      </w:pPr>
      <w:r>
        <w:rPr>
          <w:b/>
          <w:sz w:val="28"/>
        </w:rPr>
        <w:t xml:space="preserve">6.4 Year-over-Year Growth Rates</w:t>
      </w:r>
    </w:p>
    <w:p w14:paraId="0010008A" w14:textId="0010008B">
      <w:pPr>
        <w:pStyle w:val="Normal"/>
        <w:spacing w:after="160"/>
      </w:pPr>
      <w:r>
        <w:rPr>
          <w:sz w:val="22"/>
        </w:rPr>
        <w:t xml:space="preserve">YoY growth rates were highest in 2017 and 2018 as the platform launched and scaled. Growth moderated progressively as the absolute base grew larger, which is mathematically expected for any large-scale adoption curve. Recent years (2022–2024) show consistent positive YoY growth in the 20–40% range in the demo dataset, reflecting continued expansion rather than saturation.</w:t>
      </w:r>
    </w:p>
    <w:p w14:paraId="0010008C" w14:textId="0010008D">
      <w:pPr>
        <w:pStyle w:val="Heading1"/>
        <w:spacing w:before="360" w:after="160"/>
      </w:pPr>
      <w:r>
        <w:rPr>
          <w:b/>
          <w:sz w:val="36"/>
        </w:rPr>
        <w:t xml:space="preserve">7. Conclusion</w:t>
      </w:r>
    </w:p>
    <w:p w14:paraId="0010008E" w14:textId="0010008F">
      <w:pPr>
        <w:pStyle w:val="Normal"/>
        <w:spacing w:after="160"/>
      </w:pPr>
      <w:r>
        <w:rPr>
          <w:sz w:val="22"/>
        </w:rPr>
        <w:t xml:space="preserve">This project demonstrates that publicly available UPI transaction statistics can be transformed into actionable analytical insights through a structured data analytics pipeline, interactive dashboard, and AI-assisted summarisation. The UPI Pulse India application provides a reproducible, maintainable framework for monitoring India's digital payments ecosystem.</w:t>
      </w:r>
    </w:p>
    <w:p w14:paraId="00100090" w14:textId="00100091">
      <w:pPr>
        <w:pStyle w:val="Normal"/>
        <w:spacing w:after="160"/>
      </w:pPr>
      <w:r>
        <w:rPr>
          <w:sz w:val="22"/>
        </w:rPr>
        <w:t xml:space="preserve">Key contributions include: a unit-safe analytics library with comprehensive test coverage, a rule-based insights engine that generates grounded natural-language summaries, a polished fintech-themed Streamlit dashboard, and a Jupyter Notebook documenting the complete analytical workflow.</w:t>
      </w:r>
    </w:p>
    <w:p w14:paraId="00100092" w14:textId="00100093">
      <w:pPr>
        <w:pStyle w:val="Normal"/>
        <w:spacing w:after="160"/>
      </w:pPr>
      <w:r>
        <w:rPr>
          <w:sz w:val="22"/>
        </w:rPr>
        <w:t xml:space="preserve">The project's primary limitation is dependence on the demo dataset for out-of-the-box execution. Replacing this with the official NPCI CSV will immediately propagate accurate figures across all dashboard components, charts, and AI insights.</w:t>
      </w:r>
    </w:p>
    <w:p w14:paraId="00100094" w14:textId="00100095">
      <w:pPr>
        <w:pStyle w:val="Heading1"/>
        <w:spacing w:before="360" w:after="160"/>
      </w:pPr>
      <w:r>
        <w:rPr>
          <w:b/>
          <w:sz w:val="36"/>
        </w:rPr>
        <w:t xml:space="preserve">8. Limitations</w:t>
      </w:r>
    </w:p>
    <w:p w14:paraId="00100096" w14:textId="00100097">
      <w:pPr>
        <w:pStyle w:val="Normal"/>
        <w:numPr>
          <w:ilvl w:val="0"/>
          <w:numId w:val="2"/>
        </w:numPr>
        <w:spacing w:after="80"/>
      </w:pPr>
      <w:r>
        <w:rPr>
          <w:sz w:val="22"/>
        </w:rPr>
        <w:t xml:space="preserve">1. Demo dataset contains synthetic illustrative figures — not certified by NPCI or RBI.</w:t>
      </w:r>
    </w:p>
    <w:p w14:paraId="00100098" w14:textId="00100099">
      <w:pPr>
        <w:pStyle w:val="Normal"/>
        <w:numPr>
          <w:ilvl w:val="0"/>
          <w:numId w:val="2"/>
        </w:numPr>
        <w:spacing w:after="80"/>
      </w:pPr>
      <w:r>
        <w:rPr>
          <w:sz w:val="22"/>
        </w:rPr>
        <w:t xml:space="preserve">2. Official NPCI data requires manual download; no stable public API exists.</w:t>
      </w:r>
    </w:p>
    <w:p w14:paraId="0010009A" w14:textId="0010009B">
      <w:pPr>
        <w:pStyle w:val="Normal"/>
        <w:numPr>
          <w:ilvl w:val="0"/>
          <w:numId w:val="2"/>
        </w:numPr>
        <w:spacing w:after="80"/>
      </w:pPr>
      <w:r>
        <w:rPr>
          <w:sz w:val="22"/>
        </w:rPr>
        <w:t xml:space="preserve">3. State-level and payment-app-level data not included in current schema.</w:t>
      </w:r>
    </w:p>
    <w:p w14:paraId="0010009C" w14:textId="0010009D">
      <w:pPr>
        <w:pStyle w:val="Normal"/>
        <w:numPr>
          <w:ilvl w:val="0"/>
          <w:numId w:val="2"/>
        </w:numPr>
        <w:spacing w:after="80"/>
      </w:pPr>
      <w:r>
        <w:rPr>
          <w:sz w:val="22"/>
        </w:rPr>
        <w:t xml:space="preserve">4. Linear forecast is a naive trend baseline only; not suitable for business or investment decisions.</w:t>
      </w:r>
    </w:p>
    <w:p w14:paraId="0010009E" w14:textId="0010009F">
      <w:pPr>
        <w:pStyle w:val="Normal"/>
        <w:numPr>
          <w:ilvl w:val="0"/>
          <w:numId w:val="2"/>
        </w:numPr>
        <w:spacing w:after="160"/>
      </w:pPr>
      <w:r>
        <w:rPr>
          <w:sz w:val="22"/>
        </w:rPr>
        <w:t xml:space="preserve">5. This is an educational data analytics project and not a banking, investment, or payment service.</w:t>
      </w:r>
    </w:p>
    <w:p w14:paraId="001000A0" w14:textId="001000A1">
      <w:pPr>
        <w:pStyle w:val="Heading1"/>
        <w:spacing w:before="360" w:after="160"/>
      </w:pPr>
      <w:r>
        <w:rPr>
          <w:b/>
          <w:sz w:val="36"/>
        </w:rPr>
        <w:t xml:space="preserve">9. References</w:t>
      </w:r>
    </w:p>
    <w:p w14:paraId="001000A2" w14:textId="001000A3">
      <w:pPr>
        <w:pStyle w:val="Normal"/>
        <w:spacing w:after="80"/>
      </w:pPr>
      <w:r>
        <w:rPr>
          <w:sz w:val="22"/>
        </w:rPr>
        <w:t xml:space="preserve">1. NPCI UPI Product Statistics — https://www.npci.org.in/product/upi/product-statistics</w:t>
      </w:r>
    </w:p>
    <w:p w14:paraId="001000A4" w14:textId="001000A5">
      <w:pPr>
        <w:pStyle w:val="Normal"/>
        <w:spacing w:after="80"/>
      </w:pPr>
      <w:r>
        <w:rPr>
          <w:sz w:val="22"/>
        </w:rPr>
        <w:t xml:space="preserve">2. NPCI UPI Ecosystem Statistics — https://www.npci.org.in/what-we-do/upi/upi-ecosystem-statistics</w:t>
      </w:r>
    </w:p>
    <w:p w14:paraId="001000A6" w14:textId="001000A7">
      <w:pPr>
        <w:pStyle w:val="Normal"/>
        <w:spacing w:after="80"/>
      </w:pPr>
      <w:r>
        <w:rPr>
          <w:sz w:val="22"/>
        </w:rPr>
        <w:t xml:space="preserve">3. Reserve Bank of India Payment System Indicators — https://www.rbi.org.in</w:t>
      </w:r>
    </w:p>
    <w:p w14:paraId="001000A8" w14:textId="001000A9">
      <w:pPr>
        <w:pStyle w:val="Normal"/>
        <w:spacing w:after="80"/>
      </w:pPr>
      <w:r>
        <w:rPr>
          <w:sz w:val="22"/>
        </w:rPr>
        <w:t xml:space="preserve">4. Streamlit Documentation — https://docs.streamlit.io</w:t>
      </w:r>
    </w:p>
    <w:p w14:paraId="001000AA" w14:textId="001000AB">
      <w:pPr>
        <w:pStyle w:val="Normal"/>
        <w:spacing w:after="80"/>
      </w:pPr>
      <w:r>
        <w:rPr>
          <w:sz w:val="22"/>
        </w:rPr>
        <w:t xml:space="preserve">5. Pandas Documentation — https://pandas.pydata.org</w:t>
      </w:r>
    </w:p>
    <w:p w14:paraId="001000AC" w14:textId="001000AD">
      <w:pPr>
        <w:pStyle w:val="Normal"/>
        <w:spacing w:after="80"/>
      </w:pPr>
      <w:r>
        <w:rPr>
          <w:sz w:val="22"/>
        </w:rPr>
        <w:t xml:space="preserve">6. Plotly Python Documentation — https://plotly.com/python</w:t>
      </w:r>
    </w:p>
    <w:p w14:paraId="001000AE" w14:textId="001000AF">
      <w:pPr>
        <w:pStyle w:val="Normal"/>
        <w:spacing w:after="240"/>
      </w:pPr>
      <w:r>
        <w:rPr>
          <w:sz w:val="22"/>
        </w:rPr>
        <w:t xml:space="preserve">7. Scikit-learn Documentation — https://scikit-learn.org</w:t>
      </w:r>
    </w:p>
    <w:p w14:paraId="001000B0" w14:textId="001000B1">
      <w:pPr>
        <w:pStyle w:val="Normal"/>
        <w:spacing w:after="160"/>
      </w:pPr>
      <w:r>
        <w:rPr>
          <w:color w:val="888888"/>
          <w:sz w:val="20"/>
        </w:rPr>
        <w:t xml:space="preserve">Disclaimer: This is an educational data analytics project created for the AICTE | IBM SkillsBuild Data Analytics with AI Internship 2026. It is not a banking, investment, or payment-processing service. All demo data figures are illustrative and must not be cited as official statistics.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843cdf5969141a2" /><Relationship Type="http://schemas.openxmlformats.org/officeDocument/2006/relationships/styles" Target="/word/styles.xml" Id="R404a564f3b07470e" /><Relationship Type="http://schemas.openxmlformats.org/officeDocument/2006/relationships/theme" Target="/word/theme/theme1.xml" Id="Rde0fab5c84344325" /><Relationship Type="http://schemas.openxmlformats.org/officeDocument/2006/relationships/numbering" Target="/word/numbering.xml" Id="R685aafe1c57942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2026-10-15T06:14:45Z</dcterms:created>
  <cp:lastModifiedBy>OfficeCLI</cp:lastModifiedBy>
  <dcterms:modified xsi:type="dcterms:W3CDTF">2026-10-15T06:14:45Z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2026-10-15T06:15:10Z</vt:lpwstr>
  </op:property>
</op:Properties>
</file>